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6"/>
      </w:tblGrid>
      <w:tr w:rsidR="002B3DD6" w14:paraId="45EF9472" w14:textId="77777777" w:rsidTr="00630F61">
        <w:trPr>
          <w:trHeight w:val="1786"/>
        </w:trPr>
        <w:tc>
          <w:tcPr>
            <w:tcW w:w="3969" w:type="dxa"/>
          </w:tcPr>
          <w:p w14:paraId="68B52AFA" w14:textId="77777777" w:rsidR="002B3DD6" w:rsidRDefault="002B3DD6" w:rsidP="00630F61">
            <w:pPr>
              <w:rPr>
                <w:noProof/>
                <w:lang w:val="fr-BE" w:eastAsia="fr-BE"/>
              </w:rPr>
            </w:pPr>
          </w:p>
        </w:tc>
        <w:tc>
          <w:tcPr>
            <w:tcW w:w="5886" w:type="dxa"/>
          </w:tcPr>
          <w:p w14:paraId="093EA073" w14:textId="77777777" w:rsidR="002B3DD6" w:rsidRPr="0038220B" w:rsidRDefault="002B3DD6" w:rsidP="00630F61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38220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Nom du </w:t>
            </w:r>
            <w: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SPW ayant instruit le dossier</w:t>
            </w:r>
          </w:p>
          <w:p w14:paraId="429E1745" w14:textId="77777777" w:rsidR="002B3DD6" w:rsidRDefault="002B3DD6" w:rsidP="00630F61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  <w:r w:rsidRPr="0038220B">
              <w:rPr>
                <w:rFonts w:ascii="Century Gothic" w:hAnsi="Century Gothic" w:cs="Arial"/>
                <w:sz w:val="20"/>
                <w:szCs w:val="20"/>
                <w:highlight w:val="yellow"/>
              </w:rPr>
              <w:t>Adresse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131EC637" w14:textId="3B992338" w:rsidR="002B3DD6" w:rsidRDefault="002B3DD6" w:rsidP="002B3DD6">
      <w:pPr>
        <w:tabs>
          <w:tab w:val="left" w:pos="743"/>
        </w:tabs>
        <w:spacing w:before="480"/>
        <w:ind w:left="1877" w:hanging="743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noProof/>
          <w:sz w:val="22"/>
          <w:szCs w:val="22"/>
          <w:lang w:eastAsia="en-US"/>
        </w:rPr>
        <w:t>Objet :</w:t>
      </w:r>
      <w:r>
        <w:rPr>
          <w:rFonts w:ascii="Century Gothic" w:hAnsi="Century Gothic" w:cs="Arial"/>
          <w:b/>
          <w:noProof/>
          <w:sz w:val="22"/>
          <w:szCs w:val="22"/>
          <w:lang w:eastAsia="en-US"/>
        </w:rPr>
        <w:tab/>
      </w:r>
      <w:r>
        <w:rPr>
          <w:rFonts w:ascii="Century Gothic" w:hAnsi="Century Gothic" w:cs="Arial"/>
          <w:sz w:val="21"/>
          <w:szCs w:val="21"/>
        </w:rPr>
        <w:t xml:space="preserve"> Recours aux formalités d’information et de consultation supplémentaires prorogeant le délai de notification de la décision</w:t>
      </w:r>
      <w:r w:rsidR="002B7A2A">
        <w:rPr>
          <w:rFonts w:ascii="Century Gothic" w:hAnsi="Century Gothic" w:cs="Arial"/>
          <w:sz w:val="21"/>
          <w:szCs w:val="21"/>
        </w:rPr>
        <w:t xml:space="preserve"> en matière d’expropriation</w:t>
      </w:r>
      <w:r>
        <w:rPr>
          <w:rFonts w:ascii="Century Gothic" w:hAnsi="Century Gothic" w:cs="Arial"/>
          <w:sz w:val="21"/>
          <w:szCs w:val="21"/>
        </w:rPr>
        <w:t xml:space="preserve"> de trente jours</w:t>
      </w:r>
    </w:p>
    <w:p w14:paraId="1EA6D591" w14:textId="77777777" w:rsidR="002B3DD6" w:rsidRDefault="002B3DD6" w:rsidP="002B3DD6">
      <w:pPr>
        <w:tabs>
          <w:tab w:val="left" w:pos="743"/>
        </w:tabs>
        <w:ind w:left="1877" w:hanging="34"/>
        <w:rPr>
          <w:rFonts w:ascii="Century Gothic" w:eastAsia="Times New Roman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Arial"/>
          <w:b/>
          <w:sz w:val="22"/>
          <w:szCs w:val="22"/>
        </w:rPr>
        <w:tab/>
      </w:r>
    </w:p>
    <w:p w14:paraId="015BEE40" w14:textId="47B06405" w:rsidR="002B3DD6" w:rsidRDefault="00166E5D" w:rsidP="002B3DD6">
      <w:pPr>
        <w:pStyle w:val="Paragraphestandard"/>
        <w:spacing w:before="320" w:after="20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2B7A2A">
        <w:rPr>
          <w:rFonts w:ascii="Century Gothic" w:hAnsi="Century Gothic" w:cs="CenturyGothic"/>
          <w:sz w:val="21"/>
          <w:szCs w:val="21"/>
          <w:highlight w:val="yellow"/>
        </w:rPr>
        <w:t>« </w:t>
      </w:r>
      <w:proofErr w:type="gramStart"/>
      <w:r w:rsidRPr="002B7A2A">
        <w:rPr>
          <w:rFonts w:ascii="Century Gothic" w:hAnsi="Century Gothic" w:cs="CenturyGothic"/>
          <w:sz w:val="21"/>
          <w:szCs w:val="21"/>
          <w:highlight w:val="yellow"/>
        </w:rPr>
        <w:t>genre</w:t>
      </w:r>
      <w:proofErr w:type="gramEnd"/>
      <w:r w:rsidRPr="002B7A2A">
        <w:rPr>
          <w:rFonts w:ascii="Century Gothic" w:hAnsi="Century Gothic" w:cs="CenturyGothic"/>
          <w:sz w:val="21"/>
          <w:szCs w:val="21"/>
          <w:highlight w:val="yellow"/>
        </w:rPr>
        <w:t> » « </w:t>
      </w:r>
      <w:r w:rsidR="00705450" w:rsidRPr="002B7A2A">
        <w:rPr>
          <w:rFonts w:ascii="Century Gothic" w:hAnsi="Century Gothic" w:cs="CenturyGothic"/>
          <w:sz w:val="21"/>
          <w:szCs w:val="21"/>
          <w:highlight w:val="yellow"/>
        </w:rPr>
        <w:t>pronom</w:t>
      </w:r>
      <w:r w:rsidRPr="002B7A2A">
        <w:rPr>
          <w:rFonts w:ascii="Century Gothic" w:hAnsi="Century Gothic" w:cs="CenturyGothic"/>
          <w:sz w:val="21"/>
          <w:szCs w:val="21"/>
          <w:highlight w:val="yellow"/>
        </w:rPr>
        <w:t> » « Titre »</w:t>
      </w:r>
    </w:p>
    <w:p w14:paraId="3ECFC72C" w14:textId="4C1AF5C9" w:rsidR="002B3DD6" w:rsidRDefault="002B3DD6" w:rsidP="002B3DD6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>Conformément au prescrit de l’article 17, paragraphe 1</w:t>
      </w:r>
      <w:r w:rsidRPr="00165591">
        <w:rPr>
          <w:rFonts w:ascii="Century Gothic" w:hAnsi="Century Gothic" w:cs="CenturyGothic"/>
          <w:sz w:val="21"/>
          <w:szCs w:val="21"/>
          <w:vertAlign w:val="superscript"/>
        </w:rPr>
        <w:t>er</w:t>
      </w:r>
      <w:r>
        <w:rPr>
          <w:rFonts w:ascii="Century Gothic" w:hAnsi="Century Gothic" w:cs="CenturyGothic"/>
          <w:sz w:val="21"/>
          <w:szCs w:val="21"/>
        </w:rPr>
        <w:t xml:space="preserve">, alinéa 2 du décret du 22 novembre 2018 relatif à la procédure </w:t>
      </w:r>
      <w:r w:rsidRPr="0045435F">
        <w:rPr>
          <w:rFonts w:ascii="Century Gothic" w:hAnsi="Century Gothic" w:cs="CenturyGothic"/>
          <w:sz w:val="21"/>
          <w:szCs w:val="21"/>
        </w:rPr>
        <w:t xml:space="preserve">d’expropriation, </w:t>
      </w:r>
      <w:r w:rsidR="0045435F" w:rsidRPr="0045435F">
        <w:rPr>
          <w:rFonts w:ascii="Century Gothic" w:hAnsi="Century Gothic" w:cs="CenturyGothic"/>
          <w:sz w:val="21"/>
          <w:szCs w:val="21"/>
        </w:rPr>
        <w:t xml:space="preserve">le Conseil communal de </w:t>
      </w:r>
      <w:r w:rsidRPr="0045435F">
        <w:rPr>
          <w:rFonts w:ascii="Century Gothic" w:hAnsi="Century Gothic" w:cs="CenturyGothic"/>
          <w:sz w:val="21"/>
          <w:szCs w:val="21"/>
        </w:rPr>
        <w:t xml:space="preserve">la commune de </w:t>
      </w:r>
      <w:r w:rsidRPr="0045435F">
        <w:rPr>
          <w:rFonts w:ascii="Century Gothic" w:hAnsi="Century Gothic" w:cs="CenturyGothic"/>
          <w:sz w:val="21"/>
          <w:szCs w:val="21"/>
          <w:highlight w:val="yellow"/>
        </w:rPr>
        <w:t>XXX</w:t>
      </w:r>
      <w:r w:rsidRPr="0045435F">
        <w:rPr>
          <w:rFonts w:ascii="Century Gothic" w:hAnsi="Century Gothic" w:cs="CenturyGothic"/>
          <w:sz w:val="21"/>
          <w:szCs w:val="21"/>
        </w:rPr>
        <w:t xml:space="preserve"> a décidé</w:t>
      </w:r>
      <w:r>
        <w:rPr>
          <w:rFonts w:ascii="Century Gothic" w:hAnsi="Century Gothic" w:cs="CenturyGothic"/>
          <w:sz w:val="21"/>
          <w:szCs w:val="21"/>
        </w:rPr>
        <w:t xml:space="preserve"> de recourir aux formalités d’information et de consultation supplémentaires </w:t>
      </w:r>
      <w:r w:rsidR="0045435F">
        <w:rPr>
          <w:rFonts w:ascii="Century Gothic" w:hAnsi="Century Gothic" w:cs="CenturyGothic"/>
          <w:sz w:val="21"/>
          <w:szCs w:val="21"/>
        </w:rPr>
        <w:t>qu’il</w:t>
      </w:r>
      <w:r>
        <w:rPr>
          <w:rFonts w:ascii="Century Gothic" w:hAnsi="Century Gothic" w:cs="CenturyGothic"/>
          <w:sz w:val="21"/>
          <w:szCs w:val="21"/>
        </w:rPr>
        <w:t xml:space="preserve"> juge opportun de consulter, à savoir :</w:t>
      </w:r>
    </w:p>
    <w:p w14:paraId="4418A61F" w14:textId="57B3608D" w:rsidR="002B3DD6" w:rsidRDefault="002B3DD6" w:rsidP="002B3DD6">
      <w:pPr>
        <w:pStyle w:val="Paragraphestandard"/>
        <w:numPr>
          <w:ilvl w:val="0"/>
          <w:numId w:val="1"/>
        </w:numPr>
        <w:spacing w:before="320" w:after="200" w:line="276" w:lineRule="auto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 w:rsidRPr="001F02F3">
        <w:rPr>
          <w:rFonts w:ascii="Century Gothic" w:hAnsi="Century Gothic" w:cs="CenturyGothic"/>
          <w:sz w:val="21"/>
          <w:szCs w:val="21"/>
          <w:highlight w:val="yellow"/>
        </w:rPr>
        <w:t>(</w:t>
      </w:r>
      <w:proofErr w:type="gramStart"/>
      <w:r w:rsidRPr="001F02F3">
        <w:rPr>
          <w:rFonts w:ascii="Century Gothic" w:hAnsi="Century Gothic" w:cs="CenturyGothic"/>
          <w:sz w:val="21"/>
          <w:szCs w:val="21"/>
          <w:highlight w:val="yellow"/>
        </w:rPr>
        <w:t>indiquer</w:t>
      </w:r>
      <w:proofErr w:type="gramEnd"/>
      <w:r w:rsidRPr="001F02F3">
        <w:rPr>
          <w:rFonts w:ascii="Century Gothic" w:hAnsi="Century Gothic" w:cs="CenturyGothic"/>
          <w:sz w:val="21"/>
          <w:szCs w:val="21"/>
          <w:highlight w:val="yellow"/>
        </w:rPr>
        <w:t xml:space="preserve"> nom des organes</w:t>
      </w:r>
      <w:r>
        <w:rPr>
          <w:rFonts w:ascii="Century Gothic" w:hAnsi="Century Gothic" w:cs="CenturyGothic"/>
          <w:sz w:val="21"/>
          <w:szCs w:val="21"/>
          <w:highlight w:val="yellow"/>
        </w:rPr>
        <w:t xml:space="preserve"> instances, autorités, services et commissions consultés</w:t>
      </w:r>
      <w:r w:rsidRPr="001F02F3">
        <w:rPr>
          <w:rFonts w:ascii="Century Gothic" w:hAnsi="Century Gothic" w:cs="CenturyGothic"/>
          <w:sz w:val="21"/>
          <w:szCs w:val="21"/>
          <w:highlight w:val="yellow"/>
        </w:rPr>
        <w:t>)</w:t>
      </w:r>
    </w:p>
    <w:p w14:paraId="178BECBF" w14:textId="3EA3B20F" w:rsidR="00BB34CE" w:rsidRPr="001F02F3" w:rsidRDefault="00BB34CE" w:rsidP="002B3DD6">
      <w:pPr>
        <w:pStyle w:val="Paragraphestandard"/>
        <w:numPr>
          <w:ilvl w:val="0"/>
          <w:numId w:val="1"/>
        </w:numPr>
        <w:spacing w:before="320" w:after="200" w:line="276" w:lineRule="auto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t>Indiquer l’identité du titulaire de droit qui n’a pas été informé par l’Administration de l’introduction du dossier d’expropriation</w:t>
      </w:r>
    </w:p>
    <w:p w14:paraId="054EB325" w14:textId="06107660" w:rsidR="00BB34CE" w:rsidRPr="0038220B" w:rsidRDefault="002B3DD6" w:rsidP="00BB34CE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 xml:space="preserve">Par conséquent, nous vous informons que le délai de </w:t>
      </w:r>
      <w:commentRangeStart w:id="0"/>
      <w:r>
        <w:rPr>
          <w:rFonts w:ascii="Century Gothic" w:hAnsi="Century Gothic" w:cs="CenturyGothic"/>
          <w:sz w:val="21"/>
          <w:szCs w:val="21"/>
        </w:rPr>
        <w:t xml:space="preserve">cent trente jours </w:t>
      </w:r>
      <w:commentRangeEnd w:id="0"/>
      <w:r>
        <w:rPr>
          <w:rStyle w:val="Marquedecommentaire"/>
          <w:rFonts w:asciiTheme="minorHAnsi" w:hAnsiTheme="minorHAnsi" w:cstheme="minorBidi"/>
          <w:color w:val="auto"/>
        </w:rPr>
        <w:commentReference w:id="0"/>
      </w:r>
      <w:r>
        <w:rPr>
          <w:rFonts w:ascii="Century Gothic" w:hAnsi="Century Gothic" w:cs="CenturyGothic"/>
          <w:sz w:val="21"/>
          <w:szCs w:val="21"/>
        </w:rPr>
        <w:t xml:space="preserve">endéans </w:t>
      </w:r>
      <w:r w:rsidRPr="0045435F">
        <w:rPr>
          <w:rFonts w:ascii="Century Gothic" w:hAnsi="Century Gothic" w:cs="CenturyGothic"/>
          <w:sz w:val="21"/>
          <w:szCs w:val="21"/>
        </w:rPr>
        <w:t xml:space="preserve">lequel </w:t>
      </w:r>
      <w:r w:rsidR="0045435F" w:rsidRPr="0045435F">
        <w:rPr>
          <w:rFonts w:ascii="Century Gothic" w:hAnsi="Century Gothic" w:cs="CenturyGothic"/>
          <w:sz w:val="21"/>
          <w:szCs w:val="21"/>
        </w:rPr>
        <w:t>le Conseil communal</w:t>
      </w:r>
      <w:r w:rsidRPr="0045435F">
        <w:rPr>
          <w:rFonts w:ascii="Century Gothic" w:hAnsi="Century Gothic" w:cs="CenturyGothic"/>
          <w:sz w:val="21"/>
          <w:szCs w:val="21"/>
        </w:rPr>
        <w:t xml:space="preserve"> vous</w:t>
      </w:r>
      <w:r>
        <w:rPr>
          <w:rFonts w:ascii="Century Gothic" w:hAnsi="Century Gothic" w:cs="CenturyGothic"/>
          <w:sz w:val="21"/>
          <w:szCs w:val="21"/>
        </w:rPr>
        <w:t xml:space="preserve"> notifie sa décision (ainsi qu’à l’expropriant, au Gouvernement </w:t>
      </w:r>
      <w:r w:rsidR="002B7A2A">
        <w:rPr>
          <w:rFonts w:ascii="Century Gothic" w:hAnsi="Century Gothic" w:cs="CenturyGothic"/>
          <w:sz w:val="21"/>
          <w:szCs w:val="21"/>
        </w:rPr>
        <w:t xml:space="preserve">wallon </w:t>
      </w:r>
      <w:r>
        <w:rPr>
          <w:rFonts w:ascii="Century Gothic" w:hAnsi="Century Gothic" w:cs="CenturyGothic"/>
          <w:sz w:val="21"/>
          <w:szCs w:val="21"/>
        </w:rPr>
        <w:t>et aux communes sur le territoire desquelles le projet d’utilité publique s’étend) est prorogé de trente jours à compter d</w:t>
      </w:r>
      <w:r w:rsidR="002B7A2A">
        <w:rPr>
          <w:rFonts w:ascii="Century Gothic" w:hAnsi="Century Gothic" w:cs="CenturyGothic"/>
          <w:sz w:val="21"/>
          <w:szCs w:val="21"/>
        </w:rPr>
        <w:t>e</w:t>
      </w:r>
      <w:r>
        <w:rPr>
          <w:rFonts w:ascii="Century Gothic" w:hAnsi="Century Gothic" w:cs="CenturyGothic"/>
          <w:sz w:val="21"/>
          <w:szCs w:val="21"/>
        </w:rPr>
        <w:t xml:space="preserve"> l’accusé de réception </w:t>
      </w:r>
      <w:r w:rsidR="002B7A2A">
        <w:rPr>
          <w:rFonts w:ascii="Century Gothic" w:hAnsi="Century Gothic" w:cs="CenturyGothic"/>
          <w:sz w:val="21"/>
          <w:szCs w:val="21"/>
        </w:rPr>
        <w:t xml:space="preserve">de complétude </w:t>
      </w:r>
      <w:r>
        <w:rPr>
          <w:rFonts w:ascii="Century Gothic" w:hAnsi="Century Gothic" w:cs="CenturyGothic"/>
          <w:sz w:val="21"/>
          <w:szCs w:val="21"/>
        </w:rPr>
        <w:t>du dossier</w:t>
      </w:r>
      <w:r w:rsidR="002B7A2A">
        <w:rPr>
          <w:rFonts w:ascii="Century Gothic" w:hAnsi="Century Gothic" w:cs="CenturyGothic"/>
          <w:sz w:val="21"/>
          <w:szCs w:val="21"/>
        </w:rPr>
        <w:t xml:space="preserve">, </w:t>
      </w:r>
      <w:r>
        <w:rPr>
          <w:rFonts w:ascii="Century Gothic" w:hAnsi="Century Gothic" w:cs="CenturyGothic"/>
          <w:sz w:val="21"/>
          <w:szCs w:val="21"/>
        </w:rPr>
        <w:t>lequel est</w:t>
      </w:r>
      <w:r w:rsidR="00166E5D">
        <w:rPr>
          <w:rFonts w:ascii="Century Gothic" w:hAnsi="Century Gothic" w:cs="CenturyGothic"/>
          <w:sz w:val="21"/>
          <w:szCs w:val="21"/>
        </w:rPr>
        <w:t>, pour rappel,</w:t>
      </w:r>
      <w:r>
        <w:rPr>
          <w:rFonts w:ascii="Century Gothic" w:hAnsi="Century Gothic" w:cs="CenturyGothic"/>
          <w:sz w:val="21"/>
          <w:szCs w:val="21"/>
        </w:rPr>
        <w:t xml:space="preserve"> daté du </w:t>
      </w:r>
      <w:r w:rsidRPr="00F35651">
        <w:rPr>
          <w:rFonts w:ascii="Century Gothic" w:hAnsi="Century Gothic" w:cs="CenturyGothic"/>
          <w:sz w:val="21"/>
          <w:szCs w:val="21"/>
          <w:highlight w:val="yellow"/>
        </w:rPr>
        <w:t>XXX</w:t>
      </w:r>
      <w:r>
        <w:rPr>
          <w:rFonts w:ascii="Century Gothic" w:hAnsi="Century Gothic" w:cs="CenturyGothic"/>
          <w:sz w:val="21"/>
          <w:szCs w:val="21"/>
        </w:rPr>
        <w:t>.</w:t>
      </w:r>
    </w:p>
    <w:p w14:paraId="0D760CE3" w14:textId="77777777" w:rsidR="002B3DD6" w:rsidRDefault="002B3DD6" w:rsidP="002B3DD6">
      <w:pPr>
        <w:pStyle w:val="Paragraphestandard"/>
        <w:spacing w:after="12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04D91F8F" w14:textId="77777777" w:rsidR="002B3DD6" w:rsidRDefault="002B3DD6" w:rsidP="002B3DD6">
      <w:pPr>
        <w:pStyle w:val="Paragraphestandard"/>
        <w:spacing w:after="12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 xml:space="preserve">Je vous prie de recevoir, </w:t>
      </w:r>
      <w:r w:rsidRPr="007C405D">
        <w:rPr>
          <w:rFonts w:ascii="Century Gothic" w:hAnsi="Century Gothic" w:cs="CenturyGothic"/>
          <w:sz w:val="21"/>
          <w:szCs w:val="21"/>
          <w:highlight w:val="yellow"/>
        </w:rPr>
        <w:t>…</w:t>
      </w:r>
      <w:proofErr w:type="gramStart"/>
      <w:r w:rsidRPr="007C405D">
        <w:rPr>
          <w:rFonts w:ascii="Century Gothic" w:hAnsi="Century Gothic" w:cs="CenturyGothic"/>
          <w:sz w:val="21"/>
          <w:szCs w:val="21"/>
          <w:highlight w:val="yellow"/>
        </w:rPr>
        <w:t>…….</w:t>
      </w:r>
      <w:proofErr w:type="gramEnd"/>
      <w:r w:rsidRPr="007C405D">
        <w:rPr>
          <w:rFonts w:ascii="Century Gothic" w:hAnsi="Century Gothic" w:cs="CenturyGothic"/>
          <w:sz w:val="21"/>
          <w:szCs w:val="21"/>
          <w:highlight w:val="yellow"/>
        </w:rPr>
        <w:t>…,</w:t>
      </w:r>
      <w:r>
        <w:rPr>
          <w:rFonts w:ascii="Century Gothic" w:hAnsi="Century Gothic" w:cs="CenturyGothic"/>
          <w:sz w:val="21"/>
          <w:szCs w:val="21"/>
        </w:rPr>
        <w:t xml:space="preserve"> l’assurance de mes sentiments les meilleurs.</w:t>
      </w:r>
    </w:p>
    <w:p w14:paraId="189C6DAE" w14:textId="77777777" w:rsidR="002B3DD6" w:rsidRDefault="002B3DD6" w:rsidP="002B3DD6">
      <w:pPr>
        <w:pStyle w:val="Paragraphestandard"/>
        <w:spacing w:after="24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44287B4C" w14:textId="77777777" w:rsidR="002B3DD6" w:rsidRDefault="002B3DD6" w:rsidP="002B3DD6">
      <w:pPr>
        <w:pStyle w:val="Paragraphestandard"/>
        <w:spacing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32BEE3F3" w14:textId="4FD10965" w:rsidR="00166E5D" w:rsidRDefault="0045435F" w:rsidP="00166E5D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t>Signature</w:t>
      </w:r>
    </w:p>
    <w:p w14:paraId="53237CB1" w14:textId="77777777" w:rsidR="002B3DD6" w:rsidRDefault="002B3DD6" w:rsidP="002B3DD6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137375CF" w14:textId="77777777" w:rsidR="002D7E57" w:rsidRDefault="002D7E57"/>
    <w:sectPr w:rsidR="002D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lementine colson" w:date="2019-08-11T23:08:00Z" w:initials="cc">
    <w:p w14:paraId="32349699" w14:textId="77777777" w:rsidR="002B3DD6" w:rsidRDefault="002B3DD6" w:rsidP="002B3DD6">
      <w:pPr>
        <w:pStyle w:val="Commentaire"/>
      </w:pPr>
      <w:r>
        <w:rPr>
          <w:rStyle w:val="Marquedecommentaire"/>
        </w:rPr>
        <w:annotationRef/>
      </w:r>
      <w:r>
        <w:t>OU « de soixante jours » si on se trouve dans la phase administrative urgente (</w:t>
      </w:r>
      <w:proofErr w:type="spellStart"/>
      <w:r>
        <w:t>cfr</w:t>
      </w:r>
      <w:proofErr w:type="spellEnd"/>
      <w:r>
        <w:t xml:space="preserve"> article 5, §3 </w:t>
      </w:r>
      <w:proofErr w:type="gramStart"/>
      <w:r>
        <w:t>décret</w:t>
      </w:r>
      <w:proofErr w:type="gramEnd"/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3496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349699" w16cid:durableId="20FB1E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63E8" w14:textId="77777777" w:rsidR="00AD0BF9" w:rsidRDefault="00AD0BF9" w:rsidP="002B3DD6">
      <w:r>
        <w:separator/>
      </w:r>
    </w:p>
  </w:endnote>
  <w:endnote w:type="continuationSeparator" w:id="0">
    <w:p w14:paraId="55909086" w14:textId="77777777" w:rsidR="00AD0BF9" w:rsidRDefault="00AD0BF9" w:rsidP="002B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96DC" w14:textId="77777777" w:rsidR="00AD0BF9" w:rsidRDefault="00AD0BF9" w:rsidP="002B3DD6">
      <w:r>
        <w:separator/>
      </w:r>
    </w:p>
  </w:footnote>
  <w:footnote w:type="continuationSeparator" w:id="0">
    <w:p w14:paraId="70C423FE" w14:textId="77777777" w:rsidR="00AD0BF9" w:rsidRDefault="00AD0BF9" w:rsidP="002B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956A9"/>
    <w:multiLevelType w:val="hybridMultilevel"/>
    <w:tmpl w:val="BCCEBDEC"/>
    <w:lvl w:ilvl="0" w:tplc="97D8C55A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D6"/>
    <w:rsid w:val="00166E5D"/>
    <w:rsid w:val="002B3DD6"/>
    <w:rsid w:val="002B7A2A"/>
    <w:rsid w:val="002D7E57"/>
    <w:rsid w:val="003119B1"/>
    <w:rsid w:val="00442125"/>
    <w:rsid w:val="0045435F"/>
    <w:rsid w:val="006D66C2"/>
    <w:rsid w:val="00705450"/>
    <w:rsid w:val="007C405D"/>
    <w:rsid w:val="00827D3A"/>
    <w:rsid w:val="009167ED"/>
    <w:rsid w:val="00AD0BF9"/>
    <w:rsid w:val="00BB34CE"/>
    <w:rsid w:val="00D22A63"/>
    <w:rsid w:val="00E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0B0E8"/>
  <w15:chartTrackingRefBased/>
  <w15:docId w15:val="{825B0E71-87B1-455C-9CCF-EDB7731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DD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B3DD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B3D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B3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DD6"/>
    <w:rPr>
      <w:rFonts w:eastAsiaTheme="minorEastAsia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D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DD6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Clémentine</dc:creator>
  <cp:keywords/>
  <dc:description/>
  <cp:lastModifiedBy>ROUSSEAU Amandine</cp:lastModifiedBy>
  <cp:revision>2</cp:revision>
  <dcterms:created xsi:type="dcterms:W3CDTF">2021-04-22T12:57:00Z</dcterms:created>
  <dcterms:modified xsi:type="dcterms:W3CDTF">2021-04-22T12:57:00Z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2021-04-22T12:56:29Z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e9931eab-155c-42a4-acfe-06a7af17c21e</vt:lpwstr>
  </property>
  <property fmtid="{D5CDD505-2E9C-101B-9397-08002B2CF9AE}" pid="8" name="MSIP_Label_e72a09c5-6e26-4737-a926-47ef1ab198ae_ContentBits">
    <vt:lpwstr>8</vt:lpwstr>
  </property>
</Properties>
</file>