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D2B4" w14:textId="77777777" w:rsidR="00A74336" w:rsidRPr="00335EF2" w:rsidRDefault="00A74336">
      <w:pPr>
        <w:pStyle w:val="Titre1"/>
        <w:jc w:val="center"/>
        <w:rPr>
          <w:sz w:val="24"/>
          <w:u w:val="single"/>
        </w:rPr>
      </w:pPr>
      <w:r>
        <w:rPr>
          <w:sz w:val="24"/>
          <w:u w:val="single"/>
        </w:rPr>
        <w:t>Modèle de règlem</w:t>
      </w:r>
      <w:r w:rsidRPr="00335EF2">
        <w:rPr>
          <w:sz w:val="24"/>
          <w:u w:val="single"/>
        </w:rPr>
        <w:t>ent-taxe sur les inhumations, dispersions des cendres et mise</w:t>
      </w:r>
      <w:r w:rsidR="00744876" w:rsidRPr="00335EF2">
        <w:rPr>
          <w:sz w:val="24"/>
          <w:u w:val="single"/>
        </w:rPr>
        <w:t xml:space="preserve">s </w:t>
      </w:r>
      <w:r w:rsidRPr="00335EF2">
        <w:rPr>
          <w:sz w:val="24"/>
          <w:u w:val="single"/>
        </w:rPr>
        <w:t>en columbarium</w:t>
      </w:r>
    </w:p>
    <w:p w14:paraId="0746E50A" w14:textId="77777777" w:rsidR="00CB4464" w:rsidRPr="00335EF2" w:rsidRDefault="00CB4464" w:rsidP="00CB4464"/>
    <w:p w14:paraId="45CD531A" w14:textId="77777777" w:rsidR="00CB4464" w:rsidRPr="00335EF2" w:rsidRDefault="00CB4464" w:rsidP="00CB4464"/>
    <w:p w14:paraId="70F9D533" w14:textId="77777777" w:rsidR="00A74336" w:rsidRPr="00335EF2" w:rsidRDefault="00A74336">
      <w:pPr>
        <w:pStyle w:val="Titre2"/>
        <w:spacing w:before="240"/>
      </w:pPr>
      <w:r w:rsidRPr="00335EF2">
        <w:t xml:space="preserve">Extrait du registre aux délibérations du </w:t>
      </w:r>
      <w:r w:rsidR="008344A8" w:rsidRPr="00335EF2">
        <w:t>c</w:t>
      </w:r>
      <w:r w:rsidRPr="00335EF2">
        <w:t>onseil communal</w:t>
      </w:r>
    </w:p>
    <w:p w14:paraId="3B74EDAE" w14:textId="77777777" w:rsidR="00A74336" w:rsidRPr="00335EF2" w:rsidRDefault="00A74336">
      <w:pPr>
        <w:spacing w:before="240"/>
        <w:rPr>
          <w:sz w:val="24"/>
        </w:rPr>
      </w:pPr>
      <w:r w:rsidRPr="00335EF2">
        <w:rPr>
          <w:sz w:val="24"/>
        </w:rPr>
        <w:t>Séance publique</w:t>
      </w:r>
      <w:r w:rsidRPr="00335EF2">
        <w:t xml:space="preserve"> </w:t>
      </w:r>
      <w:r w:rsidR="00CB4464" w:rsidRPr="00335EF2">
        <w:rPr>
          <w:sz w:val="24"/>
        </w:rPr>
        <w:t xml:space="preserve">du … </w:t>
      </w:r>
    </w:p>
    <w:p w14:paraId="0FCEF246" w14:textId="77777777" w:rsidR="00A74336" w:rsidRPr="00335EF2" w:rsidRDefault="00A74336">
      <w:pPr>
        <w:spacing w:before="240"/>
        <w:rPr>
          <w:sz w:val="24"/>
        </w:rPr>
      </w:pPr>
      <w:r w:rsidRPr="00335EF2">
        <w:rPr>
          <w:sz w:val="24"/>
        </w:rPr>
        <w:t>Présents</w:t>
      </w:r>
      <w:r w:rsidR="00CB4464" w:rsidRPr="00335EF2">
        <w:rPr>
          <w:sz w:val="24"/>
        </w:rPr>
        <w:t xml:space="preserve"> </w:t>
      </w:r>
      <w:r w:rsidRPr="00335EF2">
        <w:rPr>
          <w:sz w:val="24"/>
        </w:rPr>
        <w:t>: ………………………………………………………………………</w:t>
      </w:r>
    </w:p>
    <w:p w14:paraId="1131148A" w14:textId="77777777" w:rsidR="00A74336" w:rsidRPr="00335EF2" w:rsidRDefault="00A74336">
      <w:pPr>
        <w:spacing w:before="240"/>
        <w:rPr>
          <w:b/>
          <w:sz w:val="24"/>
        </w:rPr>
      </w:pPr>
      <w:r w:rsidRPr="00335EF2">
        <w:rPr>
          <w:b/>
          <w:sz w:val="24"/>
          <w:u w:val="single"/>
        </w:rPr>
        <w:t>OBJET </w:t>
      </w:r>
      <w:r w:rsidRPr="00335EF2">
        <w:rPr>
          <w:b/>
          <w:sz w:val="24"/>
        </w:rPr>
        <w:t>: Taxe sur les inhumations, dispersions des cendres et mises en columbarium</w:t>
      </w:r>
      <w:r w:rsidR="00CB4464" w:rsidRPr="00335EF2">
        <w:rPr>
          <w:b/>
          <w:sz w:val="24"/>
        </w:rPr>
        <w:t xml:space="preserve"> – </w:t>
      </w:r>
      <w:r w:rsidRPr="00335EF2">
        <w:rPr>
          <w:b/>
          <w:sz w:val="24"/>
        </w:rPr>
        <w:t>Exercice(s)</w:t>
      </w:r>
      <w:r w:rsidR="00FD070B" w:rsidRPr="00335EF2">
        <w:rPr>
          <w:b/>
          <w:sz w:val="24"/>
        </w:rPr>
        <w:t xml:space="preserve"> OU Dès l’entrée en vigueur de la présente délibération et jusqu’au 31 décembre </w:t>
      </w:r>
      <w:r w:rsidR="00EF401B" w:rsidRPr="00335EF2">
        <w:rPr>
          <w:b/>
          <w:sz w:val="24"/>
        </w:rPr>
        <w:t>20..</w:t>
      </w:r>
      <w:r w:rsidR="00FD070B" w:rsidRPr="00335EF2">
        <w:rPr>
          <w:b/>
          <w:sz w:val="24"/>
        </w:rPr>
        <w:t xml:space="preserve"> inclus</w:t>
      </w:r>
    </w:p>
    <w:p w14:paraId="22EDB2F3" w14:textId="77777777" w:rsidR="00A74336" w:rsidRPr="00335EF2" w:rsidRDefault="00A74336">
      <w:pPr>
        <w:spacing w:before="240"/>
        <w:rPr>
          <w:sz w:val="24"/>
        </w:rPr>
      </w:pPr>
      <w:r w:rsidRPr="00335EF2">
        <w:rPr>
          <w:sz w:val="24"/>
        </w:rPr>
        <w:t xml:space="preserve">Le </w:t>
      </w:r>
      <w:r w:rsidR="008344A8" w:rsidRPr="00335EF2">
        <w:rPr>
          <w:sz w:val="24"/>
        </w:rPr>
        <w:t>c</w:t>
      </w:r>
      <w:r w:rsidRPr="00335EF2">
        <w:rPr>
          <w:sz w:val="24"/>
        </w:rPr>
        <w:t>onseil communal,</w:t>
      </w:r>
    </w:p>
    <w:p w14:paraId="13F6CC54" w14:textId="77777777" w:rsidR="00EB7309" w:rsidRPr="00335EF2" w:rsidRDefault="00EB7309" w:rsidP="00EB7309">
      <w:pPr>
        <w:pStyle w:val="Corpsdetexte2"/>
        <w:spacing w:before="240" w:after="0" w:line="240" w:lineRule="exact"/>
      </w:pPr>
      <w:r w:rsidRPr="00335EF2">
        <w:t xml:space="preserve">Vu la Constitution, </w:t>
      </w:r>
      <w:r w:rsidR="00CB4464" w:rsidRPr="00335EF2">
        <w:t xml:space="preserve">les articles 41,162 et 170 § 4 ; </w:t>
      </w:r>
    </w:p>
    <w:p w14:paraId="7E0960E5" w14:textId="77777777" w:rsidR="00104D73" w:rsidRPr="00335EF2" w:rsidRDefault="00104D73" w:rsidP="00104D73">
      <w:pPr>
        <w:spacing w:before="240" w:line="240" w:lineRule="exact"/>
        <w:jc w:val="both"/>
        <w:rPr>
          <w:sz w:val="24"/>
          <w:szCs w:val="24"/>
        </w:rPr>
      </w:pPr>
      <w:r w:rsidRPr="00335EF2">
        <w:rPr>
          <w:sz w:val="24"/>
          <w:szCs w:val="24"/>
        </w:rPr>
        <w:t xml:space="preserve">Vu le décret du 14 décembre 2000 (M.B. 18.1.2001) et la loi du 24 juin 2000 (M.B. 23.9.2004, éd. 2) portant assentiment de la Charte européenne de l’autonomie locale, notamment l’article 9.1. de la Charte ; </w:t>
      </w:r>
    </w:p>
    <w:p w14:paraId="48D71BBD" w14:textId="77777777" w:rsidR="00EB7309" w:rsidRPr="00335EF2" w:rsidRDefault="00CB4464" w:rsidP="00EB7309">
      <w:pPr>
        <w:spacing w:before="240"/>
        <w:jc w:val="both"/>
        <w:rPr>
          <w:sz w:val="24"/>
          <w:szCs w:val="24"/>
        </w:rPr>
      </w:pPr>
      <w:r w:rsidRPr="00335EF2">
        <w:rPr>
          <w:sz w:val="24"/>
          <w:szCs w:val="24"/>
        </w:rPr>
        <w:t xml:space="preserve">Vu le Code de la démocratie </w:t>
      </w:r>
      <w:r w:rsidR="00FD070B" w:rsidRPr="00335EF2">
        <w:rPr>
          <w:sz w:val="24"/>
          <w:szCs w:val="24"/>
        </w:rPr>
        <w:t>l</w:t>
      </w:r>
      <w:r w:rsidRPr="00335EF2">
        <w:rPr>
          <w:sz w:val="24"/>
          <w:szCs w:val="24"/>
        </w:rPr>
        <w:t xml:space="preserve">ocale et de la </w:t>
      </w:r>
      <w:r w:rsidR="00FD070B" w:rsidRPr="00335EF2">
        <w:rPr>
          <w:sz w:val="24"/>
          <w:szCs w:val="24"/>
        </w:rPr>
        <w:t>d</w:t>
      </w:r>
      <w:r w:rsidR="00EB7309" w:rsidRPr="00335EF2">
        <w:rPr>
          <w:sz w:val="24"/>
          <w:szCs w:val="24"/>
        </w:rPr>
        <w:t xml:space="preserve">écentralisation, </w:t>
      </w:r>
      <w:r w:rsidR="00AB49DE" w:rsidRPr="00335EF2">
        <w:rPr>
          <w:sz w:val="24"/>
          <w:szCs w:val="24"/>
        </w:rPr>
        <w:t xml:space="preserve">les </w:t>
      </w:r>
      <w:r w:rsidR="00EB7309" w:rsidRPr="00335EF2">
        <w:rPr>
          <w:sz w:val="24"/>
          <w:szCs w:val="24"/>
        </w:rPr>
        <w:t>article</w:t>
      </w:r>
      <w:r w:rsidR="00AB49DE" w:rsidRPr="00335EF2">
        <w:rPr>
          <w:sz w:val="24"/>
          <w:szCs w:val="24"/>
        </w:rPr>
        <w:t>s</w:t>
      </w:r>
      <w:r w:rsidR="00EB7309" w:rsidRPr="00335EF2">
        <w:rPr>
          <w:sz w:val="24"/>
          <w:szCs w:val="24"/>
        </w:rPr>
        <w:t xml:space="preserve"> L1122-30</w:t>
      </w:r>
      <w:r w:rsidR="007A1F3F" w:rsidRPr="00335EF2">
        <w:rPr>
          <w:sz w:val="24"/>
          <w:szCs w:val="24"/>
        </w:rPr>
        <w:t xml:space="preserve">, </w:t>
      </w:r>
      <w:r w:rsidR="00AB49DE" w:rsidRPr="00335EF2">
        <w:rPr>
          <w:sz w:val="24"/>
          <w:szCs w:val="24"/>
        </w:rPr>
        <w:t>L1232-1 à L1232-32</w:t>
      </w:r>
      <w:r w:rsidR="007A1F3F" w:rsidRPr="00335EF2">
        <w:rPr>
          <w:sz w:val="24"/>
          <w:szCs w:val="24"/>
        </w:rPr>
        <w:t xml:space="preserve"> et L3321-1 à 12</w:t>
      </w:r>
      <w:r w:rsidRPr="00335EF2">
        <w:rPr>
          <w:sz w:val="24"/>
          <w:szCs w:val="24"/>
        </w:rPr>
        <w:t xml:space="preserve">; </w:t>
      </w:r>
    </w:p>
    <w:p w14:paraId="7F5006E2" w14:textId="77777777" w:rsidR="00A74336" w:rsidRPr="00335EF2" w:rsidRDefault="00A74336">
      <w:pPr>
        <w:spacing w:before="240"/>
        <w:rPr>
          <w:sz w:val="24"/>
        </w:rPr>
      </w:pPr>
      <w:r w:rsidRPr="00335EF2">
        <w:rPr>
          <w:sz w:val="24"/>
        </w:rPr>
        <w:t>Vu les dispositions légales et réglementaires en vigueur en matière d'établissement et de re</w:t>
      </w:r>
      <w:r w:rsidR="00CB4464" w:rsidRPr="00335EF2">
        <w:rPr>
          <w:sz w:val="24"/>
        </w:rPr>
        <w:t xml:space="preserve">couvrement des taxes communales ; </w:t>
      </w:r>
    </w:p>
    <w:p w14:paraId="3C251B84" w14:textId="77777777" w:rsidR="00BF5ECD" w:rsidRPr="00335EF2" w:rsidRDefault="00BF5ECD" w:rsidP="00BF5ECD">
      <w:pPr>
        <w:spacing w:before="240"/>
        <w:jc w:val="both"/>
        <w:rPr>
          <w:sz w:val="24"/>
          <w:szCs w:val="24"/>
        </w:rPr>
      </w:pPr>
      <w:r w:rsidRPr="00335EF2">
        <w:rPr>
          <w:sz w:val="24"/>
          <w:szCs w:val="24"/>
        </w:rPr>
        <w:t xml:space="preserve">Vu les recommandations émises par la circulaire du … relative à l’élaboration des budgets des communes de la Région wallonne, pour l’année … ; </w:t>
      </w:r>
    </w:p>
    <w:p w14:paraId="769D63E7" w14:textId="77777777" w:rsidR="00961EAA" w:rsidRPr="00335EF2" w:rsidRDefault="00335EF2" w:rsidP="00BF5ECD">
      <w:pPr>
        <w:spacing w:before="240"/>
        <w:jc w:val="both"/>
        <w:rPr>
          <w:sz w:val="24"/>
          <w:szCs w:val="24"/>
        </w:rPr>
      </w:pPr>
      <w:r w:rsidRPr="00335EF2">
        <w:rPr>
          <w:sz w:val="24"/>
          <w:szCs w:val="24"/>
        </w:rPr>
        <w:t xml:space="preserve">Considérant </w:t>
      </w:r>
      <w:r w:rsidRPr="00335EF2">
        <w:rPr>
          <w:b/>
          <w:bCs/>
          <w:sz w:val="24"/>
          <w:szCs w:val="24"/>
        </w:rPr>
        <w:t>(</w:t>
      </w:r>
      <w:r w:rsidR="00961EAA" w:rsidRPr="00335EF2">
        <w:rPr>
          <w:b/>
          <w:bCs/>
          <w:sz w:val="24"/>
          <w:szCs w:val="24"/>
        </w:rPr>
        <w:t>Motivation des exonérations</w:t>
      </w:r>
      <w:r w:rsidRPr="00335EF2">
        <w:rPr>
          <w:b/>
          <w:bCs/>
          <w:sz w:val="24"/>
          <w:szCs w:val="24"/>
        </w:rPr>
        <w:t>)</w:t>
      </w:r>
    </w:p>
    <w:p w14:paraId="0F0E83AA" w14:textId="77777777" w:rsidR="006E0FF7" w:rsidRPr="00335EF2" w:rsidRDefault="006E0FF7" w:rsidP="006E0FF7">
      <w:pPr>
        <w:spacing w:before="240" w:line="240" w:lineRule="exact"/>
        <w:jc w:val="both"/>
        <w:rPr>
          <w:bCs/>
          <w:iCs/>
          <w:sz w:val="24"/>
          <w:szCs w:val="24"/>
        </w:rPr>
      </w:pPr>
      <w:r w:rsidRPr="00335EF2">
        <w:rPr>
          <w:bCs/>
          <w:iCs/>
          <w:sz w:val="24"/>
          <w:szCs w:val="24"/>
        </w:rPr>
        <w:t>Vu la communication du dossier au directeur</w:t>
      </w:r>
      <w:r w:rsidR="00CB4464" w:rsidRPr="00335EF2">
        <w:rPr>
          <w:bCs/>
          <w:iCs/>
          <w:sz w:val="24"/>
          <w:szCs w:val="24"/>
        </w:rPr>
        <w:t xml:space="preserve"> financier faite en date du … </w:t>
      </w:r>
      <w:r w:rsidRPr="00335EF2">
        <w:rPr>
          <w:bCs/>
          <w:iCs/>
          <w:sz w:val="24"/>
          <w:szCs w:val="24"/>
        </w:rPr>
        <w:t>conformément à l’article L 1124-40 §1</w:t>
      </w:r>
      <w:r w:rsidR="00633DEE" w:rsidRPr="00335EF2">
        <w:rPr>
          <w:bCs/>
          <w:iCs/>
          <w:sz w:val="24"/>
          <w:szCs w:val="24"/>
          <w:vertAlign w:val="superscript"/>
        </w:rPr>
        <w:t>er</w:t>
      </w:r>
      <w:r w:rsidRPr="00335EF2">
        <w:rPr>
          <w:bCs/>
          <w:iCs/>
          <w:sz w:val="24"/>
          <w:szCs w:val="24"/>
        </w:rPr>
        <w:t>,</w:t>
      </w:r>
      <w:r w:rsidR="00633DEE" w:rsidRPr="00335EF2">
        <w:rPr>
          <w:bCs/>
          <w:iCs/>
          <w:sz w:val="24"/>
          <w:szCs w:val="24"/>
        </w:rPr>
        <w:t xml:space="preserve"> </w:t>
      </w:r>
      <w:r w:rsidRPr="00335EF2">
        <w:rPr>
          <w:bCs/>
          <w:iCs/>
          <w:sz w:val="24"/>
          <w:szCs w:val="24"/>
        </w:rPr>
        <w:t xml:space="preserve">3°et 4° du </w:t>
      </w:r>
      <w:r w:rsidR="00CB4464" w:rsidRPr="00335EF2">
        <w:rPr>
          <w:sz w:val="24"/>
          <w:szCs w:val="24"/>
        </w:rPr>
        <w:t xml:space="preserve">Code de la démocratie </w:t>
      </w:r>
      <w:r w:rsidR="00FD070B" w:rsidRPr="00335EF2">
        <w:rPr>
          <w:sz w:val="24"/>
          <w:szCs w:val="24"/>
        </w:rPr>
        <w:t>l</w:t>
      </w:r>
      <w:r w:rsidR="00CB4464" w:rsidRPr="00335EF2">
        <w:rPr>
          <w:sz w:val="24"/>
          <w:szCs w:val="24"/>
        </w:rPr>
        <w:t xml:space="preserve">ocale et de la </w:t>
      </w:r>
      <w:r w:rsidR="00FD070B" w:rsidRPr="00335EF2">
        <w:rPr>
          <w:sz w:val="24"/>
          <w:szCs w:val="24"/>
        </w:rPr>
        <w:t>d</w:t>
      </w:r>
      <w:r w:rsidR="00CB4464" w:rsidRPr="00335EF2">
        <w:rPr>
          <w:sz w:val="24"/>
          <w:szCs w:val="24"/>
        </w:rPr>
        <w:t>écentralisation </w:t>
      </w:r>
      <w:r w:rsidR="00CB4464" w:rsidRPr="00335EF2">
        <w:rPr>
          <w:bCs/>
          <w:iCs/>
          <w:sz w:val="24"/>
          <w:szCs w:val="24"/>
        </w:rPr>
        <w:t xml:space="preserve">; </w:t>
      </w:r>
    </w:p>
    <w:p w14:paraId="3ADDD638" w14:textId="77777777" w:rsidR="006E0FF7" w:rsidRPr="00335EF2" w:rsidRDefault="006E0FF7" w:rsidP="006E0FF7">
      <w:pPr>
        <w:spacing w:before="240" w:line="240" w:lineRule="exact"/>
        <w:jc w:val="both"/>
        <w:rPr>
          <w:bCs/>
          <w:iCs/>
          <w:sz w:val="24"/>
          <w:szCs w:val="24"/>
          <w:lang w:val="fr-BE"/>
        </w:rPr>
      </w:pPr>
      <w:r w:rsidRPr="00335EF2">
        <w:rPr>
          <w:bCs/>
          <w:iCs/>
          <w:sz w:val="24"/>
          <w:szCs w:val="24"/>
        </w:rPr>
        <w:t xml:space="preserve">Vu l’avis favorable/défavorable </w:t>
      </w:r>
      <w:r w:rsidR="008344A8" w:rsidRPr="00335EF2">
        <w:rPr>
          <w:bCs/>
          <w:iCs/>
          <w:sz w:val="24"/>
          <w:szCs w:val="24"/>
        </w:rPr>
        <w:t>rendu par</w:t>
      </w:r>
      <w:r w:rsidRPr="00335EF2">
        <w:rPr>
          <w:bCs/>
          <w:iCs/>
          <w:sz w:val="24"/>
          <w:szCs w:val="24"/>
        </w:rPr>
        <w:t xml:space="preserve"> le </w:t>
      </w:r>
      <w:r w:rsidR="008344A8" w:rsidRPr="00335EF2">
        <w:rPr>
          <w:bCs/>
          <w:iCs/>
          <w:sz w:val="24"/>
          <w:szCs w:val="24"/>
        </w:rPr>
        <w:t>d</w:t>
      </w:r>
      <w:r w:rsidRPr="00335EF2">
        <w:rPr>
          <w:bCs/>
          <w:iCs/>
          <w:sz w:val="24"/>
          <w:szCs w:val="24"/>
        </w:rPr>
        <w:t>irecteur financier en date d</w:t>
      </w:r>
      <w:r w:rsidR="00CB4464" w:rsidRPr="00335EF2">
        <w:rPr>
          <w:bCs/>
          <w:iCs/>
          <w:sz w:val="24"/>
          <w:szCs w:val="24"/>
        </w:rPr>
        <w:t xml:space="preserve">u … et joint en annexe ; </w:t>
      </w:r>
    </w:p>
    <w:p w14:paraId="6B6FE46E" w14:textId="77777777" w:rsidR="006E0FF7" w:rsidRPr="00335EF2" w:rsidRDefault="006E0FF7" w:rsidP="006E0FF7">
      <w:pPr>
        <w:spacing w:before="120" w:line="240" w:lineRule="exact"/>
        <w:jc w:val="both"/>
        <w:rPr>
          <w:b/>
          <w:iCs/>
          <w:sz w:val="24"/>
          <w:szCs w:val="24"/>
          <w:lang w:val="fr-BE"/>
        </w:rPr>
      </w:pPr>
      <w:r w:rsidRPr="00335EF2">
        <w:rPr>
          <w:b/>
          <w:iCs/>
          <w:sz w:val="24"/>
          <w:szCs w:val="24"/>
          <w:lang w:val="fr-BE"/>
        </w:rPr>
        <w:t>OU</w:t>
      </w:r>
    </w:p>
    <w:p w14:paraId="3E9B31BE" w14:textId="77777777" w:rsidR="006E0FF7" w:rsidRPr="00335EF2" w:rsidRDefault="006E0FF7" w:rsidP="006E0FF7">
      <w:pPr>
        <w:spacing w:before="120" w:line="240" w:lineRule="exact"/>
        <w:jc w:val="both"/>
        <w:rPr>
          <w:sz w:val="24"/>
          <w:szCs w:val="24"/>
          <w:lang w:val="fr-BE"/>
        </w:rPr>
      </w:pPr>
      <w:r w:rsidRPr="00335EF2">
        <w:rPr>
          <w:bCs/>
          <w:iCs/>
          <w:sz w:val="24"/>
          <w:szCs w:val="24"/>
        </w:rPr>
        <w:t xml:space="preserve">Vu que le </w:t>
      </w:r>
      <w:r w:rsidR="008344A8" w:rsidRPr="00335EF2">
        <w:rPr>
          <w:bCs/>
          <w:iCs/>
          <w:sz w:val="24"/>
          <w:szCs w:val="24"/>
        </w:rPr>
        <w:t>d</w:t>
      </w:r>
      <w:r w:rsidRPr="00335EF2">
        <w:rPr>
          <w:bCs/>
          <w:iCs/>
          <w:sz w:val="24"/>
          <w:szCs w:val="24"/>
        </w:rPr>
        <w:t>irecteur</w:t>
      </w:r>
      <w:r w:rsidR="00CB4464" w:rsidRPr="00335EF2">
        <w:rPr>
          <w:bCs/>
          <w:iCs/>
          <w:sz w:val="24"/>
          <w:szCs w:val="24"/>
        </w:rPr>
        <w:t xml:space="preserve"> financier n’a pas rendu d’avis ; </w:t>
      </w:r>
    </w:p>
    <w:p w14:paraId="62D02182" w14:textId="77777777" w:rsidR="00A74336" w:rsidRPr="00335EF2" w:rsidRDefault="00A74336">
      <w:pPr>
        <w:spacing w:before="240"/>
        <w:rPr>
          <w:sz w:val="24"/>
        </w:rPr>
      </w:pPr>
      <w:r w:rsidRPr="00335EF2">
        <w:rPr>
          <w:sz w:val="24"/>
        </w:rPr>
        <w:lastRenderedPageBreak/>
        <w:t xml:space="preserve">Vu que la commune doit se doter des moyens nécessaires afin d’assurer l’exercice </w:t>
      </w:r>
      <w:r w:rsidR="00CB4464" w:rsidRPr="00335EF2">
        <w:rPr>
          <w:sz w:val="24"/>
        </w:rPr>
        <w:t xml:space="preserve">de sa mission de service public ; </w:t>
      </w:r>
    </w:p>
    <w:p w14:paraId="65A2701C" w14:textId="77777777" w:rsidR="00A74336" w:rsidRPr="00335EF2" w:rsidRDefault="00A74336">
      <w:pPr>
        <w:spacing w:before="240"/>
        <w:rPr>
          <w:sz w:val="24"/>
        </w:rPr>
      </w:pPr>
      <w:r w:rsidRPr="00335EF2">
        <w:rPr>
          <w:sz w:val="24"/>
        </w:rPr>
        <w:t xml:space="preserve">Sur proposition du </w:t>
      </w:r>
      <w:r w:rsidR="008344A8" w:rsidRPr="00335EF2">
        <w:rPr>
          <w:sz w:val="24"/>
        </w:rPr>
        <w:t>c</w:t>
      </w:r>
      <w:r w:rsidRPr="00335EF2">
        <w:rPr>
          <w:sz w:val="24"/>
        </w:rPr>
        <w:t>ollège communal,</w:t>
      </w:r>
    </w:p>
    <w:p w14:paraId="23B3D3FD" w14:textId="77777777" w:rsidR="00A74336" w:rsidRPr="00335EF2" w:rsidRDefault="00A74336">
      <w:pPr>
        <w:spacing w:before="240"/>
        <w:rPr>
          <w:sz w:val="24"/>
        </w:rPr>
      </w:pPr>
      <w:r w:rsidRPr="00335EF2">
        <w:rPr>
          <w:sz w:val="24"/>
        </w:rPr>
        <w:t>Après en avoir délibéré, par … voix pour … voix contre, et … abstentions</w:t>
      </w:r>
      <w:r w:rsidR="00312C83" w:rsidRPr="00335EF2">
        <w:rPr>
          <w:sz w:val="24"/>
        </w:rPr>
        <w:t>,</w:t>
      </w:r>
    </w:p>
    <w:p w14:paraId="44D86761" w14:textId="77777777" w:rsidR="00A74336" w:rsidRPr="00335EF2" w:rsidRDefault="00CB4464">
      <w:pPr>
        <w:pStyle w:val="Corpsdetexte"/>
        <w:spacing w:before="240" w:after="120"/>
        <w:rPr>
          <w:b/>
        </w:rPr>
      </w:pPr>
      <w:r w:rsidRPr="00335EF2">
        <w:rPr>
          <w:b/>
        </w:rPr>
        <w:t xml:space="preserve">Décide : </w:t>
      </w:r>
    </w:p>
    <w:p w14:paraId="3D02BF3E" w14:textId="77777777" w:rsidR="00A74336" w:rsidRPr="00335EF2" w:rsidRDefault="00CB4464">
      <w:pPr>
        <w:spacing w:before="240"/>
        <w:jc w:val="both"/>
        <w:rPr>
          <w:sz w:val="24"/>
        </w:rPr>
      </w:pPr>
      <w:r w:rsidRPr="00335EF2">
        <w:rPr>
          <w:b/>
          <w:i/>
          <w:sz w:val="24"/>
        </w:rPr>
        <w:t>Article 1</w:t>
      </w:r>
      <w:r w:rsidRPr="00335EF2">
        <w:rPr>
          <w:b/>
          <w:i/>
          <w:sz w:val="24"/>
          <w:vertAlign w:val="superscript"/>
        </w:rPr>
        <w:t>er</w:t>
      </w:r>
      <w:r w:rsidRPr="00335EF2">
        <w:rPr>
          <w:b/>
          <w:i/>
          <w:sz w:val="24"/>
        </w:rPr>
        <w:t xml:space="preserve"> – </w:t>
      </w:r>
      <w:r w:rsidR="00A74336" w:rsidRPr="00335EF2">
        <w:rPr>
          <w:sz w:val="24"/>
        </w:rPr>
        <w:t>Il es</w:t>
      </w:r>
      <w:r w:rsidRPr="00335EF2">
        <w:rPr>
          <w:sz w:val="24"/>
        </w:rPr>
        <w:t xml:space="preserve">t établi, pour l'exercice 20.. </w:t>
      </w:r>
      <w:r w:rsidR="00A74336" w:rsidRPr="00335EF2">
        <w:rPr>
          <w:sz w:val="24"/>
        </w:rPr>
        <w:t>(</w:t>
      </w:r>
      <w:r w:rsidR="00FD070B" w:rsidRPr="00335EF2">
        <w:rPr>
          <w:b/>
          <w:bCs/>
          <w:iCs/>
          <w:sz w:val="24"/>
        </w:rPr>
        <w:t>OU</w:t>
      </w:r>
      <w:r w:rsidRPr="00335EF2">
        <w:rPr>
          <w:iCs/>
          <w:sz w:val="24"/>
        </w:rPr>
        <w:t xml:space="preserve"> pour les exercices 20.. à 20</w:t>
      </w:r>
      <w:r w:rsidRPr="00335EF2">
        <w:rPr>
          <w:i/>
          <w:sz w:val="24"/>
        </w:rPr>
        <w:t>.</w:t>
      </w:r>
      <w:r w:rsidR="00FD070B" w:rsidRPr="00335EF2">
        <w:rPr>
          <w:b/>
          <w:sz w:val="24"/>
        </w:rPr>
        <w:t xml:space="preserve"> OU </w:t>
      </w:r>
      <w:r w:rsidR="00335EF2" w:rsidRPr="00335EF2">
        <w:rPr>
          <w:b/>
          <w:sz w:val="24"/>
        </w:rPr>
        <w:t>d</w:t>
      </w:r>
      <w:r w:rsidR="00FD070B" w:rsidRPr="00335EF2">
        <w:rPr>
          <w:b/>
          <w:sz w:val="24"/>
        </w:rPr>
        <w:t xml:space="preserve">ès l’entrée en vigueur de la présente délibération et jusqu’au 31 décembre </w:t>
      </w:r>
      <w:r w:rsidR="00EF401B" w:rsidRPr="00335EF2">
        <w:rPr>
          <w:b/>
          <w:sz w:val="24"/>
        </w:rPr>
        <w:t>20..</w:t>
      </w:r>
      <w:r w:rsidR="00FD070B" w:rsidRPr="00335EF2">
        <w:rPr>
          <w:b/>
          <w:sz w:val="24"/>
        </w:rPr>
        <w:t xml:space="preserve"> inclus</w:t>
      </w:r>
      <w:r w:rsidR="00A74336" w:rsidRPr="00335EF2">
        <w:rPr>
          <w:i/>
          <w:sz w:val="24"/>
        </w:rPr>
        <w:t>)</w:t>
      </w:r>
      <w:r w:rsidRPr="00335EF2">
        <w:rPr>
          <w:sz w:val="24"/>
        </w:rPr>
        <w:t xml:space="preserve">, </w:t>
      </w:r>
      <w:r w:rsidR="00A74336" w:rsidRPr="00335EF2">
        <w:rPr>
          <w:sz w:val="24"/>
        </w:rPr>
        <w:t>une taxe communale (</w:t>
      </w:r>
      <w:r w:rsidR="00FD070B" w:rsidRPr="00335EF2">
        <w:rPr>
          <w:b/>
          <w:bCs/>
          <w:sz w:val="24"/>
        </w:rPr>
        <w:t>OU</w:t>
      </w:r>
      <w:r w:rsidR="00FD070B" w:rsidRPr="00335EF2">
        <w:rPr>
          <w:sz w:val="24"/>
        </w:rPr>
        <w:t xml:space="preserve"> </w:t>
      </w:r>
      <w:r w:rsidR="00A74336" w:rsidRPr="00335EF2">
        <w:rPr>
          <w:sz w:val="24"/>
        </w:rPr>
        <w:t>une taxe communale annuelle) sur les inhumations, dispersions des cendres et mises en columbarium.</w:t>
      </w:r>
    </w:p>
    <w:p w14:paraId="2D6F808C" w14:textId="77777777" w:rsidR="005B7240" w:rsidRPr="00335EF2" w:rsidRDefault="00104D73" w:rsidP="00EE6426">
      <w:pPr>
        <w:spacing w:before="228" w:line="276" w:lineRule="exact"/>
        <w:ind w:right="216"/>
        <w:jc w:val="both"/>
        <w:textAlignment w:val="baseline"/>
        <w:rPr>
          <w:sz w:val="24"/>
          <w:szCs w:val="24"/>
        </w:rPr>
      </w:pPr>
      <w:r w:rsidRPr="00335EF2">
        <w:rPr>
          <w:sz w:val="24"/>
          <w:szCs w:val="24"/>
        </w:rPr>
        <w:t>Conformément à l’article L1232-2</w:t>
      </w:r>
      <w:r w:rsidR="00FD070B" w:rsidRPr="00335EF2">
        <w:rPr>
          <w:sz w:val="24"/>
          <w:szCs w:val="24"/>
        </w:rPr>
        <w:t>,</w:t>
      </w:r>
      <w:r w:rsidRPr="00335EF2">
        <w:rPr>
          <w:sz w:val="24"/>
          <w:szCs w:val="24"/>
        </w:rPr>
        <w:t xml:space="preserve"> §5 du Code de la </w:t>
      </w:r>
      <w:r w:rsidR="00FD070B" w:rsidRPr="00335EF2">
        <w:rPr>
          <w:sz w:val="24"/>
          <w:szCs w:val="24"/>
        </w:rPr>
        <w:t>d</w:t>
      </w:r>
      <w:r w:rsidRPr="00335EF2">
        <w:rPr>
          <w:sz w:val="24"/>
          <w:szCs w:val="24"/>
        </w:rPr>
        <w:t xml:space="preserve">émocratie </w:t>
      </w:r>
      <w:r w:rsidR="00FD070B" w:rsidRPr="00335EF2">
        <w:rPr>
          <w:sz w:val="24"/>
          <w:szCs w:val="24"/>
        </w:rPr>
        <w:t>l</w:t>
      </w:r>
      <w:r w:rsidRPr="00335EF2">
        <w:rPr>
          <w:sz w:val="24"/>
          <w:szCs w:val="24"/>
        </w:rPr>
        <w:t xml:space="preserve">ocale et de la </w:t>
      </w:r>
      <w:r w:rsidR="00FD070B" w:rsidRPr="00335EF2">
        <w:rPr>
          <w:sz w:val="24"/>
          <w:szCs w:val="24"/>
        </w:rPr>
        <w:t>d</w:t>
      </w:r>
      <w:r w:rsidRPr="00335EF2">
        <w:rPr>
          <w:sz w:val="24"/>
          <w:szCs w:val="24"/>
        </w:rPr>
        <w:t xml:space="preserve">écentralisation, </w:t>
      </w:r>
      <w:r w:rsidR="005B7240" w:rsidRPr="00335EF2">
        <w:rPr>
          <w:rFonts w:eastAsia="Garamond"/>
          <w:sz w:val="24"/>
          <w:szCs w:val="24"/>
        </w:rPr>
        <w:t>l'inhumation, la dispersion des cendres ou mise en columbarium</w:t>
      </w:r>
      <w:r w:rsidRPr="00335EF2">
        <w:rPr>
          <w:rFonts w:eastAsia="Garamond"/>
          <w:sz w:val="24"/>
          <w:szCs w:val="24"/>
        </w:rPr>
        <w:t xml:space="preserve"> est gratuite </w:t>
      </w:r>
      <w:r w:rsidR="00B60B45" w:rsidRPr="00335EF2">
        <w:rPr>
          <w:rFonts w:eastAsia="Garamond"/>
          <w:sz w:val="24"/>
          <w:szCs w:val="24"/>
        </w:rPr>
        <w:t xml:space="preserve">pour une </w:t>
      </w:r>
      <w:r w:rsidR="005B7240" w:rsidRPr="00335EF2">
        <w:rPr>
          <w:rFonts w:eastAsia="Garamond"/>
          <w:sz w:val="24"/>
          <w:szCs w:val="24"/>
        </w:rPr>
        <w:t xml:space="preserve">personne inscrite ou se trouvant en instance d'inscription, au moment de son décès, au registre de la population, des étrangers ou d'attente </w:t>
      </w:r>
      <w:r w:rsidR="005B7240" w:rsidRPr="00335EF2">
        <w:rPr>
          <w:sz w:val="24"/>
          <w:szCs w:val="24"/>
        </w:rPr>
        <w:t>de</w:t>
      </w:r>
      <w:r w:rsidR="005B7240" w:rsidRPr="00335EF2">
        <w:rPr>
          <w:i/>
          <w:sz w:val="24"/>
          <w:szCs w:val="24"/>
        </w:rPr>
        <w:t xml:space="preserve"> </w:t>
      </w:r>
      <w:r w:rsidR="00CB4464" w:rsidRPr="00335EF2">
        <w:rPr>
          <w:rFonts w:eastAsia="Garamond"/>
          <w:sz w:val="24"/>
          <w:szCs w:val="24"/>
        </w:rPr>
        <w:t xml:space="preserve">la </w:t>
      </w:r>
      <w:r w:rsidR="00743E05" w:rsidRPr="00335EF2">
        <w:rPr>
          <w:rFonts w:eastAsia="Garamond"/>
          <w:sz w:val="24"/>
          <w:szCs w:val="24"/>
        </w:rPr>
        <w:t>c</w:t>
      </w:r>
      <w:r w:rsidR="00CB4464" w:rsidRPr="00335EF2">
        <w:rPr>
          <w:rFonts w:eastAsia="Garamond"/>
          <w:sz w:val="24"/>
          <w:szCs w:val="24"/>
        </w:rPr>
        <w:t>ommune/</w:t>
      </w:r>
      <w:r w:rsidR="00743E05" w:rsidRPr="00335EF2">
        <w:rPr>
          <w:rFonts w:eastAsia="Garamond"/>
          <w:sz w:val="24"/>
          <w:szCs w:val="24"/>
        </w:rPr>
        <w:t>v</w:t>
      </w:r>
      <w:r w:rsidR="005B7240" w:rsidRPr="00335EF2">
        <w:rPr>
          <w:rFonts w:eastAsia="Garamond"/>
          <w:sz w:val="24"/>
          <w:szCs w:val="24"/>
        </w:rPr>
        <w:t xml:space="preserve">ille </w:t>
      </w:r>
      <w:r w:rsidR="00CB4464" w:rsidRPr="00335EF2">
        <w:rPr>
          <w:sz w:val="24"/>
          <w:szCs w:val="24"/>
        </w:rPr>
        <w:t>de</w:t>
      </w:r>
      <w:r w:rsidR="00B60B45" w:rsidRPr="00335EF2">
        <w:rPr>
          <w:sz w:val="24"/>
          <w:szCs w:val="24"/>
        </w:rPr>
        <w:t xml:space="preserve">  … ainsi que pour les indigents. </w:t>
      </w:r>
      <w:r w:rsidR="005B7240" w:rsidRPr="00335EF2">
        <w:rPr>
          <w:rFonts w:eastAsia="Garamond"/>
          <w:sz w:val="24"/>
          <w:szCs w:val="24"/>
        </w:rPr>
        <w:t xml:space="preserve"> </w:t>
      </w:r>
    </w:p>
    <w:p w14:paraId="29A3383A" w14:textId="77777777" w:rsidR="00A74336" w:rsidRPr="00335EF2" w:rsidRDefault="00A74336">
      <w:pPr>
        <w:spacing w:before="240"/>
        <w:jc w:val="both"/>
        <w:rPr>
          <w:sz w:val="24"/>
        </w:rPr>
      </w:pPr>
      <w:r w:rsidRPr="00335EF2">
        <w:rPr>
          <w:b/>
          <w:i/>
          <w:sz w:val="24"/>
        </w:rPr>
        <w:t>Article 2</w:t>
      </w:r>
      <w:r w:rsidR="00CB4464" w:rsidRPr="00335EF2">
        <w:rPr>
          <w:b/>
          <w:i/>
          <w:sz w:val="24"/>
        </w:rPr>
        <w:t xml:space="preserve"> – </w:t>
      </w:r>
      <w:r w:rsidRPr="00335EF2">
        <w:rPr>
          <w:sz w:val="24"/>
        </w:rPr>
        <w:t>La taxe est due par la personne qui demande l'inhumation, la dispersion ou la mise en columbarium.</w:t>
      </w:r>
    </w:p>
    <w:p w14:paraId="75B0D9D7" w14:textId="77777777" w:rsidR="00A74336" w:rsidRPr="00335EF2" w:rsidRDefault="00A74336">
      <w:pPr>
        <w:spacing w:before="240"/>
        <w:jc w:val="both"/>
        <w:rPr>
          <w:sz w:val="24"/>
        </w:rPr>
      </w:pPr>
      <w:r w:rsidRPr="00335EF2">
        <w:rPr>
          <w:b/>
          <w:i/>
          <w:sz w:val="24"/>
        </w:rPr>
        <w:t>Article 3</w:t>
      </w:r>
      <w:r w:rsidR="00CB4464" w:rsidRPr="00335EF2">
        <w:rPr>
          <w:b/>
          <w:i/>
          <w:sz w:val="24"/>
        </w:rPr>
        <w:t xml:space="preserve"> – </w:t>
      </w:r>
      <w:r w:rsidRPr="00335EF2">
        <w:rPr>
          <w:sz w:val="24"/>
        </w:rPr>
        <w:t>La</w:t>
      </w:r>
      <w:r w:rsidR="00CB4464" w:rsidRPr="00335EF2">
        <w:rPr>
          <w:sz w:val="24"/>
        </w:rPr>
        <w:t xml:space="preserve"> taxe est fixée à … </w:t>
      </w:r>
      <w:r w:rsidRPr="00335EF2">
        <w:rPr>
          <w:sz w:val="24"/>
        </w:rPr>
        <w:t>euros par inhumation, dispersion ou mise en columbarium.</w:t>
      </w:r>
    </w:p>
    <w:p w14:paraId="1CA205F8" w14:textId="77777777" w:rsidR="00A74336" w:rsidRPr="00335EF2" w:rsidRDefault="00A74336" w:rsidP="00EE6426">
      <w:pPr>
        <w:spacing w:before="240"/>
        <w:jc w:val="both"/>
        <w:rPr>
          <w:sz w:val="24"/>
        </w:rPr>
      </w:pPr>
      <w:r w:rsidRPr="00335EF2">
        <w:rPr>
          <w:b/>
          <w:i/>
          <w:sz w:val="24"/>
        </w:rPr>
        <w:t>Article 4</w:t>
      </w:r>
      <w:r w:rsidR="00CB4464" w:rsidRPr="00335EF2">
        <w:rPr>
          <w:b/>
          <w:sz w:val="24"/>
        </w:rPr>
        <w:t xml:space="preserve"> –</w:t>
      </w:r>
      <w:r w:rsidR="00CB4464" w:rsidRPr="00335EF2">
        <w:rPr>
          <w:sz w:val="24"/>
        </w:rPr>
        <w:t xml:space="preserve"> Exonérations : la taxe n'est pas due </w:t>
      </w:r>
      <w:r w:rsidR="00104D73" w:rsidRPr="00335EF2">
        <w:rPr>
          <w:sz w:val="24"/>
        </w:rPr>
        <w:t>lorsque l’inhumation, la dispersion des cendres ou mise en columbarium vise l’un des cas suivants</w:t>
      </w:r>
      <w:r w:rsidR="00CB4464" w:rsidRPr="00335EF2">
        <w:rPr>
          <w:sz w:val="24"/>
        </w:rPr>
        <w:t xml:space="preserve"> … </w:t>
      </w:r>
      <w:r w:rsidRPr="00335EF2">
        <w:rPr>
          <w:sz w:val="24"/>
        </w:rPr>
        <w:t>(</w:t>
      </w:r>
      <w:r w:rsidRPr="00335EF2">
        <w:rPr>
          <w:b/>
          <w:bCs/>
          <w:sz w:val="24"/>
        </w:rPr>
        <w:t>facultatif</w:t>
      </w:r>
      <w:r w:rsidRPr="00335EF2">
        <w:rPr>
          <w:sz w:val="24"/>
        </w:rPr>
        <w:t>)</w:t>
      </w:r>
      <w:r w:rsidR="00104D73" w:rsidRPr="00335EF2">
        <w:rPr>
          <w:sz w:val="24"/>
        </w:rPr>
        <w:t xml:space="preserve"> : </w:t>
      </w:r>
    </w:p>
    <w:p w14:paraId="0ECBAE20" w14:textId="77777777" w:rsidR="00104D73" w:rsidRPr="00335EF2" w:rsidRDefault="00104D73" w:rsidP="00104D73">
      <w:pPr>
        <w:numPr>
          <w:ilvl w:val="0"/>
          <w:numId w:val="8"/>
        </w:numPr>
        <w:spacing w:before="240"/>
        <w:rPr>
          <w:sz w:val="24"/>
        </w:rPr>
      </w:pPr>
      <w:r w:rsidRPr="00335EF2">
        <w:rPr>
          <w:sz w:val="24"/>
        </w:rPr>
        <w:t xml:space="preserve">Une personne décédée ou trouvée morte sur le territoire de la </w:t>
      </w:r>
      <w:r w:rsidR="00633DEE" w:rsidRPr="00335EF2">
        <w:rPr>
          <w:rFonts w:eastAsia="Garamond"/>
          <w:sz w:val="24"/>
          <w:szCs w:val="24"/>
        </w:rPr>
        <w:t xml:space="preserve">commune/ville </w:t>
      </w:r>
      <w:r w:rsidRPr="00335EF2">
        <w:rPr>
          <w:sz w:val="24"/>
        </w:rPr>
        <w:t xml:space="preserve">de …, </w:t>
      </w:r>
      <w:proofErr w:type="spellStart"/>
      <w:r w:rsidRPr="00335EF2">
        <w:rPr>
          <w:sz w:val="24"/>
        </w:rPr>
        <w:t>quelque</w:t>
      </w:r>
      <w:proofErr w:type="spellEnd"/>
      <w:r w:rsidRPr="00335EF2">
        <w:rPr>
          <w:sz w:val="24"/>
        </w:rPr>
        <w:t xml:space="preserve"> soit son domicile</w:t>
      </w:r>
      <w:r w:rsidR="00633DEE" w:rsidRPr="00335EF2">
        <w:rPr>
          <w:sz w:val="24"/>
        </w:rPr>
        <w:t xml:space="preserve"> </w:t>
      </w:r>
      <w:r w:rsidRPr="00335EF2">
        <w:rPr>
          <w:sz w:val="24"/>
        </w:rPr>
        <w:t>(</w:t>
      </w:r>
      <w:r w:rsidRPr="00335EF2">
        <w:rPr>
          <w:b/>
          <w:bCs/>
          <w:sz w:val="24"/>
        </w:rPr>
        <w:t>Exemple de libellé</w:t>
      </w:r>
      <w:r w:rsidRPr="00335EF2">
        <w:rPr>
          <w:sz w:val="24"/>
        </w:rPr>
        <w:t xml:space="preserve">); </w:t>
      </w:r>
    </w:p>
    <w:p w14:paraId="36E3A97D" w14:textId="77777777" w:rsidR="00104D73" w:rsidRPr="00335EF2" w:rsidRDefault="00104D73" w:rsidP="00104D73">
      <w:pPr>
        <w:numPr>
          <w:ilvl w:val="0"/>
          <w:numId w:val="8"/>
        </w:numPr>
        <w:spacing w:before="50" w:line="280" w:lineRule="exact"/>
        <w:ind w:right="288"/>
        <w:jc w:val="both"/>
        <w:textAlignment w:val="baseline"/>
        <w:rPr>
          <w:sz w:val="24"/>
          <w:szCs w:val="24"/>
        </w:rPr>
      </w:pPr>
      <w:r w:rsidRPr="00335EF2">
        <w:rPr>
          <w:rFonts w:eastAsia="Garamond"/>
          <w:sz w:val="24"/>
          <w:szCs w:val="24"/>
        </w:rPr>
        <w:t xml:space="preserve">Un militaire ou d'un civil mort pour la Patrie, d'un militaire ou d'un membre </w:t>
      </w:r>
      <w:r w:rsidRPr="00335EF2">
        <w:rPr>
          <w:sz w:val="24"/>
          <w:szCs w:val="24"/>
        </w:rPr>
        <w:t xml:space="preserve">des </w:t>
      </w:r>
      <w:r w:rsidRPr="00335EF2">
        <w:rPr>
          <w:rFonts w:eastAsia="Garamond"/>
          <w:sz w:val="24"/>
          <w:szCs w:val="24"/>
        </w:rPr>
        <w:t xml:space="preserve">services de sécurité décédé en service commandé ; </w:t>
      </w:r>
      <w:r w:rsidRPr="00335EF2">
        <w:rPr>
          <w:b/>
          <w:sz w:val="24"/>
          <w:szCs w:val="24"/>
        </w:rPr>
        <w:t>(Exemple de libellé)</w:t>
      </w:r>
    </w:p>
    <w:p w14:paraId="56E9EC29" w14:textId="77777777" w:rsidR="00104D73" w:rsidRPr="00335EF2" w:rsidRDefault="00104D73" w:rsidP="00104D73">
      <w:pPr>
        <w:numPr>
          <w:ilvl w:val="0"/>
          <w:numId w:val="8"/>
        </w:numPr>
        <w:spacing w:before="50" w:line="280" w:lineRule="exact"/>
        <w:ind w:right="288"/>
        <w:jc w:val="both"/>
        <w:textAlignment w:val="baseline"/>
        <w:rPr>
          <w:rFonts w:eastAsia="Garamond"/>
          <w:sz w:val="24"/>
          <w:szCs w:val="24"/>
        </w:rPr>
      </w:pPr>
      <w:r w:rsidRPr="00335EF2">
        <w:rPr>
          <w:rFonts w:eastAsia="Garamond"/>
          <w:sz w:val="24"/>
          <w:szCs w:val="24"/>
        </w:rPr>
        <w:t xml:space="preserve">Une personne qui a vécu au moins vingt années ou </w:t>
      </w:r>
      <w:r w:rsidRPr="00335EF2">
        <w:rPr>
          <w:sz w:val="24"/>
          <w:szCs w:val="24"/>
        </w:rPr>
        <w:t xml:space="preserve">la </w:t>
      </w:r>
      <w:r w:rsidRPr="00335EF2">
        <w:rPr>
          <w:rFonts w:eastAsia="Garamond"/>
          <w:sz w:val="24"/>
          <w:szCs w:val="24"/>
        </w:rPr>
        <w:t xml:space="preserve">moitié de son existence sur le territoire de la </w:t>
      </w:r>
      <w:r w:rsidR="00633DEE" w:rsidRPr="00335EF2">
        <w:rPr>
          <w:rFonts w:eastAsia="Garamond"/>
          <w:sz w:val="24"/>
          <w:szCs w:val="24"/>
        </w:rPr>
        <w:t>c</w:t>
      </w:r>
      <w:r w:rsidRPr="00335EF2">
        <w:rPr>
          <w:rFonts w:eastAsia="Garamond"/>
          <w:sz w:val="24"/>
          <w:szCs w:val="24"/>
        </w:rPr>
        <w:t>ommune/</w:t>
      </w:r>
      <w:r w:rsidR="00633DEE" w:rsidRPr="00335EF2">
        <w:rPr>
          <w:rFonts w:eastAsia="Garamond"/>
          <w:sz w:val="24"/>
          <w:szCs w:val="24"/>
        </w:rPr>
        <w:t>v</w:t>
      </w:r>
      <w:r w:rsidRPr="00335EF2">
        <w:rPr>
          <w:rFonts w:eastAsia="Garamond"/>
          <w:sz w:val="24"/>
          <w:szCs w:val="24"/>
        </w:rPr>
        <w:t xml:space="preserve">ille de …, et pour autant que son décès ait eu lieu un an au maximum après le changement de domicile ; </w:t>
      </w:r>
      <w:r w:rsidRPr="00335EF2">
        <w:rPr>
          <w:b/>
          <w:sz w:val="24"/>
          <w:szCs w:val="24"/>
        </w:rPr>
        <w:t>(Exemple de libellé)</w:t>
      </w:r>
    </w:p>
    <w:p w14:paraId="6715D33C" w14:textId="77777777" w:rsidR="00104D73" w:rsidRPr="00335EF2" w:rsidRDefault="00104D73" w:rsidP="00104D73">
      <w:pPr>
        <w:numPr>
          <w:ilvl w:val="0"/>
          <w:numId w:val="8"/>
        </w:numPr>
        <w:spacing w:before="50" w:line="280" w:lineRule="exact"/>
        <w:ind w:right="288"/>
        <w:jc w:val="both"/>
        <w:textAlignment w:val="baseline"/>
        <w:rPr>
          <w:sz w:val="24"/>
          <w:szCs w:val="24"/>
        </w:rPr>
      </w:pPr>
      <w:r w:rsidRPr="00335EF2">
        <w:rPr>
          <w:rFonts w:eastAsia="Garamond"/>
          <w:sz w:val="24"/>
          <w:szCs w:val="24"/>
        </w:rPr>
        <w:t xml:space="preserve">Une personne qui lègue </w:t>
      </w:r>
      <w:r w:rsidRPr="00335EF2">
        <w:rPr>
          <w:sz w:val="24"/>
          <w:szCs w:val="24"/>
        </w:rPr>
        <w:t xml:space="preserve">son </w:t>
      </w:r>
      <w:r w:rsidRPr="00335EF2">
        <w:rPr>
          <w:rFonts w:eastAsia="Garamond"/>
          <w:sz w:val="24"/>
          <w:szCs w:val="24"/>
        </w:rPr>
        <w:t xml:space="preserve">corps à la science ; </w:t>
      </w:r>
      <w:r w:rsidRPr="00335EF2">
        <w:rPr>
          <w:b/>
          <w:sz w:val="24"/>
          <w:szCs w:val="24"/>
        </w:rPr>
        <w:t>(Exemple de libellé)</w:t>
      </w:r>
    </w:p>
    <w:p w14:paraId="4B5585AE" w14:textId="77777777" w:rsidR="00104D73" w:rsidRPr="00335EF2" w:rsidRDefault="00A17B64">
      <w:pPr>
        <w:spacing w:before="240"/>
        <w:rPr>
          <w:sz w:val="24"/>
        </w:rPr>
      </w:pPr>
      <w:r w:rsidRPr="00335EF2">
        <w:rPr>
          <w:b/>
          <w:bCs/>
          <w:sz w:val="24"/>
        </w:rPr>
        <w:t>(Il convient de motiver ces exonérations dans le préambule de la délibération. Cette motivation doit avoir un rapport avec l’objectif poursuivi par la taxe)</w:t>
      </w:r>
    </w:p>
    <w:p w14:paraId="2AF638BB" w14:textId="77777777" w:rsidR="00A74336" w:rsidRPr="00335EF2" w:rsidRDefault="00A74336">
      <w:pPr>
        <w:spacing w:before="240"/>
        <w:rPr>
          <w:sz w:val="24"/>
        </w:rPr>
      </w:pPr>
      <w:r w:rsidRPr="00335EF2">
        <w:rPr>
          <w:b/>
          <w:i/>
          <w:sz w:val="24"/>
        </w:rPr>
        <w:lastRenderedPageBreak/>
        <w:t>Article 5</w:t>
      </w:r>
      <w:r w:rsidR="00CB4464" w:rsidRPr="00335EF2">
        <w:rPr>
          <w:b/>
          <w:sz w:val="24"/>
        </w:rPr>
        <w:t xml:space="preserve"> –</w:t>
      </w:r>
      <w:r w:rsidR="00CB4464" w:rsidRPr="00335EF2">
        <w:rPr>
          <w:sz w:val="24"/>
        </w:rPr>
        <w:t xml:space="preserve"> </w:t>
      </w:r>
      <w:r w:rsidRPr="00335EF2">
        <w:rPr>
          <w:sz w:val="24"/>
        </w:rPr>
        <w:t xml:space="preserve">La taxe est </w:t>
      </w:r>
      <w:r w:rsidR="00D10400" w:rsidRPr="00335EF2">
        <w:rPr>
          <w:sz w:val="24"/>
        </w:rPr>
        <w:t>perçue</w:t>
      </w:r>
      <w:r w:rsidRPr="00335EF2">
        <w:rPr>
          <w:sz w:val="24"/>
        </w:rPr>
        <w:t xml:space="preserve"> au comptan</w:t>
      </w:r>
      <w:r w:rsidR="005E1712" w:rsidRPr="00335EF2">
        <w:rPr>
          <w:sz w:val="24"/>
        </w:rPr>
        <w:t>t contre remise d’une preuve de paieme</w:t>
      </w:r>
      <w:r w:rsidR="00B60B45" w:rsidRPr="00335EF2">
        <w:rPr>
          <w:sz w:val="24"/>
        </w:rPr>
        <w:t xml:space="preserve">nt conformément à l’article L3321-3 du Code de la </w:t>
      </w:r>
      <w:r w:rsidR="00EF401B" w:rsidRPr="00335EF2">
        <w:rPr>
          <w:sz w:val="24"/>
        </w:rPr>
        <w:t>démocratie locale et de la décentralisation</w:t>
      </w:r>
      <w:r w:rsidR="00B60B45" w:rsidRPr="00335EF2">
        <w:rPr>
          <w:sz w:val="24"/>
        </w:rPr>
        <w:t xml:space="preserve">. </w:t>
      </w:r>
    </w:p>
    <w:p w14:paraId="42EB3394" w14:textId="77777777" w:rsidR="00A74336" w:rsidRPr="00335EF2" w:rsidRDefault="00A74336">
      <w:pPr>
        <w:spacing w:before="240"/>
        <w:rPr>
          <w:sz w:val="24"/>
        </w:rPr>
      </w:pPr>
      <w:r w:rsidRPr="00335EF2">
        <w:rPr>
          <w:b/>
          <w:i/>
          <w:sz w:val="24"/>
        </w:rPr>
        <w:t>Article 6</w:t>
      </w:r>
      <w:r w:rsidR="00CB4464" w:rsidRPr="00335EF2">
        <w:rPr>
          <w:b/>
          <w:sz w:val="24"/>
        </w:rPr>
        <w:t xml:space="preserve"> – </w:t>
      </w:r>
      <w:r w:rsidRPr="00335EF2">
        <w:rPr>
          <w:sz w:val="24"/>
        </w:rPr>
        <w:t>A défaut de payement au comptant, la taxe est enrôlée et est immédiatement exigible.</w:t>
      </w:r>
    </w:p>
    <w:p w14:paraId="54267FD8" w14:textId="77777777" w:rsidR="007A1F3F" w:rsidRPr="00335EF2" w:rsidRDefault="00593582" w:rsidP="007A1F3F">
      <w:pPr>
        <w:spacing w:before="201" w:line="244" w:lineRule="exact"/>
        <w:jc w:val="both"/>
        <w:textAlignment w:val="baseline"/>
        <w:rPr>
          <w:sz w:val="24"/>
          <w:szCs w:val="24"/>
        </w:rPr>
      </w:pPr>
      <w:r w:rsidRPr="00335EF2">
        <w:rPr>
          <w:sz w:val="24"/>
          <w:szCs w:val="24"/>
        </w:rPr>
        <w:t xml:space="preserve">En cas de non-paiement de la taxe, </w:t>
      </w:r>
      <w:r w:rsidR="007A1F3F" w:rsidRPr="00335EF2">
        <w:rPr>
          <w:sz w:val="24"/>
          <w:szCs w:val="24"/>
        </w:rPr>
        <w:t xml:space="preserve">conformément à l’article L3321-8bis du Code de la démocratie locale et de la décentralisation, une sommation de payer sera envoyée au contribuable. </w:t>
      </w:r>
    </w:p>
    <w:p w14:paraId="64035B75" w14:textId="77777777" w:rsidR="00640067" w:rsidRPr="00335EF2" w:rsidRDefault="007A1F3F">
      <w:pPr>
        <w:spacing w:before="240"/>
        <w:jc w:val="both"/>
        <w:rPr>
          <w:sz w:val="24"/>
          <w:szCs w:val="24"/>
        </w:rPr>
      </w:pPr>
      <w:r w:rsidRPr="00335EF2">
        <w:rPr>
          <w:sz w:val="24"/>
          <w:szCs w:val="24"/>
        </w:rPr>
        <w:t xml:space="preserve">Cette sommation de payer se fera par courrier recommandé et les frais postaux de cet envoi seront à charge du redevable. Ces frais seront recouvrés de la même manière que la taxe à laquelle ils se rapportent. </w:t>
      </w:r>
    </w:p>
    <w:p w14:paraId="6FD8771C" w14:textId="77777777" w:rsidR="00A74336" w:rsidRPr="00335EF2" w:rsidRDefault="00A74336">
      <w:pPr>
        <w:spacing w:before="240"/>
        <w:jc w:val="both"/>
        <w:rPr>
          <w:sz w:val="24"/>
        </w:rPr>
      </w:pPr>
      <w:r w:rsidRPr="00335EF2">
        <w:rPr>
          <w:b/>
          <w:i/>
          <w:sz w:val="24"/>
        </w:rPr>
        <w:t>Article 7</w:t>
      </w:r>
      <w:r w:rsidR="00CB4464" w:rsidRPr="00335EF2">
        <w:rPr>
          <w:b/>
          <w:sz w:val="24"/>
        </w:rPr>
        <w:t xml:space="preserve"> –</w:t>
      </w:r>
      <w:r w:rsidR="00CB4464" w:rsidRPr="00335EF2">
        <w:rPr>
          <w:sz w:val="24"/>
        </w:rPr>
        <w:t xml:space="preserve"> </w:t>
      </w:r>
      <w:r w:rsidRPr="00335EF2">
        <w:rPr>
          <w:sz w:val="24"/>
        </w:rPr>
        <w:t xml:space="preserve">Les clauses concernant l'établissement, le recouvrement et le contentieux sont celles des articles L3321-1 à L3321-12 du Code de la </w:t>
      </w:r>
      <w:r w:rsidR="00EF401B" w:rsidRPr="00335EF2">
        <w:rPr>
          <w:sz w:val="24"/>
        </w:rPr>
        <w:t>démocratie locale et de la décentralisation</w:t>
      </w:r>
      <w:r w:rsidR="00335EF2" w:rsidRPr="00335EF2">
        <w:rPr>
          <w:sz w:val="24"/>
        </w:rPr>
        <w:t xml:space="preserve"> </w:t>
      </w:r>
      <w:r w:rsidRPr="00335EF2">
        <w:rPr>
          <w:sz w:val="24"/>
        </w:rPr>
        <w:t>et de l'arrêté royal du 12 avril 1999, déterminant la procédure devant le gouverneur ou devant le collège des bourgmestre et échevins en matière de réclamation contre une imposition provinciale ou communale.</w:t>
      </w:r>
    </w:p>
    <w:p w14:paraId="5E5E64AE" w14:textId="77777777" w:rsidR="007A1F3F" w:rsidRPr="00335EF2" w:rsidRDefault="007A1F3F" w:rsidP="007A1F3F">
      <w:pPr>
        <w:spacing w:before="240"/>
        <w:jc w:val="both"/>
        <w:rPr>
          <w:sz w:val="24"/>
        </w:rPr>
      </w:pPr>
      <w:r w:rsidRPr="00335EF2">
        <w:rPr>
          <w:b/>
          <w:bCs/>
          <w:i/>
          <w:iCs/>
          <w:sz w:val="24"/>
        </w:rPr>
        <w:t xml:space="preserve">Article 8 - </w:t>
      </w:r>
      <w:r w:rsidRPr="00335EF2">
        <w:rPr>
          <w:sz w:val="24"/>
        </w:rPr>
        <w:t>Le traitement de données à caractère personnel nécessaire à la mise en œuvre du présent règlement se fera suivant les règles suivantes:</w:t>
      </w:r>
    </w:p>
    <w:p w14:paraId="66495C9F" w14:textId="77777777" w:rsidR="007A1F3F" w:rsidRPr="00335EF2" w:rsidRDefault="007A1F3F" w:rsidP="007A1F3F">
      <w:pPr>
        <w:tabs>
          <w:tab w:val="left" w:pos="993"/>
        </w:tabs>
        <w:spacing w:before="240"/>
        <w:ind w:firstLine="708"/>
        <w:jc w:val="both"/>
        <w:rPr>
          <w:sz w:val="24"/>
        </w:rPr>
      </w:pPr>
      <w:r w:rsidRPr="00335EF2">
        <w:rPr>
          <w:sz w:val="24"/>
        </w:rPr>
        <w:t>-</w:t>
      </w:r>
      <w:r w:rsidRPr="00335EF2">
        <w:rPr>
          <w:sz w:val="24"/>
        </w:rPr>
        <w:tab/>
        <w:t xml:space="preserve">Responsable de traitement : la </w:t>
      </w:r>
      <w:r w:rsidR="00743E05" w:rsidRPr="00335EF2">
        <w:rPr>
          <w:sz w:val="24"/>
        </w:rPr>
        <w:t>c</w:t>
      </w:r>
      <w:r w:rsidRPr="00335EF2">
        <w:rPr>
          <w:sz w:val="24"/>
        </w:rPr>
        <w:t>ommune</w:t>
      </w:r>
      <w:r w:rsidR="00743E05" w:rsidRPr="00335EF2">
        <w:rPr>
          <w:sz w:val="24"/>
        </w:rPr>
        <w:t>/ville</w:t>
      </w:r>
      <w:r w:rsidRPr="00335EF2">
        <w:rPr>
          <w:sz w:val="24"/>
        </w:rPr>
        <w:t xml:space="preserve"> de …. ; </w:t>
      </w:r>
    </w:p>
    <w:p w14:paraId="277331CE" w14:textId="77777777" w:rsidR="007A1F3F" w:rsidRPr="00335EF2" w:rsidRDefault="007A1F3F" w:rsidP="007A1F3F">
      <w:pPr>
        <w:tabs>
          <w:tab w:val="left" w:pos="993"/>
        </w:tabs>
        <w:ind w:firstLine="708"/>
        <w:jc w:val="both"/>
        <w:rPr>
          <w:sz w:val="24"/>
        </w:rPr>
      </w:pPr>
      <w:r w:rsidRPr="00335EF2">
        <w:rPr>
          <w:sz w:val="24"/>
        </w:rPr>
        <w:t>-</w:t>
      </w:r>
      <w:r w:rsidRPr="00335EF2">
        <w:rPr>
          <w:sz w:val="24"/>
        </w:rPr>
        <w:tab/>
        <w:t xml:space="preserve">Finalité du traitement : établissement et recouvrement de la taxe ; </w:t>
      </w:r>
    </w:p>
    <w:p w14:paraId="094A70D9" w14:textId="77777777" w:rsidR="007A1F3F" w:rsidRPr="00335EF2" w:rsidRDefault="007A1F3F" w:rsidP="007A1F3F">
      <w:pPr>
        <w:tabs>
          <w:tab w:val="left" w:pos="993"/>
        </w:tabs>
        <w:ind w:firstLine="708"/>
        <w:jc w:val="both"/>
        <w:rPr>
          <w:sz w:val="24"/>
        </w:rPr>
      </w:pPr>
      <w:r w:rsidRPr="00335EF2">
        <w:rPr>
          <w:sz w:val="24"/>
        </w:rPr>
        <w:t>-</w:t>
      </w:r>
      <w:r w:rsidRPr="00335EF2">
        <w:rPr>
          <w:sz w:val="24"/>
        </w:rPr>
        <w:tab/>
        <w:t xml:space="preserve">Catégorie de données : données d’identification ; </w:t>
      </w:r>
    </w:p>
    <w:p w14:paraId="07D7F37A" w14:textId="77777777" w:rsidR="00235628" w:rsidRPr="00335EF2" w:rsidRDefault="007A1F3F" w:rsidP="00235628">
      <w:pPr>
        <w:tabs>
          <w:tab w:val="left" w:pos="993"/>
        </w:tabs>
        <w:ind w:left="993" w:hanging="285"/>
        <w:jc w:val="both"/>
        <w:rPr>
          <w:sz w:val="24"/>
        </w:rPr>
      </w:pPr>
      <w:r w:rsidRPr="00335EF2">
        <w:rPr>
          <w:sz w:val="24"/>
        </w:rPr>
        <w:t>-</w:t>
      </w:r>
      <w:r w:rsidRPr="00335EF2">
        <w:rPr>
          <w:sz w:val="24"/>
        </w:rPr>
        <w:tab/>
        <w:t xml:space="preserve">Durée de conservation : la </w:t>
      </w:r>
      <w:r w:rsidR="00743E05" w:rsidRPr="00335EF2">
        <w:rPr>
          <w:sz w:val="24"/>
        </w:rPr>
        <w:t>c</w:t>
      </w:r>
      <w:r w:rsidRPr="00335EF2">
        <w:rPr>
          <w:sz w:val="24"/>
        </w:rPr>
        <w:t>ommune</w:t>
      </w:r>
      <w:r w:rsidR="007960D5" w:rsidRPr="00335EF2">
        <w:rPr>
          <w:sz w:val="24"/>
        </w:rPr>
        <w:t>/ville</w:t>
      </w:r>
      <w:r w:rsidRPr="00335EF2">
        <w:rPr>
          <w:sz w:val="24"/>
        </w:rPr>
        <w:t xml:space="preserve"> s’engage à conserver les données pour un délai </w:t>
      </w:r>
      <w:r w:rsidR="00133DBD" w:rsidRPr="00335EF2">
        <w:rPr>
          <w:sz w:val="24"/>
        </w:rPr>
        <w:t>de .</w:t>
      </w:r>
      <w:r w:rsidRPr="00335EF2">
        <w:rPr>
          <w:sz w:val="24"/>
        </w:rPr>
        <w:t xml:space="preserve">.. ans </w:t>
      </w:r>
      <w:r w:rsidR="000338C4" w:rsidRPr="00335EF2">
        <w:rPr>
          <w:b/>
          <w:bCs/>
          <w:sz w:val="24"/>
        </w:rPr>
        <w:t>(à choisir entre 10 et 30 ans = fourchette légale)</w:t>
      </w:r>
      <w:r w:rsidR="000338C4" w:rsidRPr="00335EF2">
        <w:rPr>
          <w:sz w:val="24"/>
        </w:rPr>
        <w:t xml:space="preserve"> </w:t>
      </w:r>
      <w:r w:rsidRPr="00335EF2">
        <w:rPr>
          <w:sz w:val="24"/>
        </w:rPr>
        <w:t xml:space="preserve">et à les supprimer par la suite </w:t>
      </w:r>
      <w:r w:rsidR="00235628" w:rsidRPr="00335EF2">
        <w:rPr>
          <w:sz w:val="24"/>
        </w:rPr>
        <w:t xml:space="preserve">ou à les transférer aux archives de l’Etat </w:t>
      </w:r>
      <w:r w:rsidR="00FD070B" w:rsidRPr="00335EF2">
        <w:rPr>
          <w:sz w:val="24"/>
        </w:rPr>
        <w:t>selon les instructions reçues de cette administration</w:t>
      </w:r>
      <w:r w:rsidR="00235628" w:rsidRPr="00335EF2">
        <w:rPr>
          <w:sz w:val="24"/>
        </w:rPr>
        <w:t xml:space="preserve">; </w:t>
      </w:r>
    </w:p>
    <w:p w14:paraId="02A43D1B" w14:textId="77777777" w:rsidR="007A1F3F" w:rsidRPr="00335EF2" w:rsidRDefault="007A1F3F" w:rsidP="00235628">
      <w:pPr>
        <w:tabs>
          <w:tab w:val="left" w:pos="993"/>
        </w:tabs>
        <w:ind w:left="993" w:hanging="285"/>
        <w:jc w:val="both"/>
        <w:rPr>
          <w:sz w:val="24"/>
        </w:rPr>
      </w:pPr>
      <w:r w:rsidRPr="00335EF2">
        <w:rPr>
          <w:sz w:val="24"/>
        </w:rPr>
        <w:t>-</w:t>
      </w:r>
      <w:r w:rsidRPr="00335EF2">
        <w:rPr>
          <w:sz w:val="24"/>
        </w:rPr>
        <w:tab/>
        <w:t xml:space="preserve">Méthode de collecte : </w:t>
      </w:r>
      <w:r w:rsidR="00FD070B" w:rsidRPr="00335EF2">
        <w:rPr>
          <w:sz w:val="24"/>
        </w:rPr>
        <w:t>recensement par la commune ;</w:t>
      </w:r>
    </w:p>
    <w:p w14:paraId="71C8E79B" w14:textId="77777777" w:rsidR="007A1F3F" w:rsidRPr="00335EF2" w:rsidRDefault="007A1F3F" w:rsidP="00E600E8">
      <w:pPr>
        <w:tabs>
          <w:tab w:val="left" w:pos="993"/>
        </w:tabs>
        <w:ind w:left="993" w:hanging="285"/>
        <w:jc w:val="both"/>
        <w:rPr>
          <w:sz w:val="24"/>
        </w:rPr>
      </w:pPr>
      <w:r w:rsidRPr="00335EF2">
        <w:rPr>
          <w:sz w:val="24"/>
        </w:rPr>
        <w:t>-</w:t>
      </w:r>
      <w:r w:rsidRPr="00335EF2">
        <w:rPr>
          <w:sz w:val="24"/>
        </w:rPr>
        <w:tab/>
        <w:t>Communication des données : les données ne seront communiquées qu’à des tiers autorisés par ou en vertu de la loi, notamment en application de l’article 327 du CIR92, ou à des sous-traitants de la Commune.</w:t>
      </w:r>
    </w:p>
    <w:p w14:paraId="436A2B5C" w14:textId="77777777" w:rsidR="00A1533F" w:rsidRPr="00335EF2" w:rsidRDefault="00A1533F" w:rsidP="009308FB">
      <w:pPr>
        <w:spacing w:before="240" w:line="240" w:lineRule="exact"/>
        <w:jc w:val="both"/>
        <w:rPr>
          <w:sz w:val="24"/>
          <w:szCs w:val="24"/>
        </w:rPr>
      </w:pPr>
      <w:r w:rsidRPr="00335EF2">
        <w:rPr>
          <w:b/>
          <w:i/>
          <w:sz w:val="24"/>
          <w:szCs w:val="24"/>
        </w:rPr>
        <w:t xml:space="preserve">Article </w:t>
      </w:r>
      <w:r w:rsidR="007A1F3F" w:rsidRPr="00335EF2">
        <w:rPr>
          <w:b/>
          <w:i/>
          <w:sz w:val="24"/>
          <w:szCs w:val="24"/>
        </w:rPr>
        <w:t>9</w:t>
      </w:r>
      <w:r w:rsidR="00CB4464" w:rsidRPr="00335EF2">
        <w:rPr>
          <w:b/>
          <w:i/>
          <w:sz w:val="24"/>
          <w:szCs w:val="24"/>
        </w:rPr>
        <w:t xml:space="preserve"> – </w:t>
      </w:r>
      <w:r w:rsidR="00426CDE" w:rsidRPr="00335EF2">
        <w:rPr>
          <w:sz w:val="24"/>
          <w:szCs w:val="24"/>
        </w:rPr>
        <w:t xml:space="preserve">Le présent règlement sera transmis au Gouvernement </w:t>
      </w:r>
      <w:r w:rsidR="008344A8" w:rsidRPr="00335EF2">
        <w:rPr>
          <w:sz w:val="24"/>
          <w:szCs w:val="24"/>
        </w:rPr>
        <w:t>w</w:t>
      </w:r>
      <w:r w:rsidR="00426CDE" w:rsidRPr="00335EF2">
        <w:rPr>
          <w:sz w:val="24"/>
          <w:szCs w:val="24"/>
        </w:rPr>
        <w:t xml:space="preserve">allon conformément aux articles L3131-1 et suivants Code de la </w:t>
      </w:r>
      <w:r w:rsidR="00EF401B" w:rsidRPr="00335EF2">
        <w:rPr>
          <w:sz w:val="24"/>
          <w:szCs w:val="24"/>
        </w:rPr>
        <w:t>démocratie locale et de la décentralisation</w:t>
      </w:r>
      <w:r w:rsidR="00454D52" w:rsidRPr="00335EF2">
        <w:rPr>
          <w:sz w:val="24"/>
          <w:szCs w:val="24"/>
        </w:rPr>
        <w:t xml:space="preserve"> </w:t>
      </w:r>
      <w:r w:rsidR="00426CDE" w:rsidRPr="00335EF2">
        <w:rPr>
          <w:sz w:val="24"/>
          <w:szCs w:val="24"/>
        </w:rPr>
        <w:t>pour exercice de la tutelle spéciale d’approbation</w:t>
      </w:r>
    </w:p>
    <w:p w14:paraId="5B0E312D" w14:textId="77777777" w:rsidR="00A1533F" w:rsidRPr="00335EF2" w:rsidRDefault="00A1533F" w:rsidP="009308FB">
      <w:pPr>
        <w:spacing w:before="240" w:line="240" w:lineRule="exact"/>
        <w:jc w:val="both"/>
        <w:rPr>
          <w:sz w:val="24"/>
          <w:szCs w:val="24"/>
        </w:rPr>
      </w:pPr>
      <w:r w:rsidRPr="00335EF2">
        <w:rPr>
          <w:b/>
          <w:i/>
          <w:sz w:val="24"/>
          <w:szCs w:val="24"/>
        </w:rPr>
        <w:t xml:space="preserve">Article </w:t>
      </w:r>
      <w:r w:rsidR="007A1F3F" w:rsidRPr="00335EF2">
        <w:rPr>
          <w:b/>
          <w:i/>
          <w:sz w:val="24"/>
          <w:szCs w:val="24"/>
        </w:rPr>
        <w:t>10</w:t>
      </w:r>
      <w:r w:rsidR="00CB4464" w:rsidRPr="00335EF2">
        <w:rPr>
          <w:b/>
          <w:i/>
          <w:sz w:val="24"/>
          <w:szCs w:val="24"/>
        </w:rPr>
        <w:t xml:space="preserve"> –</w:t>
      </w:r>
      <w:r w:rsidR="00426CDE" w:rsidRPr="00335EF2">
        <w:rPr>
          <w:sz w:val="24"/>
          <w:szCs w:val="24"/>
        </w:rPr>
        <w:t xml:space="preserve">Le présent règlement entrera en vigueur après accomplissement des formalités de la publication faites conformément aux articles L1133-1 </w:t>
      </w:r>
      <w:r w:rsidR="00335EF2" w:rsidRPr="00335EF2">
        <w:rPr>
          <w:sz w:val="24"/>
          <w:szCs w:val="24"/>
        </w:rPr>
        <w:t>et</w:t>
      </w:r>
      <w:r w:rsidR="00426CDE" w:rsidRPr="00335EF2">
        <w:rPr>
          <w:sz w:val="24"/>
          <w:szCs w:val="24"/>
        </w:rPr>
        <w:t xml:space="preserve"> </w:t>
      </w:r>
      <w:r w:rsidR="00FD070B" w:rsidRPr="00335EF2">
        <w:rPr>
          <w:sz w:val="24"/>
          <w:szCs w:val="24"/>
        </w:rPr>
        <w:t>2</w:t>
      </w:r>
      <w:r w:rsidR="00426CDE" w:rsidRPr="00335EF2">
        <w:rPr>
          <w:sz w:val="24"/>
          <w:szCs w:val="24"/>
        </w:rPr>
        <w:t xml:space="preserve"> du Code de la </w:t>
      </w:r>
      <w:r w:rsidR="00EF401B" w:rsidRPr="00335EF2">
        <w:rPr>
          <w:sz w:val="24"/>
          <w:szCs w:val="24"/>
        </w:rPr>
        <w:t>démocratie locale et de la décentralisation</w:t>
      </w:r>
      <w:r w:rsidR="00426CDE" w:rsidRPr="00335EF2">
        <w:rPr>
          <w:sz w:val="24"/>
          <w:szCs w:val="24"/>
        </w:rPr>
        <w:t>.</w:t>
      </w:r>
    </w:p>
    <w:p w14:paraId="4A81737F" w14:textId="77777777" w:rsidR="00CB4464" w:rsidRDefault="00CB4464" w:rsidP="00E600E8">
      <w:pPr>
        <w:spacing w:line="20" w:lineRule="exact"/>
        <w:ind w:left="1410" w:hanging="1410"/>
        <w:jc w:val="both"/>
        <w:rPr>
          <w:sz w:val="24"/>
          <w:szCs w:val="24"/>
        </w:rPr>
      </w:pPr>
    </w:p>
    <w:p w14:paraId="6338BB68" w14:textId="77777777" w:rsidR="00CB4464" w:rsidRDefault="00CB4464" w:rsidP="00E600E8">
      <w:pPr>
        <w:spacing w:line="20" w:lineRule="exact"/>
        <w:ind w:left="1410" w:hanging="1410"/>
        <w:jc w:val="both"/>
        <w:rPr>
          <w:sz w:val="24"/>
          <w:szCs w:val="24"/>
        </w:rPr>
      </w:pPr>
    </w:p>
    <w:p w14:paraId="127A70AE" w14:textId="77777777" w:rsidR="00CB4464" w:rsidRDefault="00CB4464" w:rsidP="00E600E8">
      <w:pPr>
        <w:spacing w:line="20" w:lineRule="exact"/>
        <w:jc w:val="both"/>
        <w:rPr>
          <w:sz w:val="24"/>
          <w:szCs w:val="24"/>
        </w:rPr>
      </w:pPr>
    </w:p>
    <w:p w14:paraId="7E418C43" w14:textId="77777777" w:rsidR="00CB4464" w:rsidRDefault="00CB4464" w:rsidP="00E600E8">
      <w:pPr>
        <w:spacing w:line="20" w:lineRule="exact"/>
        <w:ind w:left="1410" w:hanging="1410"/>
        <w:jc w:val="both"/>
        <w:rPr>
          <w:sz w:val="24"/>
          <w:szCs w:val="24"/>
        </w:rPr>
      </w:pPr>
    </w:p>
    <w:p w14:paraId="33AEEA5D" w14:textId="77777777" w:rsidR="00CB4464" w:rsidRDefault="00CB4464" w:rsidP="00E600E8">
      <w:pPr>
        <w:spacing w:line="20" w:lineRule="exact"/>
        <w:ind w:left="1410" w:hanging="1410"/>
        <w:jc w:val="both"/>
        <w:rPr>
          <w:sz w:val="24"/>
          <w:szCs w:val="24"/>
        </w:rPr>
      </w:pPr>
    </w:p>
    <w:p w14:paraId="5861CDB9" w14:textId="77777777" w:rsidR="00CB4464" w:rsidRDefault="00CB4464" w:rsidP="00E600E8">
      <w:pPr>
        <w:spacing w:line="20" w:lineRule="exact"/>
        <w:ind w:left="1410" w:hanging="1410"/>
        <w:jc w:val="both"/>
        <w:rPr>
          <w:sz w:val="24"/>
          <w:szCs w:val="24"/>
        </w:rPr>
      </w:pPr>
    </w:p>
    <w:p w14:paraId="3B1E072D" w14:textId="77777777" w:rsidR="00CB4464" w:rsidRDefault="00CB4464" w:rsidP="00E600E8">
      <w:pPr>
        <w:spacing w:line="20" w:lineRule="exact"/>
        <w:ind w:left="1410" w:hanging="1410"/>
        <w:jc w:val="both"/>
        <w:rPr>
          <w:sz w:val="24"/>
          <w:szCs w:val="24"/>
        </w:rPr>
      </w:pPr>
    </w:p>
    <w:p w14:paraId="0A062271" w14:textId="77777777" w:rsidR="00CB4464" w:rsidRPr="00A1533F" w:rsidRDefault="00CB4464" w:rsidP="00E600E8">
      <w:pPr>
        <w:spacing w:line="20" w:lineRule="exact"/>
        <w:ind w:left="1410" w:hanging="1410"/>
        <w:jc w:val="both"/>
        <w:rPr>
          <w:sz w:val="24"/>
          <w:szCs w:val="24"/>
        </w:rPr>
      </w:pPr>
    </w:p>
    <w:p w14:paraId="2863FB68" w14:textId="77777777" w:rsidR="00A74336" w:rsidRDefault="00A74336">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6521"/>
      </w:tblGrid>
      <w:tr w:rsidR="00A74336" w14:paraId="0336EF33" w14:textId="77777777" w:rsidTr="00CB4464">
        <w:trPr>
          <w:jc w:val="center"/>
        </w:trPr>
        <w:tc>
          <w:tcPr>
            <w:tcW w:w="6521" w:type="dxa"/>
          </w:tcPr>
          <w:p w14:paraId="1EB07AA8" w14:textId="77777777" w:rsidR="00A74336" w:rsidRDefault="00A74336">
            <w:pPr>
              <w:pStyle w:val="Titre3"/>
              <w:spacing w:before="120" w:after="120"/>
              <w:jc w:val="center"/>
            </w:pPr>
            <w:r>
              <w:lastRenderedPageBreak/>
              <w:t>Recommandations de la circulaire budgétaire</w:t>
            </w:r>
          </w:p>
        </w:tc>
        <w:tc>
          <w:tcPr>
            <w:tcW w:w="6521" w:type="dxa"/>
          </w:tcPr>
          <w:p w14:paraId="735E4982" w14:textId="77777777" w:rsidR="00A74336" w:rsidRDefault="00A74336">
            <w:pPr>
              <w:pStyle w:val="Titre3"/>
              <w:spacing w:before="120" w:after="120"/>
              <w:jc w:val="center"/>
            </w:pPr>
            <w:r>
              <w:t>Recommandations du groupe de travail</w:t>
            </w:r>
          </w:p>
        </w:tc>
      </w:tr>
      <w:tr w:rsidR="00A74336" w:rsidRPr="002D25DD" w14:paraId="4034A191" w14:textId="77777777" w:rsidTr="00CB4464">
        <w:trPr>
          <w:jc w:val="center"/>
        </w:trPr>
        <w:tc>
          <w:tcPr>
            <w:tcW w:w="6521" w:type="dxa"/>
            <w:tcBorders>
              <w:bottom w:val="single" w:sz="4" w:space="0" w:color="auto"/>
            </w:tcBorders>
          </w:tcPr>
          <w:p w14:paraId="6D832B73" w14:textId="77777777" w:rsidR="006E7FBA" w:rsidRPr="00602B2F" w:rsidRDefault="006E7FBA" w:rsidP="006E7FBA">
            <w:pPr>
              <w:spacing w:before="120"/>
              <w:jc w:val="both"/>
              <w:textAlignment w:val="baseline"/>
              <w:rPr>
                <w:spacing w:val="-1"/>
                <w:sz w:val="24"/>
                <w:szCs w:val="24"/>
              </w:rPr>
            </w:pPr>
            <w:r w:rsidRPr="00602B2F">
              <w:rPr>
                <w:spacing w:val="-1"/>
                <w:sz w:val="24"/>
                <w:szCs w:val="24"/>
              </w:rPr>
              <w:t>Taux maximum recommandé : 420,00 euros (498,08</w:t>
            </w:r>
            <w:r w:rsidRPr="00602B2F">
              <w:rPr>
                <w:sz w:val="24"/>
                <w:szCs w:val="24"/>
              </w:rPr>
              <w:t xml:space="preserve"> </w:t>
            </w:r>
            <w:r w:rsidRPr="00602B2F">
              <w:rPr>
                <w:spacing w:val="-1"/>
                <w:sz w:val="24"/>
                <w:szCs w:val="24"/>
              </w:rPr>
              <w:t>indexé à 18,59%) .</w:t>
            </w:r>
          </w:p>
          <w:p w14:paraId="5C26D643" w14:textId="77777777" w:rsidR="006E7FBA" w:rsidRPr="00602B2F" w:rsidRDefault="006E7FBA" w:rsidP="006E7FBA">
            <w:pPr>
              <w:spacing w:before="120"/>
              <w:jc w:val="both"/>
              <w:textAlignment w:val="baseline"/>
              <w:rPr>
                <w:sz w:val="24"/>
                <w:szCs w:val="24"/>
              </w:rPr>
            </w:pPr>
            <w:r w:rsidRPr="00602B2F">
              <w:rPr>
                <w:sz w:val="24"/>
                <w:szCs w:val="24"/>
              </w:rPr>
              <w:t xml:space="preserve">L’article L1232-17 du CDLD prévoit deux modes de sépulture qui sont l'inhumation et la dispersion ou conservation des cendres après crémation. Afin d'éviter toute discrimination fondée sur des opinions philosophiques ou religieuses, ces deux modes de sépulture doivent être taxés de manière </w:t>
            </w:r>
            <w:r w:rsidRPr="00602B2F">
              <w:rPr>
                <w:b/>
                <w:sz w:val="24"/>
                <w:szCs w:val="24"/>
              </w:rPr>
              <w:t>identique</w:t>
            </w:r>
            <w:r w:rsidRPr="00602B2F">
              <w:rPr>
                <w:sz w:val="24"/>
                <w:szCs w:val="24"/>
              </w:rPr>
              <w:t xml:space="preserve">. </w:t>
            </w:r>
          </w:p>
          <w:p w14:paraId="58F6A014" w14:textId="77777777" w:rsidR="006E7FBA" w:rsidRPr="00602B2F" w:rsidRDefault="006E7FBA" w:rsidP="006E7FBA">
            <w:pPr>
              <w:tabs>
                <w:tab w:val="left" w:pos="-148"/>
                <w:tab w:val="left" w:pos="0"/>
              </w:tabs>
              <w:spacing w:before="120"/>
              <w:jc w:val="both"/>
              <w:textAlignment w:val="baseline"/>
              <w:rPr>
                <w:sz w:val="24"/>
                <w:szCs w:val="24"/>
              </w:rPr>
            </w:pPr>
            <w:r w:rsidRPr="00602B2F">
              <w:rPr>
                <w:sz w:val="24"/>
                <w:szCs w:val="24"/>
              </w:rPr>
              <w:t xml:space="preserve">L’article L 1232-2, §5 du CDLD précise que l’inhumation, la dispersion des cendres et la mise en columbarium est </w:t>
            </w:r>
            <w:r w:rsidRPr="00602B2F">
              <w:rPr>
                <w:b/>
                <w:sz w:val="24"/>
                <w:szCs w:val="24"/>
              </w:rPr>
              <w:t>gratuite</w:t>
            </w:r>
            <w:r w:rsidRPr="00602B2F">
              <w:rPr>
                <w:sz w:val="24"/>
                <w:szCs w:val="24"/>
              </w:rPr>
              <w:t xml:space="preserve"> pour les indigents, les personnes inscrites dans le registre de la population, le registre des étrangers ou le registre d’attente de la commune. Cette exonération ne vise que les opérations d’inhumation, dispersion des cendres et mise en columbarium. Elle ne concerne ni la redevance pour l’octroi d’une concession ni la taxe pour l’utilisation d’un cercueil en polyester, lesquelles demeurent payantes.</w:t>
            </w:r>
          </w:p>
          <w:p w14:paraId="08681402" w14:textId="77777777" w:rsidR="006E7FBA" w:rsidRPr="00602B2F" w:rsidRDefault="006E7FBA" w:rsidP="006E7FBA">
            <w:pPr>
              <w:tabs>
                <w:tab w:val="left" w:pos="-148"/>
                <w:tab w:val="left" w:pos="0"/>
              </w:tabs>
              <w:spacing w:before="120"/>
              <w:jc w:val="both"/>
              <w:textAlignment w:val="baseline"/>
              <w:rPr>
                <w:sz w:val="24"/>
                <w:szCs w:val="24"/>
              </w:rPr>
            </w:pPr>
            <w:r w:rsidRPr="00602B2F">
              <w:rPr>
                <w:b/>
                <w:sz w:val="24"/>
                <w:szCs w:val="24"/>
              </w:rPr>
              <w:t>L’indigent est défini</w:t>
            </w:r>
            <w:r w:rsidRPr="00602B2F">
              <w:rPr>
                <w:sz w:val="24"/>
                <w:szCs w:val="24"/>
              </w:rPr>
              <w:t xml:space="preserve"> comme </w:t>
            </w:r>
            <w:r w:rsidR="00C250E6" w:rsidRPr="00C250E6">
              <w:rPr>
                <w:color w:val="FF0000"/>
                <w:sz w:val="24"/>
                <w:szCs w:val="24"/>
              </w:rPr>
              <w:t>«</w:t>
            </w:r>
            <w:r w:rsidR="00C250E6">
              <w:rPr>
                <w:sz w:val="24"/>
                <w:szCs w:val="24"/>
              </w:rPr>
              <w:t> </w:t>
            </w:r>
            <w:r w:rsidRPr="00602B2F">
              <w:rPr>
                <w:sz w:val="24"/>
                <w:szCs w:val="24"/>
              </w:rPr>
              <w:t>la personne, bénéficiant du statut d'indigence, accordé par la commune d'inscription au registre de la population, au registre des étrangers ou au registre d'attente, ou</w:t>
            </w:r>
            <w:r w:rsidR="00C250E6">
              <w:rPr>
                <w:sz w:val="24"/>
                <w:szCs w:val="24"/>
              </w:rPr>
              <w:t>,</w:t>
            </w:r>
            <w:r w:rsidRPr="00602B2F">
              <w:rPr>
                <w:sz w:val="24"/>
                <w:szCs w:val="24"/>
              </w:rPr>
              <w:t xml:space="preserve"> à défaut d'une telle inscription, par la commune sur le territoire de laquelle survient le décès, en raison de son absence de ressources ou de ressources suffisantes pour couvrir ses besoins élémentaires en référence à l'article 16 de la loi du 26 mai 2002 concernant le droit à l'intégration sociale</w:t>
            </w:r>
            <w:r w:rsidRPr="00602B2F">
              <w:rPr>
                <w:sz w:val="24"/>
                <w:szCs w:val="24"/>
                <w:vertAlign w:val="superscript"/>
              </w:rPr>
              <w:footnoteReference w:id="1"/>
            </w:r>
            <w:r w:rsidRPr="00602B2F">
              <w:rPr>
                <w:sz w:val="24"/>
                <w:szCs w:val="24"/>
              </w:rPr>
              <w:t xml:space="preserve"> ».</w:t>
            </w:r>
          </w:p>
          <w:p w14:paraId="1BD4440E" w14:textId="77777777" w:rsidR="006E7FBA" w:rsidRPr="00602B2F" w:rsidRDefault="006E7FBA" w:rsidP="006E7FBA">
            <w:pPr>
              <w:spacing w:before="120"/>
              <w:jc w:val="both"/>
              <w:textAlignment w:val="baseline"/>
              <w:rPr>
                <w:sz w:val="24"/>
                <w:szCs w:val="24"/>
              </w:rPr>
            </w:pPr>
            <w:r w:rsidRPr="00602B2F">
              <w:rPr>
                <w:sz w:val="24"/>
                <w:szCs w:val="24"/>
              </w:rPr>
              <w:t>L’article L1232-16 du CDLD précise que :</w:t>
            </w:r>
          </w:p>
          <w:p w14:paraId="394390D2" w14:textId="77777777" w:rsidR="006E7FBA" w:rsidRPr="00602B2F" w:rsidRDefault="006E7FBA" w:rsidP="006E7FBA">
            <w:pPr>
              <w:numPr>
                <w:ilvl w:val="0"/>
                <w:numId w:val="10"/>
              </w:numPr>
              <w:tabs>
                <w:tab w:val="left" w:pos="-148"/>
              </w:tabs>
              <w:spacing w:before="120"/>
              <w:contextualSpacing/>
              <w:jc w:val="both"/>
              <w:textAlignment w:val="baseline"/>
              <w:rPr>
                <w:sz w:val="24"/>
                <w:szCs w:val="24"/>
              </w:rPr>
            </w:pPr>
            <w:r w:rsidRPr="00602B2F">
              <w:rPr>
                <w:sz w:val="24"/>
                <w:szCs w:val="24"/>
              </w:rPr>
              <w:lastRenderedPageBreak/>
              <w:t xml:space="preserve">Les funérailles des indigents doivent être </w:t>
            </w:r>
            <w:r w:rsidRPr="00602B2F">
              <w:rPr>
                <w:b/>
                <w:bCs/>
                <w:sz w:val="24"/>
                <w:szCs w:val="24"/>
              </w:rPr>
              <w:t xml:space="preserve">décentes </w:t>
            </w:r>
            <w:r w:rsidRPr="00602B2F">
              <w:rPr>
                <w:sz w:val="24"/>
                <w:szCs w:val="24"/>
              </w:rPr>
              <w:t>et conformes aux dernières volontés visées à l’article L 1232-17, §2 ;</w:t>
            </w:r>
          </w:p>
          <w:p w14:paraId="7017A9EB" w14:textId="77777777" w:rsidR="006E7FBA" w:rsidRPr="00826F91" w:rsidRDefault="006E7FBA" w:rsidP="006E7FBA">
            <w:pPr>
              <w:numPr>
                <w:ilvl w:val="0"/>
                <w:numId w:val="10"/>
              </w:numPr>
              <w:tabs>
                <w:tab w:val="left" w:pos="-148"/>
              </w:tabs>
              <w:spacing w:before="120"/>
              <w:contextualSpacing/>
              <w:jc w:val="both"/>
              <w:textAlignment w:val="baseline"/>
              <w:rPr>
                <w:sz w:val="24"/>
                <w:szCs w:val="24"/>
              </w:rPr>
            </w:pPr>
            <w:r w:rsidRPr="00602B2F">
              <w:rPr>
                <w:sz w:val="24"/>
                <w:szCs w:val="24"/>
              </w:rPr>
              <w:t xml:space="preserve">Les </w:t>
            </w:r>
            <w:r w:rsidRPr="00602B2F">
              <w:rPr>
                <w:b/>
                <w:bCs/>
                <w:sz w:val="24"/>
                <w:szCs w:val="24"/>
              </w:rPr>
              <w:t xml:space="preserve">frais des opérations civiles </w:t>
            </w:r>
            <w:r w:rsidRPr="00602B2F">
              <w:rPr>
                <w:b/>
                <w:bCs/>
                <w:sz w:val="24"/>
                <w:szCs w:val="24"/>
                <w:u w:val="single"/>
              </w:rPr>
              <w:t>à l’exclusion</w:t>
            </w:r>
            <w:r w:rsidRPr="00602B2F">
              <w:rPr>
                <w:sz w:val="24"/>
                <w:szCs w:val="24"/>
              </w:rPr>
              <w:t xml:space="preserve"> des cérémonies cultuelles ou philosophiques non confessionnelles des indigents sont à charge de la commune de la région de langue française dans laquelle le défunt est inscrit au registre de la population, des étrangers ou d’attente</w:t>
            </w:r>
            <w:r w:rsidR="009F0163">
              <w:rPr>
                <w:sz w:val="24"/>
                <w:szCs w:val="24"/>
              </w:rPr>
              <w:t xml:space="preserve">. </w:t>
            </w:r>
            <w:r w:rsidR="009F0163" w:rsidRPr="00826F91">
              <w:rPr>
                <w:sz w:val="24"/>
                <w:szCs w:val="24"/>
              </w:rPr>
              <w:t>Si le défunt n’est inscrit dans aucun de ces registres, les frais précités sont pris en charge par la commune du lieu du décès</w:t>
            </w:r>
            <w:r w:rsidRPr="00826F91">
              <w:rPr>
                <w:sz w:val="24"/>
                <w:szCs w:val="24"/>
              </w:rPr>
              <w:t xml:space="preserve"> ou, à défaut, dans laquelle le décès a eu lieu</w:t>
            </w:r>
            <w:r w:rsidR="0024163E" w:rsidRPr="00826F91">
              <w:rPr>
                <w:sz w:val="24"/>
                <w:szCs w:val="24"/>
              </w:rPr>
              <w:t xml:space="preserve"> (art. 10 décret du 11 avril 2024)</w:t>
            </w:r>
            <w:r w:rsidRPr="00826F91">
              <w:rPr>
                <w:sz w:val="24"/>
                <w:szCs w:val="24"/>
              </w:rPr>
              <w:t> ;</w:t>
            </w:r>
          </w:p>
          <w:p w14:paraId="56DE9036" w14:textId="77777777" w:rsidR="006E7FBA" w:rsidRPr="00602B2F" w:rsidRDefault="006E7FBA" w:rsidP="006E7FBA">
            <w:pPr>
              <w:numPr>
                <w:ilvl w:val="0"/>
                <w:numId w:val="10"/>
              </w:numPr>
              <w:tabs>
                <w:tab w:val="left" w:pos="-148"/>
              </w:tabs>
              <w:spacing w:before="120"/>
              <w:contextualSpacing/>
              <w:jc w:val="both"/>
              <w:textAlignment w:val="baseline"/>
              <w:rPr>
                <w:sz w:val="24"/>
                <w:szCs w:val="24"/>
              </w:rPr>
            </w:pPr>
            <w:r w:rsidRPr="00602B2F">
              <w:rPr>
                <w:sz w:val="24"/>
                <w:szCs w:val="24"/>
              </w:rPr>
              <w:t>Si aucune place ne leur est attribuée dans une concession préexistante les indigents sont inhumés en zone non concédée</w:t>
            </w:r>
            <w:r w:rsidRPr="00602B2F">
              <w:rPr>
                <w:sz w:val="24"/>
                <w:szCs w:val="24"/>
                <w:vertAlign w:val="superscript"/>
              </w:rPr>
              <w:footnoteReference w:id="2"/>
            </w:r>
            <w:r w:rsidRPr="00602B2F">
              <w:rPr>
                <w:sz w:val="24"/>
                <w:szCs w:val="24"/>
              </w:rPr>
              <w:t xml:space="preserve">. </w:t>
            </w:r>
            <w:r w:rsidRPr="00602B2F">
              <w:rPr>
                <w:bCs/>
                <w:sz w:val="24"/>
                <w:szCs w:val="24"/>
              </w:rPr>
              <w:t xml:space="preserve">Si la concession préexistante est un caveau, la commune devra supporter un coût supplémentaire du fait que la législation impose que le cercueil placé dans un caveau corresponde au mode d’inhumation en caveau (enveloppe en zinc, polyester ventilé, </w:t>
            </w:r>
            <w:proofErr w:type="spellStart"/>
            <w:r w:rsidRPr="00602B2F">
              <w:rPr>
                <w:bCs/>
                <w:sz w:val="24"/>
                <w:szCs w:val="24"/>
              </w:rPr>
              <w:t>sarcométal</w:t>
            </w:r>
            <w:proofErr w:type="spellEnd"/>
            <w:r w:rsidRPr="00602B2F">
              <w:rPr>
                <w:bCs/>
                <w:sz w:val="24"/>
                <w:szCs w:val="24"/>
              </w:rPr>
              <w:t xml:space="preserve"> ventilé).</w:t>
            </w:r>
          </w:p>
          <w:p w14:paraId="334F3A90" w14:textId="77777777" w:rsidR="006E7FBA" w:rsidRPr="00602B2F" w:rsidRDefault="006E7FBA" w:rsidP="006E7FBA">
            <w:pPr>
              <w:tabs>
                <w:tab w:val="left" w:pos="288"/>
              </w:tabs>
              <w:spacing w:before="120"/>
              <w:ind w:left="1"/>
              <w:jc w:val="both"/>
              <w:textAlignment w:val="baseline"/>
              <w:rPr>
                <w:sz w:val="24"/>
                <w:szCs w:val="24"/>
              </w:rPr>
            </w:pPr>
            <w:r w:rsidRPr="00602B2F">
              <w:rPr>
                <w:sz w:val="24"/>
                <w:szCs w:val="24"/>
              </w:rPr>
              <w:t>Pour plus de détails, vous pouvez vous référer aux circulaires du 4 juin 2014 et 1er juillet 2019 relatives à la modification de la législation relative aux funérailles et sépultures.</w:t>
            </w:r>
          </w:p>
          <w:p w14:paraId="01868314" w14:textId="77777777" w:rsidR="006E7FBA" w:rsidRPr="00602B2F" w:rsidRDefault="006E7FBA" w:rsidP="006E7FBA">
            <w:pPr>
              <w:tabs>
                <w:tab w:val="left" w:pos="-148"/>
                <w:tab w:val="left" w:pos="504"/>
              </w:tabs>
              <w:spacing w:before="120"/>
              <w:jc w:val="both"/>
              <w:textAlignment w:val="baseline"/>
              <w:rPr>
                <w:sz w:val="24"/>
                <w:szCs w:val="24"/>
              </w:rPr>
            </w:pPr>
            <w:r w:rsidRPr="00602B2F">
              <w:rPr>
                <w:sz w:val="24"/>
                <w:szCs w:val="24"/>
              </w:rPr>
              <w:t>La taxe sur les inhumations et dispersion ou conservation des cendres après crémation englobant déjà les prestations effectuées par le personnel communal (par exemple : travail pour l’ouverture de caveau), il ne peut y être ajouté une redevance pour couvrir ces frais.</w:t>
            </w:r>
          </w:p>
          <w:p w14:paraId="205F44CC" w14:textId="77777777" w:rsidR="006E7FBA" w:rsidRPr="00602B2F" w:rsidRDefault="006E7FBA" w:rsidP="006E7FBA">
            <w:pPr>
              <w:tabs>
                <w:tab w:val="left" w:pos="-148"/>
                <w:tab w:val="left" w:pos="504"/>
              </w:tabs>
              <w:spacing w:before="120"/>
              <w:jc w:val="both"/>
              <w:textAlignment w:val="baseline"/>
              <w:rPr>
                <w:sz w:val="24"/>
                <w:szCs w:val="24"/>
              </w:rPr>
            </w:pPr>
            <w:r w:rsidRPr="00602B2F">
              <w:rPr>
                <w:sz w:val="24"/>
                <w:szCs w:val="24"/>
              </w:rPr>
              <w:t xml:space="preserve">La taxe sur les inhumations concerne aussi les </w:t>
            </w:r>
            <w:r w:rsidRPr="00602B2F">
              <w:rPr>
                <w:b/>
                <w:sz w:val="24"/>
                <w:szCs w:val="24"/>
              </w:rPr>
              <w:t>inhumations surnuméraires</w:t>
            </w:r>
            <w:r w:rsidRPr="00602B2F">
              <w:rPr>
                <w:sz w:val="24"/>
                <w:szCs w:val="24"/>
              </w:rPr>
              <w:t xml:space="preserve"> dans une concession (cette taxe est due en plus du </w:t>
            </w:r>
            <w:r w:rsidRPr="00602B2F">
              <w:rPr>
                <w:sz w:val="24"/>
                <w:szCs w:val="24"/>
              </w:rPr>
              <w:lastRenderedPageBreak/>
              <w:t>prix éventuellement demandé pour ajouter le corps ou l’urne à la concession dont le quota est déjà atteint).</w:t>
            </w:r>
          </w:p>
          <w:p w14:paraId="01DF183C" w14:textId="77777777" w:rsidR="006E7FBA" w:rsidRPr="00602B2F" w:rsidRDefault="006E7FBA" w:rsidP="006E7FBA">
            <w:pPr>
              <w:tabs>
                <w:tab w:val="left" w:pos="-148"/>
                <w:tab w:val="left" w:pos="0"/>
              </w:tabs>
              <w:spacing w:before="120"/>
              <w:jc w:val="both"/>
              <w:textAlignment w:val="baseline"/>
              <w:rPr>
                <w:sz w:val="24"/>
                <w:szCs w:val="24"/>
              </w:rPr>
            </w:pPr>
            <w:r w:rsidRPr="00602B2F">
              <w:rPr>
                <w:spacing w:val="-2"/>
                <w:sz w:val="24"/>
                <w:szCs w:val="24"/>
              </w:rPr>
              <w:t>Il ne peut être levé aucune taxe ou rétribution sur les sépultures non concédées et provisoirement conservées à l'issue du délai de cinq ans prévus par l'article L 1232-21 du CDLD.</w:t>
            </w:r>
          </w:p>
          <w:p w14:paraId="66B177C5" w14:textId="77777777" w:rsidR="006E7FBA" w:rsidRPr="00602B2F" w:rsidRDefault="006E7FBA" w:rsidP="006E7FBA">
            <w:pPr>
              <w:spacing w:before="120"/>
              <w:jc w:val="both"/>
              <w:textAlignment w:val="baseline"/>
              <w:rPr>
                <w:spacing w:val="-2"/>
                <w:sz w:val="24"/>
                <w:szCs w:val="24"/>
              </w:rPr>
            </w:pPr>
            <w:r w:rsidRPr="00602B2F">
              <w:rPr>
                <w:spacing w:val="-2"/>
                <w:sz w:val="24"/>
                <w:szCs w:val="24"/>
              </w:rPr>
              <w:t>Lorsque les entreprises de pompes funèbres accomplissent des formalités auprès des administrations communales, elles n'agissent qu'en tant que mandataires et ne doivent dès lors pas être considérées comme les redevables des taxes et redevances relatives aux funérailles et sépultures.</w:t>
            </w:r>
          </w:p>
          <w:p w14:paraId="414CAB14" w14:textId="77777777" w:rsidR="00A74336" w:rsidRPr="00602B2F" w:rsidRDefault="00A74336" w:rsidP="00A76493">
            <w:pPr>
              <w:spacing w:before="120"/>
              <w:jc w:val="both"/>
              <w:textAlignment w:val="baseline"/>
              <w:rPr>
                <w:spacing w:val="-2"/>
                <w:sz w:val="24"/>
                <w:szCs w:val="24"/>
              </w:rPr>
            </w:pPr>
          </w:p>
        </w:tc>
        <w:tc>
          <w:tcPr>
            <w:tcW w:w="6521" w:type="dxa"/>
          </w:tcPr>
          <w:p w14:paraId="354C03A5" w14:textId="77777777" w:rsidR="00A74336" w:rsidRPr="002D25DD" w:rsidRDefault="00A74336">
            <w:pPr>
              <w:pStyle w:val="Titre3"/>
              <w:spacing w:before="120" w:after="120"/>
              <w:rPr>
                <w:b w:val="0"/>
                <w:i w:val="0"/>
              </w:rPr>
            </w:pPr>
            <w:r w:rsidRPr="002D25DD">
              <w:lastRenderedPageBreak/>
              <w:t>Remarque</w:t>
            </w:r>
            <w:r w:rsidR="00D1184C" w:rsidRPr="002D25DD">
              <w:t xml:space="preserve"> : </w:t>
            </w:r>
            <w:r w:rsidRPr="002D25DD">
              <w:rPr>
                <w:b w:val="0"/>
                <w:i w:val="0"/>
              </w:rPr>
              <w:t>la terminologie utilisée dans ce modèle est celle de la législation su</w:t>
            </w:r>
            <w:r w:rsidR="00D1184C" w:rsidRPr="002D25DD">
              <w:rPr>
                <w:b w:val="0"/>
                <w:i w:val="0"/>
              </w:rPr>
              <w:t>r les funérailles et sépultures.</w:t>
            </w:r>
          </w:p>
        </w:tc>
      </w:tr>
    </w:tbl>
    <w:p w14:paraId="3E26FC3C" w14:textId="77777777" w:rsidR="00A74336" w:rsidRPr="002D25DD" w:rsidRDefault="00A74336">
      <w:pPr>
        <w:rPr>
          <w:sz w:val="24"/>
          <w:szCs w:val="24"/>
        </w:rPr>
      </w:pPr>
    </w:p>
    <w:sectPr w:rsidR="00A74336" w:rsidRPr="002D25DD">
      <w:headerReference w:type="default" r:id="rId9"/>
      <w:footerReference w:type="even" r:id="rId10"/>
      <w:footerReference w:type="default" r:id="rId11"/>
      <w:pgSz w:w="16838" w:h="11906" w:orient="landscape"/>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2279" w14:textId="77777777" w:rsidR="0041231F" w:rsidRDefault="0041231F" w:rsidP="00A74336">
      <w:r>
        <w:separator/>
      </w:r>
    </w:p>
  </w:endnote>
  <w:endnote w:type="continuationSeparator" w:id="0">
    <w:p w14:paraId="4F9F7CC3" w14:textId="77777777" w:rsidR="0041231F" w:rsidRDefault="0041231F" w:rsidP="00A7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BE36" w14:textId="77777777" w:rsidR="00CB4464" w:rsidRDefault="00CB446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571D897" w14:textId="77777777" w:rsidR="00CB4464" w:rsidRDefault="00CB44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DC9" w14:textId="77777777" w:rsidR="00CB4464" w:rsidRPr="00CB4464" w:rsidRDefault="00CB4464">
    <w:pPr>
      <w:pStyle w:val="Pieddepage"/>
      <w:framePr w:wrap="around" w:vAnchor="text" w:hAnchor="margin" w:xAlign="center" w:y="1"/>
      <w:rPr>
        <w:rStyle w:val="Numrodepage"/>
        <w:sz w:val="16"/>
      </w:rPr>
    </w:pPr>
    <w:r w:rsidRPr="00CB4464">
      <w:rPr>
        <w:rStyle w:val="Numrodepage"/>
        <w:sz w:val="16"/>
      </w:rPr>
      <w:fldChar w:fldCharType="begin"/>
    </w:r>
    <w:r w:rsidRPr="00CB4464">
      <w:rPr>
        <w:rStyle w:val="Numrodepage"/>
        <w:sz w:val="16"/>
      </w:rPr>
      <w:instrText xml:space="preserve">PAGE  </w:instrText>
    </w:r>
    <w:r w:rsidRPr="00CB4464">
      <w:rPr>
        <w:rStyle w:val="Numrodepage"/>
        <w:sz w:val="16"/>
      </w:rPr>
      <w:fldChar w:fldCharType="separate"/>
    </w:r>
    <w:r w:rsidR="009308FB">
      <w:rPr>
        <w:rStyle w:val="Numrodepage"/>
        <w:noProof/>
        <w:sz w:val="16"/>
      </w:rPr>
      <w:t>3</w:t>
    </w:r>
    <w:r w:rsidRPr="00CB4464">
      <w:rPr>
        <w:rStyle w:val="Numrodepage"/>
        <w:sz w:val="16"/>
      </w:rPr>
      <w:fldChar w:fldCharType="end"/>
    </w:r>
  </w:p>
  <w:p w14:paraId="6D586558" w14:textId="77777777" w:rsidR="00CB4464" w:rsidRDefault="00CB4464">
    <w:pPr>
      <w:pStyle w:val="Pieddepage"/>
    </w:pPr>
    <w:r>
      <w:t xml:space="preserve">                                                                                                                                                          </w:t>
    </w:r>
  </w:p>
  <w:p w14:paraId="7334CC30" w14:textId="77777777" w:rsidR="00CB4464" w:rsidRPr="00CB4464" w:rsidRDefault="00CB4464" w:rsidP="00CB4464">
    <w:pPr>
      <w:pStyle w:val="Pieddepage"/>
      <w:jc w:val="right"/>
      <w:rPr>
        <w:sz w:val="16"/>
      </w:rPr>
    </w:pPr>
    <w:r w:rsidRPr="00CB4464">
      <w:rPr>
        <w:sz w:val="16"/>
      </w:rPr>
      <w:t>040/363-10: Inhumations, dispersions des cendres et mises en columbarium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4891" w14:textId="77777777" w:rsidR="0041231F" w:rsidRDefault="0041231F" w:rsidP="00A74336">
      <w:r>
        <w:separator/>
      </w:r>
    </w:p>
  </w:footnote>
  <w:footnote w:type="continuationSeparator" w:id="0">
    <w:p w14:paraId="0E59AA8B" w14:textId="77777777" w:rsidR="0041231F" w:rsidRDefault="0041231F" w:rsidP="00A74336">
      <w:r>
        <w:continuationSeparator/>
      </w:r>
    </w:p>
  </w:footnote>
  <w:footnote w:id="1">
    <w:p w14:paraId="60359272" w14:textId="71F9A172" w:rsidR="006E7FBA" w:rsidRPr="008D7EB7" w:rsidRDefault="006E7FBA" w:rsidP="006E7FBA">
      <w:pPr>
        <w:pStyle w:val="Notedebasdepage"/>
        <w:rPr>
          <w:lang w:val="fr-BE"/>
        </w:rPr>
      </w:pPr>
      <w:r>
        <w:rPr>
          <w:rStyle w:val="Appelnotedebasdep"/>
        </w:rPr>
        <w:footnoteRef/>
      </w:r>
      <w:r w:rsidRPr="008D7EB7">
        <w:rPr>
          <w:lang w:val="fr-BE"/>
        </w:rPr>
        <w:t xml:space="preserve"> </w:t>
      </w:r>
      <w:r w:rsidRPr="00826F91">
        <w:rPr>
          <w:rFonts w:cs="Calibri Light"/>
          <w:lang w:val="fr-BE"/>
        </w:rPr>
        <w:t>Article 1</w:t>
      </w:r>
      <w:r w:rsidRPr="00826F91">
        <w:rPr>
          <w:rFonts w:cs="Calibri Light"/>
          <w:vertAlign w:val="superscript"/>
          <w:lang w:val="fr-BE"/>
        </w:rPr>
        <w:t>er</w:t>
      </w:r>
      <w:r w:rsidR="00C250E6" w:rsidRPr="00826F91">
        <w:rPr>
          <w:rFonts w:cs="Calibri Light"/>
          <w:lang w:val="fr-BE"/>
        </w:rPr>
        <w:t>, 20°</w:t>
      </w:r>
      <w:r w:rsidRPr="00826F91">
        <w:rPr>
          <w:rFonts w:cs="Calibri Light"/>
          <w:lang w:val="fr-BE"/>
        </w:rPr>
        <w:t xml:space="preserve">du décret du </w:t>
      </w:r>
      <w:r w:rsidR="00C250E6" w:rsidRPr="00826F91">
        <w:rPr>
          <w:rFonts w:cs="Calibri Light"/>
          <w:lang w:val="fr-BE"/>
        </w:rPr>
        <w:t xml:space="preserve">11 avril 2024 </w:t>
      </w:r>
      <w:r w:rsidRPr="00826F91">
        <w:rPr>
          <w:rFonts w:cs="Calibri Light"/>
          <w:lang w:val="fr-BE"/>
        </w:rPr>
        <w:t>.</w:t>
      </w:r>
    </w:p>
  </w:footnote>
  <w:footnote w:id="2">
    <w:p w14:paraId="02400266" w14:textId="77777777" w:rsidR="006E7FBA" w:rsidRPr="008D7EB7" w:rsidRDefault="006E7FBA" w:rsidP="006E7FBA">
      <w:pPr>
        <w:pStyle w:val="Notedebasdepage"/>
        <w:rPr>
          <w:lang w:val="fr-BE"/>
        </w:rPr>
      </w:pPr>
      <w:r>
        <w:rPr>
          <w:rStyle w:val="Appelnotedebasdep"/>
        </w:rPr>
        <w:footnoteRef/>
      </w:r>
      <w:r w:rsidRPr="008D7EB7">
        <w:rPr>
          <w:lang w:val="fr-BE"/>
        </w:rPr>
        <w:t xml:space="preserve"> </w:t>
      </w:r>
      <w:r>
        <w:rPr>
          <w:lang w:val="fr-BE"/>
        </w:rPr>
        <w:t>A</w:t>
      </w:r>
      <w:r w:rsidRPr="00D501F5">
        <w:rPr>
          <w:lang w:val="fr-BE"/>
        </w:rPr>
        <w:t xml:space="preserve">jout du décret du 2 mai </w:t>
      </w:r>
      <w:r w:rsidRPr="00826F91">
        <w:rPr>
          <w:lang w:val="fr-BE"/>
        </w:rPr>
        <w:t>2019</w:t>
      </w:r>
      <w:r w:rsidR="0024163E" w:rsidRPr="00826F91">
        <w:rPr>
          <w:lang w:val="fr-BE"/>
        </w:rPr>
        <w:t>, article 4</w:t>
      </w:r>
      <w:r w:rsidRPr="00826F91">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B529" w14:textId="556F7E76" w:rsidR="00CB4464" w:rsidRDefault="00CB4464" w:rsidP="001A5D82">
    <w:pPr>
      <w:pStyle w:val="En-tte"/>
      <w:tabs>
        <w:tab w:val="left" w:pos="708"/>
      </w:tabs>
    </w:pPr>
    <w:r>
      <w:rPr>
        <w:sz w:val="16"/>
      </w:rPr>
      <w:t>040/363-10</w:t>
    </w:r>
    <w:r w:rsidR="00426CDE">
      <w:rPr>
        <w:sz w:val="16"/>
      </w:rPr>
      <w:t xml:space="preserve">          </w:t>
    </w:r>
    <w:r w:rsidR="00C5305D">
      <w:rPr>
        <w:sz w:val="16"/>
      </w:rPr>
      <w:t>V</w:t>
    </w:r>
    <w:r w:rsidR="00426CDE">
      <w:rPr>
        <w:sz w:val="16"/>
      </w:rPr>
      <w:t xml:space="preserve">ersion au </w:t>
    </w:r>
    <w:r w:rsidR="00826F91">
      <w:rPr>
        <w:sz w:val="16"/>
      </w:rPr>
      <w:t>11.06.2025</w:t>
    </w:r>
  </w:p>
  <w:p w14:paraId="48AC971F" w14:textId="77777777" w:rsidR="00CB4464" w:rsidRDefault="00CB44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numFmt w:val="bullet"/>
      <w:lvlText w:val="-"/>
      <w:lvlJc w:val="left"/>
      <w:pPr>
        <w:tabs>
          <w:tab w:val="num" w:pos="0"/>
        </w:tabs>
        <w:ind w:left="0" w:firstLine="0"/>
      </w:pPr>
      <w:rPr>
        <w:rFonts w:ascii="OpenSymbol" w:hAnsi="OpenSymbol"/>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 w15:restartNumberingAfterBreak="0">
    <w:nsid w:val="018B6F92"/>
    <w:multiLevelType w:val="hybridMultilevel"/>
    <w:tmpl w:val="96188FC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621E46"/>
    <w:multiLevelType w:val="hybridMultilevel"/>
    <w:tmpl w:val="3212602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 w15:restartNumberingAfterBreak="0">
    <w:nsid w:val="25F84B0C"/>
    <w:multiLevelType w:val="hybridMultilevel"/>
    <w:tmpl w:val="B4AA8E7A"/>
    <w:lvl w:ilvl="0" w:tplc="CDB2A022">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0710D1F"/>
    <w:multiLevelType w:val="hybridMultilevel"/>
    <w:tmpl w:val="FE2C6900"/>
    <w:lvl w:ilvl="0" w:tplc="080C0001">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5" w15:restartNumberingAfterBreak="0">
    <w:nsid w:val="4A5E39C3"/>
    <w:multiLevelType w:val="multilevel"/>
    <w:tmpl w:val="7A36E6B0"/>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98492B"/>
    <w:multiLevelType w:val="hybridMultilevel"/>
    <w:tmpl w:val="96188FC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92219D2"/>
    <w:multiLevelType w:val="hybridMultilevel"/>
    <w:tmpl w:val="E1F8A18E"/>
    <w:lvl w:ilvl="0" w:tplc="2F30B78A">
      <w:start w:val="4"/>
      <w:numFmt w:val="bullet"/>
      <w:lvlText w:val="-"/>
      <w:lvlJc w:val="left"/>
      <w:pPr>
        <w:ind w:left="1068" w:hanging="360"/>
      </w:pPr>
      <w:rPr>
        <w:rFonts w:ascii="Times New Roman" w:eastAsia="Garamond" w:hAnsi="Times New Roman"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70D9074F"/>
    <w:multiLevelType w:val="hybridMultilevel"/>
    <w:tmpl w:val="029C736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545"/>
        </w:tabs>
        <w:ind w:left="1545" w:hanging="465"/>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9E5271F"/>
    <w:multiLevelType w:val="hybridMultilevel"/>
    <w:tmpl w:val="17E86D80"/>
    <w:lvl w:ilvl="0" w:tplc="2A52D1D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62162734">
    <w:abstractNumId w:val="6"/>
  </w:num>
  <w:num w:numId="2" w16cid:durableId="338433695">
    <w:abstractNumId w:val="1"/>
  </w:num>
  <w:num w:numId="3" w16cid:durableId="2074229017">
    <w:abstractNumId w:val="8"/>
  </w:num>
  <w:num w:numId="4" w16cid:durableId="577710763">
    <w:abstractNumId w:val="2"/>
  </w:num>
  <w:num w:numId="5" w16cid:durableId="179052028">
    <w:abstractNumId w:val="0"/>
  </w:num>
  <w:num w:numId="6" w16cid:durableId="158887631">
    <w:abstractNumId w:val="5"/>
  </w:num>
  <w:num w:numId="7" w16cid:durableId="949361652">
    <w:abstractNumId w:val="9"/>
  </w:num>
  <w:num w:numId="8" w16cid:durableId="571354239">
    <w:abstractNumId w:val="3"/>
  </w:num>
  <w:num w:numId="9" w16cid:durableId="856038590">
    <w:abstractNumId w:val="7"/>
  </w:num>
  <w:num w:numId="10" w16cid:durableId="1693192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D2"/>
    <w:rsid w:val="00002141"/>
    <w:rsid w:val="00011244"/>
    <w:rsid w:val="000338C4"/>
    <w:rsid w:val="000924E6"/>
    <w:rsid w:val="001035B9"/>
    <w:rsid w:val="00104D73"/>
    <w:rsid w:val="00133DBD"/>
    <w:rsid w:val="001A5D82"/>
    <w:rsid w:val="001E3AD2"/>
    <w:rsid w:val="001F28F7"/>
    <w:rsid w:val="00221647"/>
    <w:rsid w:val="002261E7"/>
    <w:rsid w:val="00235628"/>
    <w:rsid w:val="0024163E"/>
    <w:rsid w:val="00250A11"/>
    <w:rsid w:val="00275D9A"/>
    <w:rsid w:val="002D25DD"/>
    <w:rsid w:val="002E6289"/>
    <w:rsid w:val="002F6C08"/>
    <w:rsid w:val="00312C83"/>
    <w:rsid w:val="00335EF2"/>
    <w:rsid w:val="0035219C"/>
    <w:rsid w:val="003E092A"/>
    <w:rsid w:val="003F510A"/>
    <w:rsid w:val="003F702D"/>
    <w:rsid w:val="0041231F"/>
    <w:rsid w:val="00426CDE"/>
    <w:rsid w:val="00454D52"/>
    <w:rsid w:val="00490A4B"/>
    <w:rsid w:val="004C16D5"/>
    <w:rsid w:val="004C74F8"/>
    <w:rsid w:val="004F0939"/>
    <w:rsid w:val="005143F0"/>
    <w:rsid w:val="00562739"/>
    <w:rsid w:val="005649C2"/>
    <w:rsid w:val="005677B3"/>
    <w:rsid w:val="005743F6"/>
    <w:rsid w:val="00593582"/>
    <w:rsid w:val="005B7240"/>
    <w:rsid w:val="005E1712"/>
    <w:rsid w:val="00602B2F"/>
    <w:rsid w:val="00633DEE"/>
    <w:rsid w:val="00640067"/>
    <w:rsid w:val="00653B70"/>
    <w:rsid w:val="00694E23"/>
    <w:rsid w:val="006D43BD"/>
    <w:rsid w:val="006E0FF7"/>
    <w:rsid w:val="006E7FBA"/>
    <w:rsid w:val="0072419B"/>
    <w:rsid w:val="0074264D"/>
    <w:rsid w:val="00743E05"/>
    <w:rsid w:val="00744096"/>
    <w:rsid w:val="00744876"/>
    <w:rsid w:val="007556D7"/>
    <w:rsid w:val="00780E7F"/>
    <w:rsid w:val="00791806"/>
    <w:rsid w:val="007960D5"/>
    <w:rsid w:val="007A1F3F"/>
    <w:rsid w:val="007F220B"/>
    <w:rsid w:val="008030B7"/>
    <w:rsid w:val="00826F91"/>
    <w:rsid w:val="008302E5"/>
    <w:rsid w:val="008344A8"/>
    <w:rsid w:val="0085705F"/>
    <w:rsid w:val="0088247A"/>
    <w:rsid w:val="008D08DD"/>
    <w:rsid w:val="008F2004"/>
    <w:rsid w:val="00925378"/>
    <w:rsid w:val="009308FB"/>
    <w:rsid w:val="00961EAA"/>
    <w:rsid w:val="009755D9"/>
    <w:rsid w:val="009A0EF8"/>
    <w:rsid w:val="009C3443"/>
    <w:rsid w:val="009F0163"/>
    <w:rsid w:val="009F6CB0"/>
    <w:rsid w:val="00A14F53"/>
    <w:rsid w:val="00A1533F"/>
    <w:rsid w:val="00A17B64"/>
    <w:rsid w:val="00A5753D"/>
    <w:rsid w:val="00A74336"/>
    <w:rsid w:val="00A76493"/>
    <w:rsid w:val="00AA6A27"/>
    <w:rsid w:val="00AB49DE"/>
    <w:rsid w:val="00AD3F4A"/>
    <w:rsid w:val="00B405D2"/>
    <w:rsid w:val="00B60B45"/>
    <w:rsid w:val="00B61380"/>
    <w:rsid w:val="00B639F6"/>
    <w:rsid w:val="00B80EB0"/>
    <w:rsid w:val="00BD3B64"/>
    <w:rsid w:val="00BF5ECD"/>
    <w:rsid w:val="00C07F8D"/>
    <w:rsid w:val="00C23D6E"/>
    <w:rsid w:val="00C250E6"/>
    <w:rsid w:val="00C5305D"/>
    <w:rsid w:val="00C66471"/>
    <w:rsid w:val="00CA616F"/>
    <w:rsid w:val="00CB4464"/>
    <w:rsid w:val="00CF2322"/>
    <w:rsid w:val="00D10400"/>
    <w:rsid w:val="00D10523"/>
    <w:rsid w:val="00D11828"/>
    <w:rsid w:val="00D1184C"/>
    <w:rsid w:val="00D1249C"/>
    <w:rsid w:val="00D36732"/>
    <w:rsid w:val="00D4637A"/>
    <w:rsid w:val="00DE2E10"/>
    <w:rsid w:val="00DE67F0"/>
    <w:rsid w:val="00E56D53"/>
    <w:rsid w:val="00E600E8"/>
    <w:rsid w:val="00EA3576"/>
    <w:rsid w:val="00EB7309"/>
    <w:rsid w:val="00EE6426"/>
    <w:rsid w:val="00EF09BF"/>
    <w:rsid w:val="00EF401B"/>
    <w:rsid w:val="00F344E7"/>
    <w:rsid w:val="00F37DDA"/>
    <w:rsid w:val="00F53C28"/>
    <w:rsid w:val="00F564E5"/>
    <w:rsid w:val="00FA0A57"/>
    <w:rsid w:val="00FA5115"/>
    <w:rsid w:val="00FD070B"/>
    <w:rsid w:val="00FF38D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9319C"/>
  <w15:chartTrackingRefBased/>
  <w15:docId w15:val="{7B32A4B3-E200-43B2-BDAA-09EF60B0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fr-FR"/>
    </w:rPr>
  </w:style>
  <w:style w:type="paragraph" w:styleId="Titre1">
    <w:name w:val="heading 1"/>
    <w:basedOn w:val="Normal"/>
    <w:next w:val="Normal"/>
    <w:qFormat/>
    <w:pPr>
      <w:keepNext/>
      <w:outlineLvl w:val="0"/>
    </w:pPr>
    <w:rPr>
      <w:b/>
      <w:bCs/>
      <w:sz w:val="28"/>
      <w:szCs w:val="24"/>
    </w:rPr>
  </w:style>
  <w:style w:type="paragraph" w:styleId="Titre2">
    <w:name w:val="heading 2"/>
    <w:basedOn w:val="Normal"/>
    <w:next w:val="Normal"/>
    <w:qFormat/>
    <w:pPr>
      <w:keepNext/>
      <w:outlineLvl w:val="1"/>
    </w:pPr>
    <w:rPr>
      <w:b/>
      <w:bCs/>
      <w:sz w:val="24"/>
      <w:szCs w:val="24"/>
    </w:rPr>
  </w:style>
  <w:style w:type="paragraph" w:styleId="Titre3">
    <w:name w:val="heading 3"/>
    <w:basedOn w:val="Normal"/>
    <w:next w:val="Normal"/>
    <w:qFormat/>
    <w:pPr>
      <w:keepNext/>
      <w:outlineLvl w:val="2"/>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character" w:styleId="Accentuation">
    <w:name w:val="Emphasis"/>
    <w:qFormat/>
    <w:rPr>
      <w:i/>
      <w:iCs/>
    </w:rPr>
  </w:style>
  <w:style w:type="paragraph" w:styleId="En-tte">
    <w:name w:val="header"/>
    <w:basedOn w:val="Normal"/>
    <w:link w:val="En-tteCar"/>
    <w:pPr>
      <w:tabs>
        <w:tab w:val="center" w:pos="4536"/>
        <w:tab w:val="right" w:pos="9072"/>
      </w:tabs>
    </w:pPr>
    <w:rPr>
      <w:sz w:val="24"/>
      <w:szCs w:val="24"/>
      <w:lang w:val="fr-BE"/>
    </w:rPr>
  </w:style>
  <w:style w:type="paragraph" w:styleId="Corpsdetexte">
    <w:name w:val="Body Text"/>
    <w:basedOn w:val="Normal"/>
    <w:semiHidden/>
    <w:pPr>
      <w:jc w:val="both"/>
    </w:pPr>
    <w:rPr>
      <w:sz w:val="24"/>
      <w:szCs w:val="24"/>
      <w:lang w:val="fr-BE"/>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customStyle="1" w:styleId="WW-Standard">
    <w:name w:val="WW-Standard"/>
    <w:pPr>
      <w:suppressAutoHyphens/>
      <w:spacing w:before="120"/>
      <w:jc w:val="both"/>
    </w:pPr>
    <w:rPr>
      <w:rFonts w:eastAsia="Arial"/>
      <w:kern w:val="1"/>
      <w:sz w:val="24"/>
      <w:lang w:eastAsia="zh-CN"/>
    </w:rPr>
  </w:style>
  <w:style w:type="paragraph" w:customStyle="1" w:styleId="txt">
    <w:name w:val="txt"/>
    <w:basedOn w:val="WW-Standard"/>
    <w:pPr>
      <w:spacing w:before="240" w:line="372" w:lineRule="auto"/>
    </w:pPr>
    <w:rPr>
      <w:rFonts w:ascii="Arial" w:hAnsi="Arial"/>
      <w:color w:val="0000FF"/>
    </w:rPr>
  </w:style>
  <w:style w:type="character" w:customStyle="1" w:styleId="En-tteCar">
    <w:name w:val="En-tête Car"/>
    <w:link w:val="En-tte"/>
    <w:rsid w:val="001A5D82"/>
    <w:rPr>
      <w:sz w:val="24"/>
      <w:szCs w:val="24"/>
      <w:lang w:eastAsia="fr-FR"/>
    </w:rPr>
  </w:style>
  <w:style w:type="paragraph" w:styleId="Corpsdetexte2">
    <w:name w:val="Body Text 2"/>
    <w:basedOn w:val="Normal"/>
    <w:link w:val="Corpsdetexte2Car"/>
    <w:rsid w:val="00EB7309"/>
    <w:pPr>
      <w:spacing w:after="120" w:line="480" w:lineRule="auto"/>
    </w:pPr>
    <w:rPr>
      <w:sz w:val="24"/>
      <w:szCs w:val="24"/>
    </w:rPr>
  </w:style>
  <w:style w:type="character" w:customStyle="1" w:styleId="Corpsdetexte2Car">
    <w:name w:val="Corps de texte 2 Car"/>
    <w:link w:val="Corpsdetexte2"/>
    <w:rsid w:val="00EB7309"/>
    <w:rPr>
      <w:sz w:val="24"/>
      <w:szCs w:val="24"/>
      <w:lang w:val="fr-FR" w:eastAsia="fr-FR"/>
    </w:rPr>
  </w:style>
  <w:style w:type="paragraph" w:styleId="Paragraphedeliste">
    <w:name w:val="List Paragraph"/>
    <w:aliases w:val="Paragraphe + puce,Lettre d'introduction,liste à numéros,Puce tiret"/>
    <w:basedOn w:val="Normal"/>
    <w:link w:val="ParagraphedelisteCar"/>
    <w:uiPriority w:val="34"/>
    <w:qFormat/>
    <w:rsid w:val="00D1184C"/>
    <w:pPr>
      <w:ind w:left="708"/>
    </w:pPr>
  </w:style>
  <w:style w:type="character" w:customStyle="1" w:styleId="ParagraphedelisteCar">
    <w:name w:val="Paragraphe de liste Car"/>
    <w:aliases w:val="Paragraphe + puce Car,Lettre d'introduction Car,liste à numéros Car,Puce tiret Car"/>
    <w:link w:val="Paragraphedeliste"/>
    <w:uiPriority w:val="34"/>
    <w:locked/>
    <w:rsid w:val="00EA3576"/>
    <w:rPr>
      <w:lang w:val="fr-FR" w:eastAsia="fr-FR"/>
    </w:rPr>
  </w:style>
  <w:style w:type="character" w:styleId="Appelnotedebasdep">
    <w:name w:val="footnote reference"/>
    <w:uiPriority w:val="99"/>
    <w:unhideWhenUsed/>
    <w:rsid w:val="002D25DD"/>
    <w:rPr>
      <w:vertAlign w:val="superscript"/>
    </w:rPr>
  </w:style>
  <w:style w:type="paragraph" w:styleId="Notedebasdepage">
    <w:name w:val="footnote text"/>
    <w:basedOn w:val="Normal"/>
    <w:link w:val="NotedebasdepageCar"/>
    <w:uiPriority w:val="99"/>
    <w:unhideWhenUsed/>
    <w:rsid w:val="00A76493"/>
    <w:rPr>
      <w:rFonts w:ascii="Calibri" w:eastAsia="PMingLiU" w:hAnsi="Calibri"/>
      <w:lang w:val="en-US" w:eastAsia="en-US"/>
    </w:rPr>
  </w:style>
  <w:style w:type="character" w:customStyle="1" w:styleId="NotedebasdepageCar">
    <w:name w:val="Note de bas de page Car"/>
    <w:link w:val="Notedebasdepage"/>
    <w:uiPriority w:val="99"/>
    <w:rsid w:val="00A76493"/>
    <w:rPr>
      <w:rFonts w:ascii="Calibri" w:eastAsia="PMingLiU" w:hAnsi="Calibri"/>
      <w:lang w:val="en-US" w:eastAsia="en-US"/>
    </w:rPr>
  </w:style>
  <w:style w:type="character" w:styleId="Marquedecommentaire">
    <w:name w:val="annotation reference"/>
    <w:uiPriority w:val="99"/>
    <w:semiHidden/>
    <w:unhideWhenUsed/>
    <w:rsid w:val="007A1F3F"/>
    <w:rPr>
      <w:sz w:val="16"/>
      <w:szCs w:val="16"/>
    </w:rPr>
  </w:style>
  <w:style w:type="paragraph" w:styleId="Commentaire">
    <w:name w:val="annotation text"/>
    <w:basedOn w:val="Normal"/>
    <w:link w:val="CommentaireCar"/>
    <w:uiPriority w:val="99"/>
    <w:semiHidden/>
    <w:unhideWhenUsed/>
    <w:rsid w:val="007A1F3F"/>
  </w:style>
  <w:style w:type="character" w:customStyle="1" w:styleId="CommentaireCar">
    <w:name w:val="Commentaire Car"/>
    <w:link w:val="Commentaire"/>
    <w:uiPriority w:val="99"/>
    <w:semiHidden/>
    <w:rsid w:val="007A1F3F"/>
    <w:rPr>
      <w:lang w:val="fr-FR" w:eastAsia="fr-FR"/>
    </w:rPr>
  </w:style>
  <w:style w:type="paragraph" w:styleId="Objetducommentaire">
    <w:name w:val="annotation subject"/>
    <w:basedOn w:val="Commentaire"/>
    <w:next w:val="Commentaire"/>
    <w:link w:val="ObjetducommentaireCar"/>
    <w:uiPriority w:val="99"/>
    <w:semiHidden/>
    <w:unhideWhenUsed/>
    <w:rsid w:val="007A1F3F"/>
    <w:rPr>
      <w:b/>
      <w:bCs/>
    </w:rPr>
  </w:style>
  <w:style w:type="character" w:customStyle="1" w:styleId="ObjetducommentaireCar">
    <w:name w:val="Objet du commentaire Car"/>
    <w:link w:val="Objetducommentaire"/>
    <w:uiPriority w:val="99"/>
    <w:semiHidden/>
    <w:rsid w:val="007A1F3F"/>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442">
      <w:bodyDiv w:val="1"/>
      <w:marLeft w:val="0"/>
      <w:marRight w:val="0"/>
      <w:marTop w:val="0"/>
      <w:marBottom w:val="0"/>
      <w:divBdr>
        <w:top w:val="none" w:sz="0" w:space="0" w:color="auto"/>
        <w:left w:val="none" w:sz="0" w:space="0" w:color="auto"/>
        <w:bottom w:val="none" w:sz="0" w:space="0" w:color="auto"/>
        <w:right w:val="none" w:sz="0" w:space="0" w:color="auto"/>
      </w:divBdr>
    </w:div>
    <w:div w:id="384254857">
      <w:bodyDiv w:val="1"/>
      <w:marLeft w:val="0"/>
      <w:marRight w:val="0"/>
      <w:marTop w:val="0"/>
      <w:marBottom w:val="0"/>
      <w:divBdr>
        <w:top w:val="none" w:sz="0" w:space="0" w:color="auto"/>
        <w:left w:val="none" w:sz="0" w:space="0" w:color="auto"/>
        <w:bottom w:val="none" w:sz="0" w:space="0" w:color="auto"/>
        <w:right w:val="none" w:sz="0" w:space="0" w:color="auto"/>
      </w:divBdr>
    </w:div>
    <w:div w:id="18858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vd\Application%20Data\Microsoft\Mod&#232;les\Document%20de%20trav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4" ma:contentTypeDescription="Crée un document." ma:contentTypeScope="" ma:versionID="fb7cc2fb43afd1b96e058a59ffb40e04">
  <xsd:schema xmlns:xsd="http://www.w3.org/2001/XMLSchema" xmlns:xs="http://www.w3.org/2001/XMLSchema" xmlns:p="http://schemas.microsoft.com/office/2006/metadata/properties" xmlns:ns2="c1a3df3e-33cb-4260-8132-609fc1ecef07" targetNamespace="http://schemas.microsoft.com/office/2006/metadata/properties" ma:root="true" ma:fieldsID="7498a28766e664b1c573548f1520e9e9" ns2:_="">
    <xsd:import namespace="c1a3df3e-33cb-4260-8132-609fc1ece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9DE41-550C-40C8-8A23-CD62A740BBE0}">
  <ds:schemaRefs>
    <ds:schemaRef ds:uri="http://schemas.microsoft.com/sharepoint/v3/contenttype/forms"/>
  </ds:schemaRefs>
</ds:datastoreItem>
</file>

<file path=customXml/itemProps2.xml><?xml version="1.0" encoding="utf-8"?>
<ds:datastoreItem xmlns:ds="http://schemas.openxmlformats.org/officeDocument/2006/customXml" ds:itemID="{0EB532D2-CB4D-4A9C-9557-D3BCBA6DE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de travail.dot</Template>
  <TotalTime>77</TotalTime>
  <Pages>6</Pages>
  <Words>1557</Words>
  <Characters>8103</Characters>
  <Application>Microsoft Office Word</Application>
  <DocSecurity>0</DocSecurity>
  <Lines>67</Lines>
  <Paragraphs>19</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Modèle de règlement-taxe sur les inhumations, dispersions des cendres et mises e</vt:lpstr>
      <vt:lpstr>    Extrait du registre aux délibérations du conseil communal</vt:lpstr>
    </vt:vector>
  </TitlesOfParts>
  <Company>UVCW</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Janine Collige</dc:creator>
  <cp:keywords/>
  <dc:description/>
  <cp:lastModifiedBy>KNAPEN Philippe</cp:lastModifiedBy>
  <cp:revision>10</cp:revision>
  <cp:lastPrinted>2025-01-23T18:08:00Z</cp:lastPrinted>
  <dcterms:created xsi:type="dcterms:W3CDTF">2025-05-08T09:22:00Z</dcterms:created>
  <dcterms:modified xsi:type="dcterms:W3CDTF">2025-06-11T14:36:00Z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2022-01-14T14:20:57Z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51947cac-2547-4be0-a673-3bf47caf5444</vt:lpwstr>
  </property>
  <property fmtid="{D5CDD505-2E9C-101B-9397-08002B2CF9AE}" pid="8" name="MSIP_Label_e72a09c5-6e26-4737-a926-47ef1ab198ae_ContentBits">
    <vt:lpwstr>8</vt:lpwstr>
  </property>
</Properties>
</file>