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2254D" w14:textId="77777777" w:rsidR="00DE5F4E" w:rsidRDefault="00DE5F4E">
      <w:pPr>
        <w:pStyle w:val="Corpsdetexte"/>
        <w:spacing w:before="240"/>
        <w:jc w:val="center"/>
      </w:pPr>
      <w:r>
        <w:rPr>
          <w:lang w:val="fr-FR"/>
        </w:rPr>
        <w:t>M</w:t>
      </w:r>
      <w:proofErr w:type="spellStart"/>
      <w:r>
        <w:t>odèle</w:t>
      </w:r>
      <w:proofErr w:type="spellEnd"/>
      <w:r>
        <w:t xml:space="preserve"> de règlement-taxe sur les panneaux publicitaires fixes</w:t>
      </w:r>
    </w:p>
    <w:p w14:paraId="79BDD69B" w14:textId="77777777" w:rsidR="00AC109A" w:rsidRDefault="00AC109A">
      <w:pPr>
        <w:pStyle w:val="Corpsdetexte"/>
        <w:spacing w:before="240"/>
        <w:jc w:val="center"/>
      </w:pPr>
    </w:p>
    <w:p w14:paraId="02DEFE22" w14:textId="77777777" w:rsidR="00DE5F4E" w:rsidRDefault="00DE5F4E">
      <w:pPr>
        <w:pStyle w:val="Titre1"/>
        <w:spacing w:before="240"/>
      </w:pPr>
      <w:r>
        <w:t xml:space="preserve">Extrait du registre aux délibérations du </w:t>
      </w:r>
      <w:r w:rsidR="00825F98">
        <w:t>c</w:t>
      </w:r>
      <w:r>
        <w:t>onseil communal</w:t>
      </w:r>
    </w:p>
    <w:p w14:paraId="3FC821B6" w14:textId="77777777" w:rsidR="00DE5F4E" w:rsidRDefault="00DE5F4E">
      <w:pPr>
        <w:spacing w:before="240"/>
        <w:rPr>
          <w:sz w:val="24"/>
        </w:rPr>
      </w:pPr>
      <w:r>
        <w:rPr>
          <w:sz w:val="24"/>
        </w:rPr>
        <w:t>Séance publique</w:t>
      </w:r>
      <w:r>
        <w:t xml:space="preserve"> </w:t>
      </w:r>
      <w:r w:rsidR="00AC109A">
        <w:rPr>
          <w:sz w:val="24"/>
        </w:rPr>
        <w:t xml:space="preserve">du … </w:t>
      </w:r>
    </w:p>
    <w:p w14:paraId="7BC22845" w14:textId="77777777" w:rsidR="00DE5F4E" w:rsidRDefault="00DE5F4E">
      <w:pPr>
        <w:spacing w:before="240"/>
        <w:rPr>
          <w:sz w:val="24"/>
        </w:rPr>
      </w:pPr>
      <w:r>
        <w:rPr>
          <w:sz w:val="24"/>
        </w:rPr>
        <w:t>Présents : …………..……………</w:t>
      </w:r>
    </w:p>
    <w:p w14:paraId="628FD826" w14:textId="77777777" w:rsidR="00DE5F4E" w:rsidRDefault="00DE5F4E">
      <w:pPr>
        <w:spacing w:before="240"/>
        <w:rPr>
          <w:b/>
          <w:sz w:val="24"/>
        </w:rPr>
      </w:pPr>
      <w:r>
        <w:rPr>
          <w:b/>
          <w:sz w:val="24"/>
          <w:u w:val="single"/>
        </w:rPr>
        <w:t>OBJET </w:t>
      </w:r>
      <w:r>
        <w:rPr>
          <w:b/>
          <w:sz w:val="24"/>
        </w:rPr>
        <w:t>: Taxe sur les panneaux publicitaires fixes</w:t>
      </w:r>
      <w:r w:rsidR="00AC109A">
        <w:rPr>
          <w:b/>
          <w:sz w:val="24"/>
        </w:rPr>
        <w:t xml:space="preserve"> – </w:t>
      </w:r>
      <w:r>
        <w:rPr>
          <w:b/>
          <w:sz w:val="24"/>
        </w:rPr>
        <w:t>Exercice(s)</w:t>
      </w:r>
    </w:p>
    <w:p w14:paraId="43641806" w14:textId="77777777" w:rsidR="00DE5F4E" w:rsidRDefault="00DE5F4E">
      <w:pPr>
        <w:spacing w:before="240"/>
        <w:rPr>
          <w:sz w:val="24"/>
        </w:rPr>
      </w:pPr>
      <w:r>
        <w:rPr>
          <w:sz w:val="24"/>
        </w:rPr>
        <w:t xml:space="preserve">Le </w:t>
      </w:r>
      <w:r w:rsidR="00825F98">
        <w:rPr>
          <w:sz w:val="24"/>
        </w:rPr>
        <w:t>c</w:t>
      </w:r>
      <w:r>
        <w:rPr>
          <w:sz w:val="24"/>
        </w:rPr>
        <w:t>onseil communal,</w:t>
      </w:r>
    </w:p>
    <w:p w14:paraId="71FA7F6F" w14:textId="77777777" w:rsidR="007F443B" w:rsidRDefault="007F443B" w:rsidP="007F443B">
      <w:pPr>
        <w:pStyle w:val="Corpsdetexte2"/>
        <w:spacing w:before="240" w:after="0" w:line="240" w:lineRule="exact"/>
      </w:pPr>
      <w:r w:rsidRPr="00CA6194">
        <w:t xml:space="preserve">Vu la Constitution, </w:t>
      </w:r>
      <w:r w:rsidR="00AC109A">
        <w:t xml:space="preserve">les articles 41,162 et 170 § 4 ; </w:t>
      </w:r>
    </w:p>
    <w:p w14:paraId="31F7BCB0" w14:textId="77777777" w:rsidR="004B2A1F" w:rsidRPr="004B2A1F" w:rsidRDefault="004B2A1F" w:rsidP="004B2A1F">
      <w:pPr>
        <w:spacing w:before="240" w:line="240" w:lineRule="exact"/>
        <w:jc w:val="both"/>
        <w:rPr>
          <w:sz w:val="24"/>
          <w:szCs w:val="24"/>
        </w:rPr>
      </w:pPr>
      <w:r w:rsidRPr="007F443B">
        <w:rPr>
          <w:sz w:val="24"/>
          <w:szCs w:val="24"/>
        </w:rPr>
        <w:t>Vu le décret du 14 décembre 2000 (M.B. 18.1.2001) et la loi du 24 juin 2000 (M.B. 23.9.2004, éd. 2) portant assentiment de la Charte européenne de l’autonomie locale, notamm</w:t>
      </w:r>
      <w:r>
        <w:rPr>
          <w:sz w:val="24"/>
          <w:szCs w:val="24"/>
        </w:rPr>
        <w:t xml:space="preserve">ent l’article 9.1. de la Charte ; </w:t>
      </w:r>
    </w:p>
    <w:p w14:paraId="080E6D0E" w14:textId="77777777" w:rsidR="007F443B" w:rsidRPr="00C20543" w:rsidRDefault="00AC109A" w:rsidP="007F443B">
      <w:pPr>
        <w:spacing w:before="240"/>
        <w:jc w:val="both"/>
        <w:rPr>
          <w:sz w:val="24"/>
          <w:szCs w:val="24"/>
        </w:rPr>
      </w:pPr>
      <w:r w:rsidRPr="00C20543">
        <w:rPr>
          <w:sz w:val="24"/>
          <w:szCs w:val="24"/>
        </w:rPr>
        <w:t xml:space="preserve">Vu le Code de la </w:t>
      </w:r>
      <w:r w:rsidR="005E3A7E" w:rsidRPr="00C20543">
        <w:rPr>
          <w:sz w:val="24"/>
          <w:szCs w:val="24"/>
        </w:rPr>
        <w:t>d</w:t>
      </w:r>
      <w:r w:rsidRPr="00C20543">
        <w:rPr>
          <w:sz w:val="24"/>
          <w:szCs w:val="24"/>
        </w:rPr>
        <w:t xml:space="preserve">émocratie </w:t>
      </w:r>
      <w:r w:rsidR="005E3A7E" w:rsidRPr="00C20543">
        <w:rPr>
          <w:sz w:val="24"/>
          <w:szCs w:val="24"/>
        </w:rPr>
        <w:t>l</w:t>
      </w:r>
      <w:r w:rsidRPr="00C20543">
        <w:rPr>
          <w:sz w:val="24"/>
          <w:szCs w:val="24"/>
        </w:rPr>
        <w:t xml:space="preserve">ocale et de la </w:t>
      </w:r>
      <w:r w:rsidR="005E3A7E" w:rsidRPr="00C20543">
        <w:rPr>
          <w:sz w:val="24"/>
          <w:szCs w:val="24"/>
        </w:rPr>
        <w:t>d</w:t>
      </w:r>
      <w:r w:rsidR="007F443B" w:rsidRPr="00C20543">
        <w:rPr>
          <w:sz w:val="24"/>
          <w:szCs w:val="24"/>
        </w:rPr>
        <w:t>écentralisatio</w:t>
      </w:r>
      <w:r w:rsidRPr="00C20543">
        <w:rPr>
          <w:sz w:val="24"/>
          <w:szCs w:val="24"/>
        </w:rPr>
        <w:t>n, notamment l</w:t>
      </w:r>
      <w:r w:rsidR="00FB6C23" w:rsidRPr="00C20543">
        <w:rPr>
          <w:sz w:val="24"/>
          <w:szCs w:val="24"/>
        </w:rPr>
        <w:t>es</w:t>
      </w:r>
      <w:r w:rsidR="00C14F59" w:rsidRPr="00C20543">
        <w:rPr>
          <w:sz w:val="24"/>
          <w:szCs w:val="24"/>
        </w:rPr>
        <w:t xml:space="preserve"> </w:t>
      </w:r>
      <w:r w:rsidRPr="00C20543">
        <w:rPr>
          <w:sz w:val="24"/>
          <w:szCs w:val="24"/>
        </w:rPr>
        <w:t>article</w:t>
      </w:r>
      <w:r w:rsidR="00FB6C23" w:rsidRPr="00C20543">
        <w:rPr>
          <w:sz w:val="24"/>
          <w:szCs w:val="24"/>
        </w:rPr>
        <w:t>s</w:t>
      </w:r>
      <w:r w:rsidRPr="00C20543">
        <w:rPr>
          <w:sz w:val="24"/>
          <w:szCs w:val="24"/>
        </w:rPr>
        <w:t xml:space="preserve"> L1122-30</w:t>
      </w:r>
      <w:r w:rsidR="00FB6C23" w:rsidRPr="00C20543">
        <w:rPr>
          <w:sz w:val="24"/>
          <w:szCs w:val="24"/>
        </w:rPr>
        <w:t xml:space="preserve"> et L3321-1 à 12</w:t>
      </w:r>
      <w:r w:rsidRPr="00C20543">
        <w:rPr>
          <w:sz w:val="24"/>
          <w:szCs w:val="24"/>
        </w:rPr>
        <w:t xml:space="preserve"> ; </w:t>
      </w:r>
    </w:p>
    <w:p w14:paraId="2C7A5FA5" w14:textId="77777777" w:rsidR="00DE5F4E" w:rsidRDefault="00DE5F4E">
      <w:pPr>
        <w:spacing w:before="240"/>
        <w:rPr>
          <w:sz w:val="24"/>
        </w:rPr>
      </w:pPr>
      <w:r>
        <w:rPr>
          <w:sz w:val="24"/>
        </w:rPr>
        <w:t>Vu les dispositions légales et réglementaires en vigueur en matière d'établissement et de re</w:t>
      </w:r>
      <w:r w:rsidR="00AC109A">
        <w:rPr>
          <w:sz w:val="24"/>
        </w:rPr>
        <w:t xml:space="preserve">couvrement des taxes communales ; </w:t>
      </w:r>
    </w:p>
    <w:p w14:paraId="6DB40133" w14:textId="77777777" w:rsidR="00BD799F" w:rsidRDefault="00BD799F" w:rsidP="00BD799F">
      <w:pPr>
        <w:spacing w:before="240"/>
        <w:jc w:val="both"/>
        <w:rPr>
          <w:sz w:val="24"/>
          <w:szCs w:val="24"/>
        </w:rPr>
      </w:pPr>
      <w:r w:rsidRPr="00261E06">
        <w:rPr>
          <w:sz w:val="24"/>
          <w:szCs w:val="24"/>
        </w:rPr>
        <w:t xml:space="preserve">Vu </w:t>
      </w:r>
      <w:r>
        <w:rPr>
          <w:sz w:val="24"/>
          <w:szCs w:val="24"/>
        </w:rPr>
        <w:t xml:space="preserve">les recommandations émises par la circulaire du … relative à l’élaboration des budgets des communes de la Région wallonne, pour l’année … ; </w:t>
      </w:r>
    </w:p>
    <w:p w14:paraId="2D9EED93" w14:textId="77777777" w:rsidR="005E3A7E" w:rsidRPr="00C20543" w:rsidRDefault="005E3A7E" w:rsidP="00BD799F">
      <w:pPr>
        <w:spacing w:before="240"/>
        <w:jc w:val="both"/>
        <w:rPr>
          <w:sz w:val="24"/>
          <w:szCs w:val="24"/>
        </w:rPr>
      </w:pPr>
      <w:r w:rsidRPr="00C20543">
        <w:rPr>
          <w:sz w:val="24"/>
          <w:szCs w:val="24"/>
        </w:rPr>
        <w:t xml:space="preserve">Considérant </w:t>
      </w:r>
      <w:r w:rsidRPr="00C20543">
        <w:rPr>
          <w:b/>
          <w:bCs/>
          <w:sz w:val="24"/>
          <w:szCs w:val="24"/>
        </w:rPr>
        <w:t>(</w:t>
      </w:r>
      <w:r w:rsidR="00C20543" w:rsidRPr="00C20543">
        <w:rPr>
          <w:b/>
          <w:bCs/>
          <w:sz w:val="24"/>
          <w:szCs w:val="24"/>
        </w:rPr>
        <w:t>M</w:t>
      </w:r>
      <w:r w:rsidRPr="00C20543">
        <w:rPr>
          <w:b/>
          <w:bCs/>
          <w:sz w:val="24"/>
          <w:szCs w:val="24"/>
        </w:rPr>
        <w:t>otivation des exonérations)</w:t>
      </w:r>
      <w:r w:rsidRPr="00C20543">
        <w:rPr>
          <w:sz w:val="24"/>
          <w:szCs w:val="24"/>
        </w:rPr>
        <w:t> ;</w:t>
      </w:r>
    </w:p>
    <w:p w14:paraId="450CF78B" w14:textId="77777777" w:rsidR="007A5FF7" w:rsidRPr="00C20543" w:rsidRDefault="007A5FF7" w:rsidP="007A5FF7">
      <w:pPr>
        <w:spacing w:before="240" w:line="240" w:lineRule="exact"/>
        <w:jc w:val="both"/>
        <w:rPr>
          <w:bCs/>
          <w:iCs/>
          <w:sz w:val="24"/>
          <w:szCs w:val="24"/>
        </w:rPr>
      </w:pPr>
      <w:r w:rsidRPr="00C20543">
        <w:rPr>
          <w:bCs/>
          <w:iCs/>
          <w:sz w:val="24"/>
          <w:szCs w:val="24"/>
        </w:rPr>
        <w:t>Vu la communication du dossier au directeur financi</w:t>
      </w:r>
      <w:r w:rsidR="00AC109A" w:rsidRPr="00C20543">
        <w:rPr>
          <w:bCs/>
          <w:iCs/>
          <w:sz w:val="24"/>
          <w:szCs w:val="24"/>
        </w:rPr>
        <w:t xml:space="preserve">er faite en date du … </w:t>
      </w:r>
      <w:r w:rsidRPr="00C20543">
        <w:rPr>
          <w:bCs/>
          <w:iCs/>
          <w:sz w:val="24"/>
          <w:szCs w:val="24"/>
        </w:rPr>
        <w:t>conformément à l’article L 1124-40 §1</w:t>
      </w:r>
      <w:r w:rsidR="005E3A7E" w:rsidRPr="00C20543">
        <w:rPr>
          <w:bCs/>
          <w:iCs/>
          <w:sz w:val="24"/>
          <w:szCs w:val="24"/>
          <w:vertAlign w:val="superscript"/>
        </w:rPr>
        <w:t>er</w:t>
      </w:r>
      <w:r w:rsidRPr="00C20543">
        <w:rPr>
          <w:bCs/>
          <w:iCs/>
          <w:sz w:val="24"/>
          <w:szCs w:val="24"/>
        </w:rPr>
        <w:t>,</w:t>
      </w:r>
      <w:r w:rsidR="005E3A7E" w:rsidRPr="00C20543">
        <w:rPr>
          <w:bCs/>
          <w:iCs/>
          <w:sz w:val="24"/>
          <w:szCs w:val="24"/>
        </w:rPr>
        <w:t xml:space="preserve"> </w:t>
      </w:r>
      <w:r w:rsidRPr="00C20543">
        <w:rPr>
          <w:bCs/>
          <w:iCs/>
          <w:sz w:val="24"/>
          <w:szCs w:val="24"/>
        </w:rPr>
        <w:t xml:space="preserve">3°et 4° du </w:t>
      </w:r>
      <w:r w:rsidR="00AC109A" w:rsidRPr="00C20543">
        <w:rPr>
          <w:sz w:val="24"/>
          <w:szCs w:val="24"/>
        </w:rPr>
        <w:t xml:space="preserve">Code de la </w:t>
      </w:r>
      <w:r w:rsidR="005E3A7E" w:rsidRPr="00C20543">
        <w:rPr>
          <w:sz w:val="24"/>
          <w:szCs w:val="24"/>
        </w:rPr>
        <w:t>démocratie locale et de la décentralisation</w:t>
      </w:r>
      <w:r w:rsidR="00AC109A" w:rsidRPr="00C20543">
        <w:rPr>
          <w:bCs/>
          <w:iCs/>
          <w:sz w:val="24"/>
          <w:szCs w:val="24"/>
        </w:rPr>
        <w:t xml:space="preserve">; </w:t>
      </w:r>
    </w:p>
    <w:p w14:paraId="1D8172DA" w14:textId="77777777" w:rsidR="007A5FF7" w:rsidRPr="00C20543" w:rsidRDefault="007A5FF7" w:rsidP="007A5FF7">
      <w:pPr>
        <w:spacing w:before="240" w:line="240" w:lineRule="exact"/>
        <w:jc w:val="both"/>
        <w:rPr>
          <w:bCs/>
          <w:iCs/>
          <w:sz w:val="24"/>
          <w:szCs w:val="24"/>
          <w:lang w:val="fr-BE"/>
        </w:rPr>
      </w:pPr>
      <w:r w:rsidRPr="00C20543">
        <w:rPr>
          <w:bCs/>
          <w:iCs/>
          <w:sz w:val="24"/>
          <w:szCs w:val="24"/>
        </w:rPr>
        <w:t>Vu l’a</w:t>
      </w:r>
      <w:r w:rsidR="00AC109A" w:rsidRPr="00C20543">
        <w:rPr>
          <w:bCs/>
          <w:iCs/>
          <w:sz w:val="24"/>
          <w:szCs w:val="24"/>
        </w:rPr>
        <w:t>vis favorable/défavorable rendu</w:t>
      </w:r>
      <w:r w:rsidRPr="00C20543">
        <w:rPr>
          <w:bCs/>
          <w:iCs/>
          <w:sz w:val="24"/>
          <w:szCs w:val="24"/>
        </w:rPr>
        <w:t xml:space="preserve"> par le </w:t>
      </w:r>
      <w:r w:rsidR="00825F98" w:rsidRPr="00C20543">
        <w:rPr>
          <w:bCs/>
          <w:iCs/>
          <w:sz w:val="24"/>
          <w:szCs w:val="24"/>
        </w:rPr>
        <w:t>d</w:t>
      </w:r>
      <w:r w:rsidR="00AC109A" w:rsidRPr="00C20543">
        <w:rPr>
          <w:bCs/>
          <w:iCs/>
          <w:sz w:val="24"/>
          <w:szCs w:val="24"/>
        </w:rPr>
        <w:t xml:space="preserve">irecteur financier en date du … et joint en annexe ; </w:t>
      </w:r>
    </w:p>
    <w:p w14:paraId="0A1FE97E" w14:textId="77777777" w:rsidR="007A5FF7" w:rsidRPr="00C20543" w:rsidRDefault="007A5FF7" w:rsidP="007A5FF7">
      <w:pPr>
        <w:spacing w:before="120" w:line="240" w:lineRule="exact"/>
        <w:jc w:val="both"/>
        <w:rPr>
          <w:b/>
          <w:iCs/>
          <w:sz w:val="24"/>
          <w:szCs w:val="24"/>
          <w:lang w:val="fr-BE"/>
        </w:rPr>
      </w:pPr>
      <w:r w:rsidRPr="00C20543">
        <w:rPr>
          <w:b/>
          <w:iCs/>
          <w:sz w:val="24"/>
          <w:szCs w:val="24"/>
          <w:lang w:val="fr-BE"/>
        </w:rPr>
        <w:t>OU</w:t>
      </w:r>
    </w:p>
    <w:p w14:paraId="054D4784" w14:textId="77777777" w:rsidR="007A5FF7" w:rsidRPr="00C20543" w:rsidRDefault="007A5FF7" w:rsidP="007A5FF7">
      <w:pPr>
        <w:spacing w:before="120" w:line="240" w:lineRule="exact"/>
        <w:jc w:val="both"/>
        <w:rPr>
          <w:sz w:val="24"/>
          <w:szCs w:val="24"/>
          <w:lang w:val="fr-BE"/>
        </w:rPr>
      </w:pPr>
      <w:r w:rsidRPr="00C20543">
        <w:rPr>
          <w:bCs/>
          <w:iCs/>
          <w:sz w:val="24"/>
          <w:szCs w:val="24"/>
        </w:rPr>
        <w:t xml:space="preserve">Vu que le </w:t>
      </w:r>
      <w:r w:rsidR="00825F98" w:rsidRPr="00C20543">
        <w:rPr>
          <w:bCs/>
          <w:iCs/>
          <w:sz w:val="24"/>
          <w:szCs w:val="24"/>
        </w:rPr>
        <w:t>d</w:t>
      </w:r>
      <w:r w:rsidRPr="00C20543">
        <w:rPr>
          <w:bCs/>
          <w:iCs/>
          <w:sz w:val="24"/>
          <w:szCs w:val="24"/>
        </w:rPr>
        <w:t>irecteur</w:t>
      </w:r>
      <w:r w:rsidR="00AC109A" w:rsidRPr="00C20543">
        <w:rPr>
          <w:bCs/>
          <w:iCs/>
          <w:sz w:val="24"/>
          <w:szCs w:val="24"/>
        </w:rPr>
        <w:t xml:space="preserve"> financier n’a pas rendu d’avis ; </w:t>
      </w:r>
    </w:p>
    <w:p w14:paraId="00BD4409" w14:textId="77777777" w:rsidR="00DE5F4E" w:rsidRPr="00C20543" w:rsidRDefault="00DE5F4E">
      <w:pPr>
        <w:spacing w:before="240"/>
        <w:rPr>
          <w:sz w:val="24"/>
        </w:rPr>
      </w:pPr>
      <w:r w:rsidRPr="00C20543">
        <w:rPr>
          <w:sz w:val="24"/>
        </w:rPr>
        <w:lastRenderedPageBreak/>
        <w:t xml:space="preserve">Vu que la commune doit se doter des moyens nécessaires afin d’assurer l’exercice </w:t>
      </w:r>
      <w:r w:rsidR="00AC109A" w:rsidRPr="00C20543">
        <w:rPr>
          <w:sz w:val="24"/>
        </w:rPr>
        <w:t xml:space="preserve">de sa mission de service public ; </w:t>
      </w:r>
    </w:p>
    <w:p w14:paraId="77E7BFC5" w14:textId="77777777" w:rsidR="00DE5F4E" w:rsidRPr="00C20543" w:rsidRDefault="00DE5F4E">
      <w:pPr>
        <w:spacing w:before="240"/>
        <w:rPr>
          <w:sz w:val="24"/>
        </w:rPr>
      </w:pPr>
      <w:r w:rsidRPr="00C20543">
        <w:rPr>
          <w:sz w:val="24"/>
        </w:rPr>
        <w:t xml:space="preserve">Sur proposition du </w:t>
      </w:r>
      <w:r w:rsidR="00825F98" w:rsidRPr="00C20543">
        <w:rPr>
          <w:sz w:val="24"/>
        </w:rPr>
        <w:t>c</w:t>
      </w:r>
      <w:r w:rsidRPr="00C20543">
        <w:rPr>
          <w:sz w:val="24"/>
        </w:rPr>
        <w:t>ollège communal,</w:t>
      </w:r>
    </w:p>
    <w:p w14:paraId="10B4D2BF" w14:textId="77777777" w:rsidR="00DE5F4E" w:rsidRPr="00C20543" w:rsidRDefault="00DE5F4E">
      <w:pPr>
        <w:spacing w:before="240"/>
        <w:rPr>
          <w:sz w:val="24"/>
        </w:rPr>
      </w:pPr>
      <w:r w:rsidRPr="00C20543">
        <w:rPr>
          <w:sz w:val="24"/>
        </w:rPr>
        <w:t>Après en avoir délibéré, par … voix pour, … contre, et … abstentions</w:t>
      </w:r>
      <w:r w:rsidR="00136833" w:rsidRPr="00C20543">
        <w:rPr>
          <w:sz w:val="24"/>
        </w:rPr>
        <w:t>,</w:t>
      </w:r>
    </w:p>
    <w:p w14:paraId="040590E1" w14:textId="77777777" w:rsidR="00DE5F4E" w:rsidRPr="00C20543" w:rsidRDefault="00AC109A">
      <w:pPr>
        <w:spacing w:before="240" w:after="120"/>
        <w:rPr>
          <w:b/>
          <w:sz w:val="24"/>
        </w:rPr>
      </w:pPr>
      <w:r w:rsidRPr="00C20543">
        <w:rPr>
          <w:b/>
          <w:sz w:val="24"/>
        </w:rPr>
        <w:t xml:space="preserve">Décide : </w:t>
      </w:r>
    </w:p>
    <w:p w14:paraId="6493B0A6" w14:textId="77777777" w:rsidR="00DE5F4E" w:rsidRPr="00C20543" w:rsidRDefault="00DE5F4E">
      <w:pPr>
        <w:spacing w:before="240"/>
        <w:rPr>
          <w:sz w:val="24"/>
        </w:rPr>
      </w:pPr>
      <w:r w:rsidRPr="00C20543">
        <w:rPr>
          <w:b/>
          <w:i/>
          <w:sz w:val="24"/>
        </w:rPr>
        <w:t>Article 1</w:t>
      </w:r>
      <w:r w:rsidRPr="00C20543">
        <w:rPr>
          <w:b/>
          <w:i/>
          <w:sz w:val="24"/>
          <w:vertAlign w:val="superscript"/>
        </w:rPr>
        <w:t>er</w:t>
      </w:r>
      <w:r w:rsidR="00AC109A" w:rsidRPr="00C20543">
        <w:rPr>
          <w:b/>
          <w:sz w:val="24"/>
        </w:rPr>
        <w:t xml:space="preserve"> –</w:t>
      </w:r>
      <w:r w:rsidR="00AC109A" w:rsidRPr="00C20543">
        <w:rPr>
          <w:sz w:val="24"/>
        </w:rPr>
        <w:t xml:space="preserve"> </w:t>
      </w:r>
      <w:r w:rsidRPr="00C20543">
        <w:rPr>
          <w:sz w:val="24"/>
        </w:rPr>
        <w:t>Il est établi, pour l'exercice 2</w:t>
      </w:r>
      <w:r w:rsidR="00AC109A" w:rsidRPr="00C20543">
        <w:rPr>
          <w:sz w:val="24"/>
        </w:rPr>
        <w:t xml:space="preserve">0.. </w:t>
      </w:r>
      <w:r w:rsidRPr="00C20543">
        <w:rPr>
          <w:sz w:val="24"/>
        </w:rPr>
        <w:t>(</w:t>
      </w:r>
      <w:r w:rsidR="005E3A7E" w:rsidRPr="00C20543">
        <w:rPr>
          <w:b/>
          <w:bCs/>
          <w:sz w:val="24"/>
        </w:rPr>
        <w:t>OU</w:t>
      </w:r>
      <w:r w:rsidR="00AC109A" w:rsidRPr="00C20543">
        <w:rPr>
          <w:i/>
          <w:sz w:val="24"/>
        </w:rPr>
        <w:t xml:space="preserve"> </w:t>
      </w:r>
      <w:r w:rsidR="00AC109A" w:rsidRPr="00C20543">
        <w:rPr>
          <w:iCs/>
          <w:sz w:val="24"/>
        </w:rPr>
        <w:t>pour les exercices 20.. à 20..)</w:t>
      </w:r>
      <w:r w:rsidR="00AC109A" w:rsidRPr="00C20543">
        <w:rPr>
          <w:sz w:val="24"/>
        </w:rPr>
        <w:t xml:space="preserve">, </w:t>
      </w:r>
      <w:r w:rsidRPr="00C20543">
        <w:rPr>
          <w:sz w:val="24"/>
        </w:rPr>
        <w:t>une taxe communale (</w:t>
      </w:r>
      <w:r w:rsidR="005E3A7E" w:rsidRPr="00C20543">
        <w:rPr>
          <w:b/>
          <w:bCs/>
          <w:sz w:val="24"/>
        </w:rPr>
        <w:t>OU</w:t>
      </w:r>
      <w:r w:rsidRPr="00C20543">
        <w:rPr>
          <w:sz w:val="24"/>
        </w:rPr>
        <w:t xml:space="preserve"> </w:t>
      </w:r>
      <w:r w:rsidRPr="00C20543">
        <w:rPr>
          <w:iCs/>
          <w:sz w:val="24"/>
        </w:rPr>
        <w:t>une taxe communale</w:t>
      </w:r>
      <w:r w:rsidRPr="00C20543">
        <w:rPr>
          <w:i/>
          <w:sz w:val="24"/>
        </w:rPr>
        <w:t xml:space="preserve"> </w:t>
      </w:r>
      <w:r w:rsidRPr="00C20543">
        <w:rPr>
          <w:sz w:val="24"/>
        </w:rPr>
        <w:t>annuelle) sur les panneaux publicitaires fixes existant au … .</w:t>
      </w:r>
    </w:p>
    <w:p w14:paraId="10ECB0E4" w14:textId="77777777" w:rsidR="0038638C" w:rsidRPr="00C20543" w:rsidRDefault="00DE5F4E" w:rsidP="0038638C">
      <w:pPr>
        <w:spacing w:before="240"/>
        <w:rPr>
          <w:sz w:val="24"/>
        </w:rPr>
      </w:pPr>
      <w:r w:rsidRPr="00C20543">
        <w:rPr>
          <w:sz w:val="24"/>
        </w:rPr>
        <w:t>Sont visés</w:t>
      </w:r>
      <w:r w:rsidR="0038638C" w:rsidRPr="00C20543">
        <w:rPr>
          <w:sz w:val="24"/>
        </w:rPr>
        <w:t xml:space="preserve"> </w:t>
      </w:r>
      <w:r w:rsidR="0038638C" w:rsidRPr="00C20543">
        <w:rPr>
          <w:b/>
          <w:bCs/>
          <w:sz w:val="24"/>
        </w:rPr>
        <w:t>(Exemple de libellé</w:t>
      </w:r>
      <w:r w:rsidR="0038638C" w:rsidRPr="00C20543">
        <w:rPr>
          <w:b/>
          <w:bCs/>
          <w:i/>
          <w:iCs/>
          <w:sz w:val="24"/>
        </w:rPr>
        <w:t xml:space="preserve">) </w:t>
      </w:r>
      <w:r w:rsidR="0038638C" w:rsidRPr="00C20543">
        <w:rPr>
          <w:sz w:val="24"/>
        </w:rPr>
        <w:t>:</w:t>
      </w:r>
    </w:p>
    <w:p w14:paraId="634AD379" w14:textId="77777777" w:rsidR="0038638C" w:rsidRPr="00C20543" w:rsidRDefault="0038638C" w:rsidP="0038638C">
      <w:pPr>
        <w:numPr>
          <w:ilvl w:val="0"/>
          <w:numId w:val="5"/>
        </w:numPr>
        <w:spacing w:before="240"/>
        <w:rPr>
          <w:sz w:val="24"/>
        </w:rPr>
      </w:pPr>
      <w:r w:rsidRPr="00C20543">
        <w:rPr>
          <w:sz w:val="24"/>
        </w:rPr>
        <w:t>Tout panneau en quelque matériau que ce soit destiné à recevoir de la publicité par collage, agrafage, peinture, impression ou par tout autre moyen ;</w:t>
      </w:r>
    </w:p>
    <w:p w14:paraId="489FAF16" w14:textId="77777777" w:rsidR="0038638C" w:rsidRPr="00C20543" w:rsidRDefault="0038638C" w:rsidP="0038638C">
      <w:pPr>
        <w:numPr>
          <w:ilvl w:val="0"/>
          <w:numId w:val="5"/>
        </w:numPr>
        <w:spacing w:before="240"/>
        <w:rPr>
          <w:sz w:val="24"/>
        </w:rPr>
      </w:pPr>
      <w:r w:rsidRPr="00C20543">
        <w:rPr>
          <w:sz w:val="24"/>
        </w:rPr>
        <w:t>Tout dispositif en quelque matériau que ce soit destiné à recevoir de la publicité par collage, agrafage, peinture, insertion, intercalation, impression ou par tout autre moyen ;</w:t>
      </w:r>
    </w:p>
    <w:p w14:paraId="310CA893" w14:textId="77777777" w:rsidR="0038638C" w:rsidRPr="00C20543" w:rsidRDefault="0038638C" w:rsidP="0038638C">
      <w:pPr>
        <w:numPr>
          <w:ilvl w:val="0"/>
          <w:numId w:val="5"/>
        </w:numPr>
        <w:spacing w:before="240"/>
        <w:rPr>
          <w:sz w:val="24"/>
        </w:rPr>
      </w:pPr>
      <w:r w:rsidRPr="00C20543">
        <w:rPr>
          <w:sz w:val="24"/>
        </w:rPr>
        <w:t>Tout support autre qu'un panneau publicitaire (mur, vitrine, clôture, colonne, etc. ou partie) employé dans le but de recevoir de la publicité. (Seule la superficie de l'espace utilisé pour recevoir de la publicité pouvant être prise en considération pour établir la base imposable) ;</w:t>
      </w:r>
    </w:p>
    <w:p w14:paraId="4DABD11D" w14:textId="77777777" w:rsidR="0038638C" w:rsidRPr="00C20543" w:rsidRDefault="0038638C" w:rsidP="0038638C">
      <w:pPr>
        <w:numPr>
          <w:ilvl w:val="0"/>
          <w:numId w:val="5"/>
        </w:numPr>
        <w:spacing w:before="240"/>
        <w:rPr>
          <w:sz w:val="24"/>
        </w:rPr>
      </w:pPr>
      <w:r w:rsidRPr="00C20543">
        <w:rPr>
          <w:sz w:val="24"/>
        </w:rPr>
        <w:t>Tout écran (toute technologie confondue, c’est-à-dire cristaux liquides, diodes électroluminescentes, plasma ...) diffusant des messages publicitaires ;</w:t>
      </w:r>
    </w:p>
    <w:p w14:paraId="53822AD6" w14:textId="77777777" w:rsidR="0038638C" w:rsidRPr="00C20543" w:rsidRDefault="0038638C" w:rsidP="0038638C">
      <w:pPr>
        <w:numPr>
          <w:ilvl w:val="0"/>
          <w:numId w:val="5"/>
        </w:numPr>
        <w:spacing w:before="240"/>
        <w:rPr>
          <w:sz w:val="24"/>
        </w:rPr>
      </w:pPr>
      <w:r w:rsidRPr="00C20543">
        <w:rPr>
          <w:sz w:val="24"/>
        </w:rPr>
        <w:t>Tout support mobile</w:t>
      </w:r>
      <w:r w:rsidR="005C4609" w:rsidRPr="00C20543">
        <w:rPr>
          <w:sz w:val="24"/>
        </w:rPr>
        <w:t xml:space="preserve"> visible de la voie publique</w:t>
      </w:r>
      <w:r w:rsidRPr="00C20543">
        <w:rPr>
          <w:sz w:val="24"/>
        </w:rPr>
        <w:t>, tel</w:t>
      </w:r>
      <w:r w:rsidR="005C4609" w:rsidRPr="00C20543">
        <w:rPr>
          <w:sz w:val="24"/>
        </w:rPr>
        <w:t xml:space="preserve"> que</w:t>
      </w:r>
      <w:r w:rsidRPr="00C20543">
        <w:rPr>
          <w:sz w:val="24"/>
        </w:rPr>
        <w:t xml:space="preserve"> les remorques</w:t>
      </w:r>
      <w:r w:rsidR="005C4609" w:rsidRPr="00C20543">
        <w:rPr>
          <w:sz w:val="24"/>
        </w:rPr>
        <w:t>,…</w:t>
      </w:r>
      <w:r w:rsidR="00F218C2" w:rsidRPr="00C20543">
        <w:rPr>
          <w:sz w:val="24"/>
        </w:rPr>
        <w:t xml:space="preserve"> </w:t>
      </w:r>
      <w:bookmarkStart w:id="0" w:name="_Hlk38969818"/>
      <w:r w:rsidRPr="00C20543">
        <w:rPr>
          <w:b/>
          <w:bCs/>
          <w:sz w:val="24"/>
        </w:rPr>
        <w:t>(Facultatif</w:t>
      </w:r>
      <w:r w:rsidR="005C4609" w:rsidRPr="00C20543">
        <w:rPr>
          <w:b/>
          <w:bCs/>
          <w:sz w:val="24"/>
        </w:rPr>
        <w:t xml:space="preserve"> – à compléter si besoin</w:t>
      </w:r>
      <w:r w:rsidRPr="00C20543">
        <w:rPr>
          <w:b/>
          <w:bCs/>
          <w:strike/>
          <w:sz w:val="24"/>
        </w:rPr>
        <w:t>)</w:t>
      </w:r>
    </w:p>
    <w:p w14:paraId="43B243C3" w14:textId="77777777" w:rsidR="0038638C" w:rsidRPr="00C20543" w:rsidRDefault="0038638C" w:rsidP="0038638C">
      <w:pPr>
        <w:numPr>
          <w:ilvl w:val="0"/>
          <w:numId w:val="5"/>
        </w:numPr>
        <w:spacing w:before="240"/>
        <w:rPr>
          <w:sz w:val="24"/>
        </w:rPr>
      </w:pPr>
      <w:r w:rsidRPr="00C20543">
        <w:rPr>
          <w:sz w:val="24"/>
        </w:rPr>
        <w:t>Toute affiche en métal léger ou en PVC ne nécessitant aucun support.</w:t>
      </w:r>
    </w:p>
    <w:bookmarkEnd w:id="0"/>
    <w:p w14:paraId="28DE5886" w14:textId="77777777" w:rsidR="0038638C" w:rsidRPr="00C20543" w:rsidRDefault="0038638C">
      <w:pPr>
        <w:spacing w:before="240"/>
        <w:rPr>
          <w:sz w:val="24"/>
        </w:rPr>
      </w:pPr>
    </w:p>
    <w:p w14:paraId="74F6C77F" w14:textId="77777777" w:rsidR="0038638C" w:rsidRPr="00C20543" w:rsidRDefault="0038638C">
      <w:pPr>
        <w:spacing w:before="240"/>
        <w:rPr>
          <w:sz w:val="24"/>
        </w:rPr>
      </w:pPr>
    </w:p>
    <w:p w14:paraId="3A504388" w14:textId="77777777" w:rsidR="00DE5F4E" w:rsidRPr="00C20543" w:rsidRDefault="00DE5F4E">
      <w:pPr>
        <w:spacing w:before="240"/>
        <w:rPr>
          <w:sz w:val="24"/>
        </w:rPr>
      </w:pPr>
      <w:r w:rsidRPr="00C20543">
        <w:rPr>
          <w:b/>
          <w:i/>
          <w:sz w:val="24"/>
        </w:rPr>
        <w:lastRenderedPageBreak/>
        <w:t>Article 2</w:t>
      </w:r>
      <w:r w:rsidR="00AC109A" w:rsidRPr="00C20543">
        <w:rPr>
          <w:b/>
          <w:i/>
          <w:sz w:val="24"/>
        </w:rPr>
        <w:t xml:space="preserve"> – </w:t>
      </w:r>
      <w:r w:rsidRPr="00C20543">
        <w:rPr>
          <w:sz w:val="24"/>
        </w:rPr>
        <w:t>La taxe est due par le propriétaire du support visé à l'article 1</w:t>
      </w:r>
      <w:r w:rsidRPr="00C20543">
        <w:rPr>
          <w:sz w:val="24"/>
          <w:vertAlign w:val="superscript"/>
        </w:rPr>
        <w:t>er</w:t>
      </w:r>
      <w:r w:rsidRPr="00C20543">
        <w:rPr>
          <w:sz w:val="24"/>
        </w:rPr>
        <w:t xml:space="preserve"> du présent règlement. </w:t>
      </w:r>
    </w:p>
    <w:p w14:paraId="343B7D91" w14:textId="77777777" w:rsidR="00DE5F4E" w:rsidRPr="00C20543" w:rsidRDefault="00DE5F4E">
      <w:pPr>
        <w:spacing w:before="240"/>
        <w:rPr>
          <w:sz w:val="24"/>
        </w:rPr>
      </w:pPr>
      <w:r w:rsidRPr="00C20543">
        <w:rPr>
          <w:b/>
          <w:i/>
          <w:sz w:val="24"/>
        </w:rPr>
        <w:t>Article 3</w:t>
      </w:r>
      <w:r w:rsidR="00AC109A" w:rsidRPr="00C20543">
        <w:rPr>
          <w:b/>
          <w:sz w:val="24"/>
        </w:rPr>
        <w:t xml:space="preserve"> –</w:t>
      </w:r>
      <w:r w:rsidR="00AC109A" w:rsidRPr="00C20543">
        <w:rPr>
          <w:sz w:val="24"/>
        </w:rPr>
        <w:t xml:space="preserve"> La taxe est fixée à … </w:t>
      </w:r>
      <w:r w:rsidRPr="00C20543">
        <w:rPr>
          <w:sz w:val="24"/>
        </w:rPr>
        <w:t>euros par dm</w:t>
      </w:r>
      <w:r w:rsidRPr="00C20543">
        <w:rPr>
          <w:sz w:val="24"/>
          <w:vertAlign w:val="superscript"/>
        </w:rPr>
        <w:t>2</w:t>
      </w:r>
      <w:r w:rsidRPr="00C20543">
        <w:rPr>
          <w:sz w:val="24"/>
        </w:rPr>
        <w:t xml:space="preserve"> ou fraction de dm</w:t>
      </w:r>
      <w:r w:rsidRPr="00C20543">
        <w:rPr>
          <w:sz w:val="24"/>
          <w:vertAlign w:val="superscript"/>
        </w:rPr>
        <w:t xml:space="preserve">2 </w:t>
      </w:r>
      <w:r w:rsidRPr="00C20543">
        <w:rPr>
          <w:sz w:val="24"/>
        </w:rPr>
        <w:t>de superficie du panneau et par an.</w:t>
      </w:r>
    </w:p>
    <w:p w14:paraId="694CF040" w14:textId="77777777" w:rsidR="008C2FAF" w:rsidRPr="00C20543" w:rsidRDefault="008C2FAF" w:rsidP="008C2FAF">
      <w:pPr>
        <w:spacing w:before="240"/>
        <w:rPr>
          <w:sz w:val="24"/>
        </w:rPr>
      </w:pPr>
      <w:r w:rsidRPr="00C20543">
        <w:rPr>
          <w:sz w:val="24"/>
        </w:rPr>
        <w:t>Pour les supports mobiles, le taux est fixé de la manière suivante</w:t>
      </w:r>
      <w:r w:rsidR="005E3A7E" w:rsidRPr="00C20543">
        <w:rPr>
          <w:sz w:val="24"/>
        </w:rPr>
        <w:t xml:space="preserve"> : </w:t>
      </w:r>
      <w:r w:rsidRPr="00C20543">
        <w:rPr>
          <w:b/>
          <w:bCs/>
          <w:sz w:val="24"/>
        </w:rPr>
        <w:t>(Facultatif – ne doit être mentionné que si la définition vise également les supports mobiles)</w:t>
      </w:r>
      <w:r w:rsidRPr="00C20543">
        <w:rPr>
          <w:b/>
          <w:bCs/>
          <w:i/>
          <w:iCs/>
          <w:sz w:val="24"/>
        </w:rPr>
        <w:t xml:space="preserve"> </w:t>
      </w:r>
      <w:r w:rsidRPr="00C20543">
        <w:rPr>
          <w:sz w:val="24"/>
        </w:rPr>
        <w:t xml:space="preserve"> </w:t>
      </w:r>
    </w:p>
    <w:p w14:paraId="47A9B984" w14:textId="77777777" w:rsidR="008C2FAF" w:rsidRPr="00C20543" w:rsidRDefault="005E3A7E" w:rsidP="008C2FAF">
      <w:pPr>
        <w:spacing w:before="240"/>
        <w:rPr>
          <w:sz w:val="24"/>
        </w:rPr>
      </w:pPr>
      <w:bookmarkStart w:id="1" w:name="_Hlk39393757"/>
      <w:r w:rsidRPr="00C20543">
        <w:rPr>
          <w:sz w:val="24"/>
        </w:rPr>
        <w:t>….</w:t>
      </w:r>
      <w:r w:rsidR="008C2FAF" w:rsidRPr="00C20543">
        <w:rPr>
          <w:sz w:val="24"/>
        </w:rPr>
        <w:t>euro * le nombre de jours de placement /</w:t>
      </w:r>
      <w:r w:rsidR="008C2FAF" w:rsidRPr="00C20543">
        <w:rPr>
          <w:i/>
          <w:iCs/>
          <w:sz w:val="24"/>
        </w:rPr>
        <w:t xml:space="preserve">365 </w:t>
      </w:r>
      <w:r w:rsidR="008C2FAF" w:rsidRPr="00C20543">
        <w:rPr>
          <w:sz w:val="24"/>
        </w:rPr>
        <w:t>(</w:t>
      </w:r>
      <w:r w:rsidR="008C2FAF" w:rsidRPr="00C20543">
        <w:rPr>
          <w:b/>
          <w:bCs/>
          <w:sz w:val="24"/>
        </w:rPr>
        <w:t>Exemple de libellé de taxation tenant compte de la durée de placement par jour</w:t>
      </w:r>
      <w:r w:rsidR="008C2FAF" w:rsidRPr="00C20543">
        <w:rPr>
          <w:sz w:val="24"/>
        </w:rPr>
        <w:t xml:space="preserve">) </w:t>
      </w:r>
    </w:p>
    <w:p w14:paraId="553ED6DE" w14:textId="77777777" w:rsidR="008C2FAF" w:rsidRPr="00C20543" w:rsidRDefault="008C2FAF" w:rsidP="008C2FAF">
      <w:pPr>
        <w:spacing w:before="240"/>
        <w:rPr>
          <w:b/>
          <w:bCs/>
          <w:sz w:val="24"/>
        </w:rPr>
      </w:pPr>
      <w:r w:rsidRPr="00C20543">
        <w:rPr>
          <w:b/>
          <w:bCs/>
          <w:sz w:val="24"/>
        </w:rPr>
        <w:t>OU</w:t>
      </w:r>
    </w:p>
    <w:p w14:paraId="66C5DB49" w14:textId="77777777" w:rsidR="00FE72E4" w:rsidRPr="00C20543" w:rsidRDefault="005E3A7E">
      <w:pPr>
        <w:spacing w:before="240"/>
        <w:rPr>
          <w:sz w:val="24"/>
        </w:rPr>
      </w:pPr>
      <w:r w:rsidRPr="00C20543">
        <w:rPr>
          <w:sz w:val="24"/>
        </w:rPr>
        <w:t>…</w:t>
      </w:r>
      <w:r w:rsidR="008C2FAF" w:rsidRPr="00C20543">
        <w:rPr>
          <w:sz w:val="24"/>
        </w:rPr>
        <w:t>euro *le nombre de trimestre</w:t>
      </w:r>
      <w:r w:rsidR="005C4609" w:rsidRPr="00C20543">
        <w:rPr>
          <w:sz w:val="24"/>
        </w:rPr>
        <w:t>s</w:t>
      </w:r>
      <w:r w:rsidR="008C2FAF" w:rsidRPr="00C20543">
        <w:rPr>
          <w:sz w:val="24"/>
        </w:rPr>
        <w:t xml:space="preserve"> /4</w:t>
      </w:r>
      <w:r w:rsidR="00FE72E4" w:rsidRPr="00C20543">
        <w:rPr>
          <w:sz w:val="24"/>
        </w:rPr>
        <w:t xml:space="preserve">. Tout trimestre commencé est dû en entier. </w:t>
      </w:r>
      <w:r w:rsidR="008C2FAF" w:rsidRPr="00C20543">
        <w:rPr>
          <w:sz w:val="24"/>
        </w:rPr>
        <w:t>(</w:t>
      </w:r>
      <w:r w:rsidR="008C2FAF" w:rsidRPr="00C20543">
        <w:rPr>
          <w:b/>
          <w:bCs/>
          <w:sz w:val="24"/>
        </w:rPr>
        <w:t>Exemple de libellé de taxation tenant compte de la durée de placement par trimestre</w:t>
      </w:r>
      <w:r w:rsidR="005C4609" w:rsidRPr="00C20543">
        <w:rPr>
          <w:b/>
          <w:bCs/>
          <w:sz w:val="24"/>
        </w:rPr>
        <w:t>s</w:t>
      </w:r>
      <w:r w:rsidR="00FE72E4" w:rsidRPr="00C20543">
        <w:rPr>
          <w:b/>
          <w:bCs/>
          <w:sz w:val="24"/>
        </w:rPr>
        <w:t xml:space="preserve"> – à motiver dans le préambule de la délibération</w:t>
      </w:r>
      <w:r w:rsidR="008C2FAF" w:rsidRPr="00C20543">
        <w:rPr>
          <w:sz w:val="24"/>
        </w:rPr>
        <w:t>)</w:t>
      </w:r>
      <w:bookmarkEnd w:id="1"/>
    </w:p>
    <w:p w14:paraId="4F7A7B27" w14:textId="77777777" w:rsidR="00DE5F4E" w:rsidRPr="00C20543" w:rsidRDefault="00DE5F4E">
      <w:pPr>
        <w:spacing w:before="240"/>
        <w:rPr>
          <w:sz w:val="24"/>
        </w:rPr>
      </w:pPr>
      <w:r w:rsidRPr="00C20543">
        <w:rPr>
          <w:b/>
          <w:i/>
          <w:sz w:val="24"/>
        </w:rPr>
        <w:t>Article</w:t>
      </w:r>
      <w:r w:rsidR="00AC109A" w:rsidRPr="00C20543">
        <w:rPr>
          <w:b/>
          <w:i/>
          <w:sz w:val="24"/>
        </w:rPr>
        <w:t xml:space="preserve"> 4 – </w:t>
      </w:r>
      <w:r w:rsidR="006F777B" w:rsidRPr="00C20543">
        <w:rPr>
          <w:sz w:val="24"/>
        </w:rPr>
        <w:t>Exonérations :</w:t>
      </w:r>
      <w:r w:rsidR="00AC109A" w:rsidRPr="00C20543">
        <w:rPr>
          <w:sz w:val="24"/>
        </w:rPr>
        <w:t xml:space="preserve"> la taxe n'est pas applicable pour … </w:t>
      </w:r>
      <w:r w:rsidR="00710756" w:rsidRPr="00C20543">
        <w:rPr>
          <w:sz w:val="24"/>
        </w:rPr>
        <w:t>(</w:t>
      </w:r>
      <w:r w:rsidR="00E351A6" w:rsidRPr="00C20543">
        <w:rPr>
          <w:b/>
          <w:bCs/>
          <w:iCs/>
          <w:sz w:val="24"/>
        </w:rPr>
        <w:t>F</w:t>
      </w:r>
      <w:r w:rsidR="00710756" w:rsidRPr="00C20543">
        <w:rPr>
          <w:b/>
          <w:bCs/>
          <w:iCs/>
          <w:sz w:val="24"/>
        </w:rPr>
        <w:t>acultatif</w:t>
      </w:r>
      <w:r w:rsidR="00710756" w:rsidRPr="00C20543">
        <w:rPr>
          <w:iCs/>
          <w:sz w:val="24"/>
        </w:rPr>
        <w:t xml:space="preserve"> – </w:t>
      </w:r>
      <w:r w:rsidR="00710756" w:rsidRPr="00C20543">
        <w:rPr>
          <w:b/>
          <w:bCs/>
          <w:iCs/>
          <w:sz w:val="24"/>
        </w:rPr>
        <w:t>il convient de motiver ces exonérations dans le préambule de la délibération. Cette motivation doit avoir un rapport avec l’objectif poursuivi par la taxe</w:t>
      </w:r>
      <w:r w:rsidR="00710756" w:rsidRPr="00C20543">
        <w:rPr>
          <w:iCs/>
          <w:sz w:val="24"/>
        </w:rPr>
        <w:t>).</w:t>
      </w:r>
    </w:p>
    <w:p w14:paraId="28D355C5" w14:textId="77777777" w:rsidR="006F777B" w:rsidRPr="00C20543" w:rsidRDefault="006F777B" w:rsidP="006F777B">
      <w:pPr>
        <w:spacing w:before="240"/>
        <w:jc w:val="both"/>
        <w:rPr>
          <w:sz w:val="24"/>
          <w:lang w:val="fr-BE"/>
        </w:rPr>
      </w:pPr>
      <w:bookmarkStart w:id="2" w:name="_Hlk12353653"/>
      <w:r w:rsidRPr="00C20543">
        <w:rPr>
          <w:b/>
          <w:i/>
          <w:sz w:val="24"/>
        </w:rPr>
        <w:t>Article 5</w:t>
      </w:r>
      <w:r w:rsidRPr="00C20543">
        <w:rPr>
          <w:b/>
          <w:sz w:val="24"/>
        </w:rPr>
        <w:t xml:space="preserve"> –</w:t>
      </w:r>
      <w:r w:rsidRPr="00C20543">
        <w:rPr>
          <w:sz w:val="24"/>
        </w:rPr>
        <w:t xml:space="preserve"> La taxe est perçue par voie de rôle </w:t>
      </w:r>
      <w:r w:rsidRPr="00C20543">
        <w:rPr>
          <w:sz w:val="24"/>
          <w:lang w:val="fr-BE"/>
        </w:rPr>
        <w:t xml:space="preserve">et est payable dans les deux </w:t>
      </w:r>
      <w:r w:rsidR="00675945" w:rsidRPr="00C20543">
        <w:rPr>
          <w:sz w:val="24"/>
          <w:lang w:val="fr-BE"/>
        </w:rPr>
        <w:t xml:space="preserve">mois de l’envoi </w:t>
      </w:r>
      <w:r w:rsidRPr="00C20543">
        <w:rPr>
          <w:sz w:val="24"/>
          <w:lang w:val="fr-BE"/>
        </w:rPr>
        <w:t>de l'avertissement extrait de rôle.</w:t>
      </w:r>
    </w:p>
    <w:p w14:paraId="4E8E2ECC" w14:textId="77777777" w:rsidR="00FB6C23" w:rsidRPr="00C20543" w:rsidRDefault="006F777B" w:rsidP="00FB6C23">
      <w:pPr>
        <w:spacing w:before="201" w:line="244" w:lineRule="exact"/>
        <w:jc w:val="both"/>
        <w:textAlignment w:val="baseline"/>
        <w:rPr>
          <w:sz w:val="24"/>
          <w:szCs w:val="24"/>
        </w:rPr>
      </w:pPr>
      <w:r w:rsidRPr="00C20543">
        <w:rPr>
          <w:b/>
          <w:i/>
          <w:sz w:val="24"/>
        </w:rPr>
        <w:t>Article 6</w:t>
      </w:r>
      <w:r w:rsidRPr="00C20543">
        <w:rPr>
          <w:b/>
          <w:sz w:val="24"/>
        </w:rPr>
        <w:t xml:space="preserve"> –</w:t>
      </w:r>
      <w:r w:rsidRPr="00C20543">
        <w:rPr>
          <w:sz w:val="24"/>
        </w:rPr>
        <w:t xml:space="preserve"> </w:t>
      </w:r>
      <w:r w:rsidRPr="00C20543">
        <w:rPr>
          <w:sz w:val="24"/>
          <w:szCs w:val="24"/>
        </w:rPr>
        <w:t xml:space="preserve">En cas de non-paiement de la taxe à l'échéance fixée à l'article 5, </w:t>
      </w:r>
      <w:r w:rsidR="00FB6C23" w:rsidRPr="00C20543">
        <w:rPr>
          <w:sz w:val="24"/>
          <w:szCs w:val="24"/>
        </w:rPr>
        <w:t xml:space="preserve">conformément à l’article L3321-8bis du Code de la démocratie locale et de la décentralisation, une sommation de payer sera envoyée au contribuable. </w:t>
      </w:r>
    </w:p>
    <w:p w14:paraId="3FA625D8" w14:textId="77777777" w:rsidR="007B5B41" w:rsidRDefault="00FB6C23" w:rsidP="006F777B">
      <w:pPr>
        <w:spacing w:before="240"/>
        <w:jc w:val="both"/>
        <w:rPr>
          <w:sz w:val="24"/>
          <w:szCs w:val="24"/>
        </w:rPr>
      </w:pPr>
      <w:r w:rsidRPr="00C20543">
        <w:rPr>
          <w:sz w:val="24"/>
          <w:szCs w:val="24"/>
        </w:rPr>
        <w:t>Cette sommation de payer se fera par courrier recommandé et les frais postaux de cet envoi seront à charge du</w:t>
      </w:r>
      <w:r w:rsidRPr="00FB6C23">
        <w:rPr>
          <w:sz w:val="24"/>
          <w:szCs w:val="24"/>
        </w:rPr>
        <w:t xml:space="preserve"> redevable. Ces frais seront recouvrés de la même manière que la taxe à laquelle ils se rapportent. </w:t>
      </w:r>
      <w:bookmarkStart w:id="3" w:name="_Hlk10630754"/>
    </w:p>
    <w:p w14:paraId="6406B239" w14:textId="77777777" w:rsidR="006F777B" w:rsidRPr="006F777B" w:rsidRDefault="006F777B" w:rsidP="006F777B">
      <w:pPr>
        <w:spacing w:before="240"/>
        <w:jc w:val="both"/>
        <w:rPr>
          <w:sz w:val="24"/>
        </w:rPr>
      </w:pPr>
      <w:r w:rsidRPr="00C20543">
        <w:rPr>
          <w:b/>
          <w:i/>
          <w:sz w:val="24"/>
        </w:rPr>
        <w:t>Article 7</w:t>
      </w:r>
      <w:r w:rsidRPr="00C20543">
        <w:rPr>
          <w:b/>
          <w:sz w:val="24"/>
        </w:rPr>
        <w:t xml:space="preserve"> –</w:t>
      </w:r>
      <w:r w:rsidRPr="00C20543">
        <w:rPr>
          <w:sz w:val="24"/>
        </w:rPr>
        <w:t xml:space="preserve"> </w:t>
      </w:r>
      <w:bookmarkEnd w:id="3"/>
      <w:r w:rsidRPr="00C20543">
        <w:rPr>
          <w:sz w:val="24"/>
        </w:rPr>
        <w:t>Tout contribuable est tenu de faire parvenir au plus tard le …</w:t>
      </w:r>
      <w:r w:rsidR="005E3A7E" w:rsidRPr="00C20543">
        <w:rPr>
          <w:sz w:val="24"/>
        </w:rPr>
        <w:t xml:space="preserve"> </w:t>
      </w:r>
      <w:r w:rsidR="005E3A7E" w:rsidRPr="00C20543">
        <w:rPr>
          <w:b/>
          <w:bCs/>
          <w:sz w:val="24"/>
        </w:rPr>
        <w:t>(à compléter)</w:t>
      </w:r>
      <w:r w:rsidRPr="00C20543">
        <w:rPr>
          <w:sz w:val="24"/>
        </w:rPr>
        <w:t>, à l'Administration communale, une déclaration signée contenant tous les renseignements nécessaires à la taxation.</w:t>
      </w:r>
      <w:r w:rsidR="008059AB" w:rsidRPr="00C20543">
        <w:rPr>
          <w:sz w:val="24"/>
        </w:rPr>
        <w:t xml:space="preserve"> Pour les supports mobiles, le redevable est </w:t>
      </w:r>
      <w:r w:rsidR="00E700B9" w:rsidRPr="00C20543">
        <w:rPr>
          <w:sz w:val="24"/>
        </w:rPr>
        <w:t>t</w:t>
      </w:r>
      <w:r w:rsidR="008059AB" w:rsidRPr="00C20543">
        <w:rPr>
          <w:sz w:val="24"/>
        </w:rPr>
        <w:t>enu de faire spontanément une déclaration dans les …. jours calendrier avant</w:t>
      </w:r>
      <w:r w:rsidR="00C20543" w:rsidRPr="00C20543">
        <w:rPr>
          <w:sz w:val="24"/>
        </w:rPr>
        <w:t xml:space="preserve"> </w:t>
      </w:r>
      <w:r w:rsidR="00C20543" w:rsidRPr="00C20543">
        <w:rPr>
          <w:b/>
          <w:bCs/>
          <w:sz w:val="24"/>
        </w:rPr>
        <w:t>OU</w:t>
      </w:r>
      <w:r w:rsidR="00C20543" w:rsidRPr="00C20543">
        <w:rPr>
          <w:sz w:val="24"/>
        </w:rPr>
        <w:t xml:space="preserve"> </w:t>
      </w:r>
      <w:r w:rsidR="008059AB" w:rsidRPr="00C20543">
        <w:rPr>
          <w:sz w:val="24"/>
        </w:rPr>
        <w:t>après (</w:t>
      </w:r>
      <w:r w:rsidR="008059AB" w:rsidRPr="00C20543">
        <w:rPr>
          <w:b/>
          <w:bCs/>
          <w:sz w:val="24"/>
        </w:rPr>
        <w:t>à choisir</w:t>
      </w:r>
      <w:r w:rsidR="008059AB" w:rsidRPr="00C20543">
        <w:rPr>
          <w:sz w:val="24"/>
        </w:rPr>
        <w:t>) l’installation du support mobile.</w:t>
      </w:r>
    </w:p>
    <w:p w14:paraId="6FF01DFB" w14:textId="77777777" w:rsidR="006F777B" w:rsidRPr="006F777B" w:rsidRDefault="006F777B" w:rsidP="006F777B">
      <w:pPr>
        <w:spacing w:before="240"/>
        <w:jc w:val="both"/>
        <w:rPr>
          <w:sz w:val="24"/>
          <w:lang w:val="fr-BE"/>
        </w:rPr>
      </w:pPr>
      <w:r w:rsidRPr="006F777B">
        <w:rPr>
          <w:sz w:val="24"/>
        </w:rPr>
        <w:t>La déclaration faite durant la période de validité d’un règlement antérieur au présent règlement garde toute sa validité. Il n’est donc pas nécessaire de refaire la déclaration en se basant sur les dispositions du présent règlement.</w:t>
      </w:r>
    </w:p>
    <w:p w14:paraId="69BB07E3" w14:textId="2EEA6828" w:rsidR="006F777B" w:rsidRDefault="006F777B" w:rsidP="006F777B">
      <w:pPr>
        <w:spacing w:before="240"/>
        <w:jc w:val="both"/>
        <w:rPr>
          <w:sz w:val="24"/>
        </w:rPr>
      </w:pPr>
      <w:r w:rsidRPr="00C20543">
        <w:rPr>
          <w:sz w:val="24"/>
        </w:rPr>
        <w:t xml:space="preserve">Conformément à l’article L3321-6 du Code de la </w:t>
      </w:r>
      <w:r w:rsidR="005E3A7E" w:rsidRPr="00C20543">
        <w:rPr>
          <w:sz w:val="24"/>
          <w:szCs w:val="24"/>
        </w:rPr>
        <w:t>démocratie locale et de la décentralisation</w:t>
      </w:r>
      <w:r w:rsidRPr="00C20543">
        <w:rPr>
          <w:sz w:val="24"/>
        </w:rPr>
        <w:t>, la non-déclaration dans les délais prévus, la déclaration incorrecte, incomplète ou imprécise entraîne l'enrôlement d'office de la taxe.</w:t>
      </w:r>
    </w:p>
    <w:p w14:paraId="472A8A46" w14:textId="77777777" w:rsidR="007B5B41" w:rsidRPr="00C20543" w:rsidRDefault="007B5B41" w:rsidP="007B5B41">
      <w:pPr>
        <w:spacing w:before="240"/>
        <w:ind w:left="1276" w:hanging="1276"/>
        <w:jc w:val="both"/>
        <w:rPr>
          <w:sz w:val="24"/>
          <w:szCs w:val="24"/>
        </w:rPr>
      </w:pPr>
      <w:bookmarkStart w:id="4" w:name="_Hlk113006984"/>
      <w:bookmarkStart w:id="5" w:name="_Hlk10629783"/>
      <w:r w:rsidRPr="00C20543">
        <w:rPr>
          <w:sz w:val="24"/>
          <w:szCs w:val="24"/>
          <w:lang w:val="fr"/>
        </w:rPr>
        <w:lastRenderedPageBreak/>
        <w:t xml:space="preserve">Les taxes enrôlées d'office sont majorées selon une échelle dont les graduations sont les suivantes : </w:t>
      </w:r>
    </w:p>
    <w:p w14:paraId="46076E1B" w14:textId="77777777" w:rsidR="005E3A7E" w:rsidRPr="00C20543"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 xml:space="preserve">10 pour cent pour le 1er enrôlement </w:t>
      </w:r>
      <w:r w:rsidRPr="00C20543">
        <w:rPr>
          <w:rFonts w:ascii="Times New Roman" w:hAnsi="Times New Roman"/>
          <w:b/>
          <w:bCs/>
          <w:sz w:val="24"/>
          <w:szCs w:val="24"/>
          <w:lang w:val="fr"/>
        </w:rPr>
        <w:t>(exemple de libellé)</w:t>
      </w:r>
    </w:p>
    <w:p w14:paraId="2617D102" w14:textId="77777777" w:rsidR="005E3A7E" w:rsidRPr="00C20543"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50 pour cent pour le 2</w:t>
      </w:r>
      <w:r w:rsidRPr="00C20543">
        <w:rPr>
          <w:rFonts w:ascii="Times New Roman" w:hAnsi="Times New Roman"/>
          <w:sz w:val="24"/>
          <w:szCs w:val="24"/>
          <w:vertAlign w:val="superscript"/>
          <w:lang w:val="fr"/>
        </w:rPr>
        <w:t>ème</w:t>
      </w:r>
      <w:r w:rsidRPr="00C20543">
        <w:rPr>
          <w:rFonts w:ascii="Times New Roman" w:hAnsi="Times New Roman"/>
          <w:sz w:val="24"/>
          <w:szCs w:val="24"/>
          <w:lang w:val="fr"/>
        </w:rPr>
        <w:t xml:space="preserve"> enrôlement d'office </w:t>
      </w:r>
      <w:r w:rsidRPr="00C20543">
        <w:rPr>
          <w:rFonts w:ascii="Times New Roman" w:hAnsi="Times New Roman"/>
          <w:b/>
          <w:bCs/>
          <w:sz w:val="24"/>
          <w:szCs w:val="24"/>
          <w:lang w:val="fr"/>
        </w:rPr>
        <w:t>(exemple de libellé)</w:t>
      </w:r>
    </w:p>
    <w:p w14:paraId="7ABA1356" w14:textId="77777777" w:rsidR="005E3A7E" w:rsidRPr="00C20543"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100 pour cent pour le 3</w:t>
      </w:r>
      <w:r w:rsidRPr="00C20543">
        <w:rPr>
          <w:rFonts w:ascii="Times New Roman" w:hAnsi="Times New Roman"/>
          <w:sz w:val="24"/>
          <w:szCs w:val="24"/>
          <w:vertAlign w:val="superscript"/>
          <w:lang w:val="fr"/>
        </w:rPr>
        <w:t>ème</w:t>
      </w:r>
      <w:r w:rsidRPr="00C20543">
        <w:rPr>
          <w:rFonts w:ascii="Times New Roman" w:hAnsi="Times New Roman"/>
          <w:sz w:val="24"/>
          <w:szCs w:val="24"/>
          <w:lang w:val="fr"/>
        </w:rPr>
        <w:t xml:space="preserve"> enrôlement d'office </w:t>
      </w:r>
      <w:r w:rsidRPr="00C20543">
        <w:rPr>
          <w:rFonts w:ascii="Times New Roman" w:hAnsi="Times New Roman"/>
          <w:b/>
          <w:bCs/>
          <w:sz w:val="24"/>
          <w:szCs w:val="24"/>
          <w:lang w:val="fr"/>
        </w:rPr>
        <w:t>(exemple de libellé)</w:t>
      </w:r>
    </w:p>
    <w:p w14:paraId="4F84D3BC" w14:textId="77777777" w:rsidR="007B5B41" w:rsidRPr="00EC586C"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200 pour cent à partir du 4</w:t>
      </w:r>
      <w:r w:rsidRPr="00C20543">
        <w:rPr>
          <w:rFonts w:ascii="Times New Roman" w:hAnsi="Times New Roman"/>
          <w:sz w:val="24"/>
          <w:szCs w:val="24"/>
          <w:vertAlign w:val="superscript"/>
          <w:lang w:val="fr"/>
        </w:rPr>
        <w:t>ème</w:t>
      </w:r>
      <w:r w:rsidRPr="00C20543">
        <w:rPr>
          <w:rFonts w:ascii="Times New Roman" w:hAnsi="Times New Roman"/>
          <w:sz w:val="24"/>
          <w:szCs w:val="24"/>
          <w:lang w:val="fr"/>
        </w:rPr>
        <w:t xml:space="preserve"> enrôlement d'office </w:t>
      </w:r>
      <w:r w:rsidRPr="00C20543">
        <w:rPr>
          <w:rFonts w:ascii="Times New Roman" w:hAnsi="Times New Roman"/>
          <w:b/>
          <w:bCs/>
          <w:sz w:val="24"/>
          <w:szCs w:val="24"/>
          <w:lang w:val="fr"/>
        </w:rPr>
        <w:t>(exemple de libellé)</w:t>
      </w:r>
    </w:p>
    <w:p w14:paraId="4C8FF9E2" w14:textId="77777777" w:rsidR="00EC586C" w:rsidRDefault="00EC586C" w:rsidP="00EC586C">
      <w:pPr>
        <w:spacing w:before="240"/>
        <w:jc w:val="both"/>
        <w:rPr>
          <w:color w:val="FF0000"/>
          <w:sz w:val="24"/>
        </w:rPr>
      </w:pPr>
      <w:r>
        <w:rPr>
          <w:color w:val="FF0000"/>
          <w:sz w:val="24"/>
        </w:rPr>
        <w:t>En cas de première infraction commise de bonne foi, aucune majoration ne sera due.</w:t>
      </w:r>
    </w:p>
    <w:p w14:paraId="2DE4B208" w14:textId="77777777" w:rsidR="00EC586C" w:rsidRPr="00EC586C" w:rsidRDefault="00EC586C" w:rsidP="00EC586C">
      <w:pPr>
        <w:rPr>
          <w:sz w:val="24"/>
          <w:szCs w:val="24"/>
        </w:rPr>
      </w:pPr>
    </w:p>
    <w:bookmarkEnd w:id="4"/>
    <w:p w14:paraId="35BBB920" w14:textId="77777777" w:rsidR="00710756" w:rsidRPr="00C20543" w:rsidRDefault="00710756" w:rsidP="00710756">
      <w:pPr>
        <w:keepNext/>
        <w:spacing w:before="240"/>
        <w:jc w:val="both"/>
        <w:outlineLvl w:val="1"/>
        <w:rPr>
          <w:b/>
          <w:sz w:val="24"/>
          <w:szCs w:val="24"/>
        </w:rPr>
      </w:pPr>
      <w:r w:rsidRPr="004415F0">
        <w:rPr>
          <w:b/>
          <w:sz w:val="24"/>
          <w:szCs w:val="24"/>
        </w:rPr>
        <w:t>OU</w:t>
      </w:r>
    </w:p>
    <w:p w14:paraId="7DB9D4B1" w14:textId="77777777" w:rsidR="00710756" w:rsidRPr="00C20543" w:rsidRDefault="00710756" w:rsidP="00710756">
      <w:pPr>
        <w:spacing w:before="240"/>
        <w:jc w:val="both"/>
        <w:rPr>
          <w:sz w:val="24"/>
        </w:rPr>
      </w:pPr>
      <w:r w:rsidRPr="00C20543">
        <w:rPr>
          <w:b/>
          <w:i/>
          <w:sz w:val="24"/>
        </w:rPr>
        <w:t>Article 7</w:t>
      </w:r>
      <w:r w:rsidRPr="00C20543">
        <w:rPr>
          <w:b/>
          <w:sz w:val="24"/>
        </w:rPr>
        <w:t xml:space="preserve"> –</w:t>
      </w:r>
      <w:r w:rsidRPr="00C20543">
        <w:rPr>
          <w:sz w:val="24"/>
        </w:rPr>
        <w:t xml:space="preserve"> L'Administration communale adresse au contribuable une formule de déclaration que celui-ci est tenu de renvoyer, dûment remplie et signée, avant </w:t>
      </w:r>
      <w:r w:rsidR="00825F98" w:rsidRPr="00C20543">
        <w:rPr>
          <w:sz w:val="24"/>
        </w:rPr>
        <w:t xml:space="preserve">le </w:t>
      </w:r>
      <w:r w:rsidR="00825F98" w:rsidRPr="00C20543">
        <w:rPr>
          <w:i/>
          <w:iCs/>
          <w:sz w:val="24"/>
        </w:rPr>
        <w:t xml:space="preserve">…. </w:t>
      </w:r>
      <w:r w:rsidR="00825F98" w:rsidRPr="004415F0">
        <w:rPr>
          <w:sz w:val="24"/>
        </w:rPr>
        <w:t>(</w:t>
      </w:r>
      <w:r w:rsidR="00825F98" w:rsidRPr="004415F0">
        <w:rPr>
          <w:b/>
          <w:bCs/>
          <w:sz w:val="24"/>
        </w:rPr>
        <w:t>à compléter</w:t>
      </w:r>
      <w:r w:rsidR="00825F98" w:rsidRPr="004415F0">
        <w:rPr>
          <w:sz w:val="24"/>
        </w:rPr>
        <w:t>)</w:t>
      </w:r>
      <w:r w:rsidRPr="004415F0">
        <w:rPr>
          <w:sz w:val="24"/>
        </w:rPr>
        <w:t>.</w:t>
      </w:r>
      <w:r w:rsidRPr="00C20543">
        <w:rPr>
          <w:sz w:val="24"/>
        </w:rPr>
        <w:t xml:space="preserve"> A défaut d'avoir reçu cette déclaration, le contribuable est tenu de donner à l'Administration communale tous les éléments nécessaires à la taxation, et ce, au plus tard le … </w:t>
      </w:r>
      <w:r w:rsidR="005E3A7E" w:rsidRPr="00C20543">
        <w:rPr>
          <w:b/>
          <w:bCs/>
          <w:sz w:val="24"/>
        </w:rPr>
        <w:t>(à compléter)</w:t>
      </w:r>
      <w:r w:rsidR="005E3A7E" w:rsidRPr="00C20543">
        <w:rPr>
          <w:sz w:val="24"/>
        </w:rPr>
        <w:t xml:space="preserve"> </w:t>
      </w:r>
      <w:r w:rsidRPr="00C20543">
        <w:rPr>
          <w:sz w:val="24"/>
        </w:rPr>
        <w:t xml:space="preserve">de l'exercice d'imposition. </w:t>
      </w:r>
    </w:p>
    <w:p w14:paraId="5D2182DC" w14:textId="215D52E0" w:rsidR="00710756" w:rsidRDefault="00710756" w:rsidP="00710756">
      <w:pPr>
        <w:spacing w:before="240"/>
        <w:jc w:val="both"/>
        <w:rPr>
          <w:sz w:val="24"/>
        </w:rPr>
      </w:pPr>
      <w:r w:rsidRPr="00C20543">
        <w:rPr>
          <w:sz w:val="24"/>
        </w:rPr>
        <w:t xml:space="preserve">Conformément à l’article L3321-6 du Code de la </w:t>
      </w:r>
      <w:r w:rsidR="005E3A7E" w:rsidRPr="00C20543">
        <w:rPr>
          <w:sz w:val="24"/>
          <w:szCs w:val="24"/>
        </w:rPr>
        <w:t>démocratie locale et de la décentralisation</w:t>
      </w:r>
      <w:r w:rsidRPr="00C20543">
        <w:rPr>
          <w:sz w:val="24"/>
        </w:rPr>
        <w:t>, la non-déclaration dans les délais prévus, la déclaration incorrecte, incomplète ou imprécise entraîne l'enrôlement d'office de la taxe.</w:t>
      </w:r>
    </w:p>
    <w:p w14:paraId="69A615CD" w14:textId="77777777" w:rsidR="007B5B41" w:rsidRPr="00C20543" w:rsidRDefault="007B5B41" w:rsidP="007B5B41">
      <w:pPr>
        <w:spacing w:before="240"/>
        <w:ind w:left="1276" w:hanging="1276"/>
        <w:jc w:val="both"/>
        <w:rPr>
          <w:sz w:val="24"/>
          <w:szCs w:val="24"/>
        </w:rPr>
      </w:pPr>
      <w:r w:rsidRPr="00C20543">
        <w:rPr>
          <w:sz w:val="24"/>
          <w:szCs w:val="24"/>
          <w:lang w:val="fr"/>
        </w:rPr>
        <w:t xml:space="preserve">Les taxes enrôlées d'office sont majorées selon une échelle dont les graduations sont les suivantes : </w:t>
      </w:r>
    </w:p>
    <w:p w14:paraId="239F382F" w14:textId="77777777" w:rsidR="005E3A7E" w:rsidRPr="00C20543"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 xml:space="preserve">10 pour cent pour le 1er enrôlement </w:t>
      </w:r>
      <w:r w:rsidRPr="00C20543">
        <w:rPr>
          <w:rFonts w:ascii="Times New Roman" w:hAnsi="Times New Roman"/>
          <w:b/>
          <w:bCs/>
          <w:sz w:val="24"/>
          <w:szCs w:val="24"/>
          <w:lang w:val="fr"/>
        </w:rPr>
        <w:t>(exemple de libellé)</w:t>
      </w:r>
    </w:p>
    <w:p w14:paraId="2E3B2D54" w14:textId="77777777" w:rsidR="005E3A7E" w:rsidRPr="00C20543"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50 pour cent pour le 2</w:t>
      </w:r>
      <w:r w:rsidRPr="00C20543">
        <w:rPr>
          <w:rFonts w:ascii="Times New Roman" w:hAnsi="Times New Roman"/>
          <w:sz w:val="24"/>
          <w:szCs w:val="24"/>
          <w:vertAlign w:val="superscript"/>
          <w:lang w:val="fr"/>
        </w:rPr>
        <w:t>ème</w:t>
      </w:r>
      <w:r w:rsidRPr="00C20543">
        <w:rPr>
          <w:rFonts w:ascii="Times New Roman" w:hAnsi="Times New Roman"/>
          <w:sz w:val="24"/>
          <w:szCs w:val="24"/>
          <w:lang w:val="fr"/>
        </w:rPr>
        <w:t xml:space="preserve"> enrôlement d'office </w:t>
      </w:r>
      <w:r w:rsidRPr="00C20543">
        <w:rPr>
          <w:rFonts w:ascii="Times New Roman" w:hAnsi="Times New Roman"/>
          <w:b/>
          <w:bCs/>
          <w:sz w:val="24"/>
          <w:szCs w:val="24"/>
          <w:lang w:val="fr"/>
        </w:rPr>
        <w:t>(exemple de libellé)</w:t>
      </w:r>
    </w:p>
    <w:p w14:paraId="2F46C995" w14:textId="77777777" w:rsidR="005E3A7E" w:rsidRPr="00C20543"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100 pour cent pour le 3</w:t>
      </w:r>
      <w:r w:rsidRPr="00C20543">
        <w:rPr>
          <w:rFonts w:ascii="Times New Roman" w:hAnsi="Times New Roman"/>
          <w:sz w:val="24"/>
          <w:szCs w:val="24"/>
          <w:vertAlign w:val="superscript"/>
          <w:lang w:val="fr"/>
        </w:rPr>
        <w:t>ème</w:t>
      </w:r>
      <w:r w:rsidRPr="00C20543">
        <w:rPr>
          <w:rFonts w:ascii="Times New Roman" w:hAnsi="Times New Roman"/>
          <w:sz w:val="24"/>
          <w:szCs w:val="24"/>
          <w:lang w:val="fr"/>
        </w:rPr>
        <w:t xml:space="preserve"> enrôlement d'office </w:t>
      </w:r>
      <w:r w:rsidRPr="00C20543">
        <w:rPr>
          <w:rFonts w:ascii="Times New Roman" w:hAnsi="Times New Roman"/>
          <w:b/>
          <w:bCs/>
          <w:sz w:val="24"/>
          <w:szCs w:val="24"/>
          <w:lang w:val="fr"/>
        </w:rPr>
        <w:t>(exemple de libellé)</w:t>
      </w:r>
    </w:p>
    <w:p w14:paraId="49B01958" w14:textId="77777777" w:rsidR="007B5B41" w:rsidRPr="00EC586C" w:rsidRDefault="005E3A7E" w:rsidP="005E3A7E">
      <w:pPr>
        <w:pStyle w:val="Paragraphedeliste"/>
        <w:numPr>
          <w:ilvl w:val="0"/>
          <w:numId w:val="6"/>
        </w:numPr>
        <w:rPr>
          <w:rFonts w:ascii="Times New Roman" w:eastAsia="Times New Roman" w:hAnsi="Times New Roman"/>
          <w:sz w:val="24"/>
          <w:szCs w:val="24"/>
        </w:rPr>
      </w:pPr>
      <w:r w:rsidRPr="00C20543">
        <w:rPr>
          <w:rFonts w:ascii="Times New Roman" w:hAnsi="Times New Roman"/>
          <w:sz w:val="24"/>
          <w:szCs w:val="24"/>
          <w:lang w:val="fr"/>
        </w:rPr>
        <w:t>200 pour cent à partir du 4</w:t>
      </w:r>
      <w:r w:rsidRPr="00C20543">
        <w:rPr>
          <w:rFonts w:ascii="Times New Roman" w:hAnsi="Times New Roman"/>
          <w:sz w:val="24"/>
          <w:szCs w:val="24"/>
          <w:vertAlign w:val="superscript"/>
          <w:lang w:val="fr"/>
        </w:rPr>
        <w:t>ème</w:t>
      </w:r>
      <w:r w:rsidRPr="00C20543">
        <w:rPr>
          <w:rFonts w:ascii="Times New Roman" w:hAnsi="Times New Roman"/>
          <w:sz w:val="24"/>
          <w:szCs w:val="24"/>
          <w:lang w:val="fr"/>
        </w:rPr>
        <w:t xml:space="preserve"> enrôlement d'office </w:t>
      </w:r>
      <w:r w:rsidRPr="00C20543">
        <w:rPr>
          <w:rFonts w:ascii="Times New Roman" w:hAnsi="Times New Roman"/>
          <w:b/>
          <w:bCs/>
          <w:sz w:val="24"/>
          <w:szCs w:val="24"/>
          <w:lang w:val="fr"/>
        </w:rPr>
        <w:t>(exemple de libellé)</w:t>
      </w:r>
    </w:p>
    <w:p w14:paraId="4AF04755" w14:textId="77777777" w:rsidR="00EC586C" w:rsidRDefault="00EC586C" w:rsidP="00EC586C">
      <w:pPr>
        <w:spacing w:before="240"/>
        <w:jc w:val="both"/>
        <w:rPr>
          <w:color w:val="FF0000"/>
          <w:sz w:val="24"/>
        </w:rPr>
      </w:pPr>
      <w:r>
        <w:rPr>
          <w:color w:val="FF0000"/>
          <w:sz w:val="24"/>
        </w:rPr>
        <w:t>En cas de première infraction commise de bonne foi, aucune majoration ne sera due.</w:t>
      </w:r>
    </w:p>
    <w:p w14:paraId="3F685FC9" w14:textId="77777777" w:rsidR="00EC586C" w:rsidRPr="00EC586C" w:rsidRDefault="00EC586C" w:rsidP="00EC586C">
      <w:pPr>
        <w:rPr>
          <w:sz w:val="24"/>
          <w:szCs w:val="24"/>
        </w:rPr>
      </w:pPr>
    </w:p>
    <w:p w14:paraId="03C91200" w14:textId="77777777" w:rsidR="007B5B41" w:rsidRPr="00C20543" w:rsidRDefault="007B5B41" w:rsidP="007B5B41">
      <w:pPr>
        <w:jc w:val="both"/>
        <w:rPr>
          <w:sz w:val="24"/>
          <w:szCs w:val="24"/>
        </w:rPr>
      </w:pPr>
      <w:r w:rsidRPr="00C20543">
        <w:rPr>
          <w:b/>
          <w:bCs/>
          <w:i/>
          <w:iCs/>
          <w:sz w:val="24"/>
          <w:szCs w:val="24"/>
          <w:lang w:val="fr"/>
        </w:rPr>
        <w:t>Article 8 –</w:t>
      </w:r>
      <w:r w:rsidRPr="00C20543">
        <w:rPr>
          <w:b/>
          <w:bCs/>
          <w:sz w:val="24"/>
          <w:szCs w:val="24"/>
          <w:lang w:val="fr"/>
        </w:rPr>
        <w:t xml:space="preserve"> </w:t>
      </w:r>
      <w:r w:rsidRPr="00C20543">
        <w:rPr>
          <w:sz w:val="24"/>
          <w:szCs w:val="24"/>
          <w:lang w:val="fr"/>
        </w:rPr>
        <w:t>Pour la détermination de l’échelle à appliquer, il y a 2</w:t>
      </w:r>
      <w:r w:rsidRPr="00C20543">
        <w:rPr>
          <w:sz w:val="24"/>
          <w:szCs w:val="24"/>
          <w:vertAlign w:val="superscript"/>
          <w:lang w:val="fr"/>
        </w:rPr>
        <w:t>ème</w:t>
      </w:r>
      <w:r w:rsidRPr="00C20543">
        <w:rPr>
          <w:sz w:val="24"/>
          <w:szCs w:val="24"/>
          <w:lang w:val="fr"/>
        </w:rPr>
        <w:t xml:space="preserve"> </w:t>
      </w:r>
      <w:r w:rsidRPr="00C20543">
        <w:rPr>
          <w:rFonts w:eastAsia="Calibri"/>
          <w:sz w:val="24"/>
          <w:szCs w:val="24"/>
          <w:lang w:val="fr"/>
        </w:rPr>
        <w:t xml:space="preserve">enrôlement </w:t>
      </w:r>
      <w:r w:rsidRPr="00C20543">
        <w:rPr>
          <w:sz w:val="24"/>
          <w:szCs w:val="24"/>
          <w:lang w:val="fr"/>
        </w:rPr>
        <w:t xml:space="preserve">ou </w:t>
      </w:r>
      <w:r w:rsidRPr="00C20543">
        <w:rPr>
          <w:rFonts w:eastAsia="Calibri"/>
          <w:sz w:val="24"/>
          <w:szCs w:val="24"/>
          <w:lang w:val="fr"/>
        </w:rPr>
        <w:t xml:space="preserve">enrôlement </w:t>
      </w:r>
      <w:r w:rsidRPr="00C20543">
        <w:rPr>
          <w:sz w:val="24"/>
          <w:szCs w:val="24"/>
          <w:lang w:val="fr"/>
        </w:rPr>
        <w:t xml:space="preserve">subséquent si, au moment où une nouvelle infraction est commise, il a été donné connaissance depuis plus de trente jours au contrevenant, à travers la notification prévue à l’article L3321-6 du Code de la </w:t>
      </w:r>
      <w:r w:rsidR="005E3A7E" w:rsidRPr="00C20543">
        <w:rPr>
          <w:sz w:val="24"/>
          <w:szCs w:val="24"/>
        </w:rPr>
        <w:t>démocratie locale et de la décentralisation</w:t>
      </w:r>
      <w:r w:rsidRPr="00C20543">
        <w:rPr>
          <w:sz w:val="24"/>
          <w:szCs w:val="24"/>
          <w:lang w:val="fr"/>
        </w:rPr>
        <w:t>, de l’application de la sanction concernant l’infraction antérieure.</w:t>
      </w:r>
    </w:p>
    <w:p w14:paraId="53C432FC" w14:textId="77777777" w:rsidR="006F777B" w:rsidRPr="00C20543" w:rsidRDefault="006F777B" w:rsidP="006F777B">
      <w:pPr>
        <w:widowControl w:val="0"/>
        <w:spacing w:before="240"/>
        <w:jc w:val="both"/>
        <w:rPr>
          <w:sz w:val="24"/>
          <w:szCs w:val="24"/>
          <w:lang w:eastAsia="fr-BE"/>
        </w:rPr>
      </w:pPr>
      <w:r w:rsidRPr="00C20543">
        <w:rPr>
          <w:b/>
          <w:i/>
          <w:sz w:val="24"/>
          <w:szCs w:val="24"/>
          <w:lang w:eastAsia="fr-BE"/>
        </w:rPr>
        <w:t>Article 9 –</w:t>
      </w:r>
      <w:r w:rsidR="00A37547" w:rsidRPr="00C20543">
        <w:rPr>
          <w:b/>
          <w:i/>
          <w:sz w:val="24"/>
          <w:szCs w:val="24"/>
          <w:lang w:eastAsia="fr-BE"/>
        </w:rPr>
        <w:t xml:space="preserve"> </w:t>
      </w:r>
      <w:r w:rsidRPr="00C20543">
        <w:rPr>
          <w:sz w:val="24"/>
          <w:szCs w:val="24"/>
          <w:lang w:eastAsia="fr-BE"/>
        </w:rPr>
        <w:t xml:space="preserve">Pour apprécier la récurrence de la taxation il y a lieu de remonter jusqu’au premier exercice fiscal au cours duquel la taxe a été établie, </w:t>
      </w:r>
      <w:r w:rsidRPr="00C20543">
        <w:rPr>
          <w:sz w:val="24"/>
          <w:szCs w:val="24"/>
          <w:lang w:eastAsia="fr-BE"/>
        </w:rPr>
        <w:lastRenderedPageBreak/>
        <w:t>peu importe que les taxations se soient faites sur base de différents règlements qui se sont succédé au fil du temps.</w:t>
      </w:r>
    </w:p>
    <w:p w14:paraId="28E4D519" w14:textId="77777777" w:rsidR="006F777B" w:rsidRPr="00C20543" w:rsidRDefault="006F777B" w:rsidP="006F777B">
      <w:pPr>
        <w:widowControl w:val="0"/>
        <w:spacing w:before="240"/>
        <w:jc w:val="both"/>
        <w:rPr>
          <w:sz w:val="24"/>
          <w:szCs w:val="24"/>
        </w:rPr>
      </w:pPr>
      <w:r w:rsidRPr="00C20543">
        <w:rPr>
          <w:sz w:val="24"/>
          <w:szCs w:val="24"/>
        </w:rPr>
        <w:t>Les infractions antérieures sont négligées si aucune infraction en la matière n'est sanctionnée pour les trois derniers exercices d'imposition qui précèdent celui pour lequel la nouvelle infraction doit être pénalisée.</w:t>
      </w:r>
    </w:p>
    <w:bookmarkEnd w:id="5"/>
    <w:p w14:paraId="6DCFFAF8" w14:textId="77777777" w:rsidR="006F777B" w:rsidRPr="00C20543" w:rsidRDefault="006F777B" w:rsidP="006F777B">
      <w:pPr>
        <w:spacing w:before="240"/>
        <w:jc w:val="both"/>
        <w:rPr>
          <w:sz w:val="24"/>
        </w:rPr>
      </w:pPr>
      <w:r w:rsidRPr="00C20543">
        <w:rPr>
          <w:b/>
          <w:i/>
          <w:sz w:val="24"/>
        </w:rPr>
        <w:t>Article 10</w:t>
      </w:r>
      <w:r w:rsidRPr="00C20543">
        <w:rPr>
          <w:sz w:val="24"/>
        </w:rPr>
        <w:t xml:space="preserve"> – Les clauses concernant l'établissement, le recouvrement et le contentieux sont celles des articles L3321-1 à L3321-12 du Code de la </w:t>
      </w:r>
      <w:r w:rsidR="005E3A7E" w:rsidRPr="00C20543">
        <w:rPr>
          <w:sz w:val="24"/>
          <w:szCs w:val="24"/>
        </w:rPr>
        <w:t>démocratie locale et de la décentralisation</w:t>
      </w:r>
      <w:r w:rsidR="005E3A7E" w:rsidRPr="00C20543">
        <w:rPr>
          <w:sz w:val="24"/>
        </w:rPr>
        <w:t xml:space="preserve"> </w:t>
      </w:r>
      <w:r w:rsidRPr="00C20543">
        <w:rPr>
          <w:sz w:val="24"/>
        </w:rPr>
        <w:t>et de l'arrêté royal du 12 avril 1999, déterminant la procédure devant le gouverneur ou devant le collège des bourgmestre et échevins en matière de réclamation contre une imposition provinciale ou communale.</w:t>
      </w:r>
    </w:p>
    <w:p w14:paraId="5EDBE298" w14:textId="77777777" w:rsidR="00FB6C23" w:rsidRPr="00C20543" w:rsidRDefault="00FB6C23" w:rsidP="00FB6C23">
      <w:pPr>
        <w:spacing w:before="240"/>
        <w:jc w:val="both"/>
        <w:rPr>
          <w:sz w:val="24"/>
        </w:rPr>
      </w:pPr>
      <w:r w:rsidRPr="00C20543">
        <w:rPr>
          <w:b/>
          <w:bCs/>
          <w:i/>
          <w:iCs/>
          <w:sz w:val="24"/>
        </w:rPr>
        <w:t xml:space="preserve">Article 11 - </w:t>
      </w:r>
      <w:r w:rsidRPr="00C20543">
        <w:rPr>
          <w:sz w:val="24"/>
        </w:rPr>
        <w:t>Le traitement de données à caractère personnel nécessaire à la mise en œuvre du présent règlement se fera suivant les règles suivantes :</w:t>
      </w:r>
    </w:p>
    <w:p w14:paraId="3490CDA4" w14:textId="77777777" w:rsidR="00FB6C23" w:rsidRPr="00C20543" w:rsidRDefault="00FB6C23" w:rsidP="00FB6C23">
      <w:pPr>
        <w:tabs>
          <w:tab w:val="left" w:pos="993"/>
        </w:tabs>
        <w:spacing w:before="240"/>
        <w:ind w:firstLine="708"/>
        <w:jc w:val="both"/>
        <w:rPr>
          <w:sz w:val="24"/>
        </w:rPr>
      </w:pPr>
      <w:r w:rsidRPr="00C20543">
        <w:rPr>
          <w:sz w:val="24"/>
        </w:rPr>
        <w:t>-</w:t>
      </w:r>
      <w:r w:rsidRPr="00C20543">
        <w:rPr>
          <w:sz w:val="24"/>
        </w:rPr>
        <w:tab/>
        <w:t xml:space="preserve">Responsable de traitement : la </w:t>
      </w:r>
      <w:r w:rsidR="0007558A" w:rsidRPr="00C20543">
        <w:rPr>
          <w:sz w:val="24"/>
        </w:rPr>
        <w:t>c</w:t>
      </w:r>
      <w:r w:rsidRPr="00C20543">
        <w:rPr>
          <w:sz w:val="24"/>
        </w:rPr>
        <w:t>ommune</w:t>
      </w:r>
      <w:r w:rsidR="0007558A" w:rsidRPr="00C20543">
        <w:rPr>
          <w:sz w:val="24"/>
        </w:rPr>
        <w:t>/ville</w:t>
      </w:r>
      <w:r w:rsidRPr="00C20543">
        <w:rPr>
          <w:sz w:val="24"/>
        </w:rPr>
        <w:t xml:space="preserve"> de …. ; </w:t>
      </w:r>
    </w:p>
    <w:p w14:paraId="322DE00D" w14:textId="77777777" w:rsidR="00FB6C23" w:rsidRPr="00C20543" w:rsidRDefault="00FB6C23" w:rsidP="00FB6C23">
      <w:pPr>
        <w:tabs>
          <w:tab w:val="left" w:pos="993"/>
        </w:tabs>
        <w:ind w:firstLine="708"/>
        <w:jc w:val="both"/>
        <w:rPr>
          <w:sz w:val="24"/>
        </w:rPr>
      </w:pPr>
      <w:r w:rsidRPr="00C20543">
        <w:rPr>
          <w:sz w:val="24"/>
        </w:rPr>
        <w:t>-</w:t>
      </w:r>
      <w:r w:rsidRPr="00C20543">
        <w:rPr>
          <w:sz w:val="24"/>
        </w:rPr>
        <w:tab/>
        <w:t xml:space="preserve">Finalité du traitement : établissement et recouvrement de la taxe ; </w:t>
      </w:r>
    </w:p>
    <w:p w14:paraId="24F9138A" w14:textId="77777777" w:rsidR="00FB6C23" w:rsidRPr="00C20543" w:rsidRDefault="00FB6C23" w:rsidP="00FB6C23">
      <w:pPr>
        <w:tabs>
          <w:tab w:val="left" w:pos="993"/>
        </w:tabs>
        <w:ind w:firstLine="708"/>
        <w:jc w:val="both"/>
        <w:rPr>
          <w:sz w:val="24"/>
        </w:rPr>
      </w:pPr>
      <w:r w:rsidRPr="00C20543">
        <w:rPr>
          <w:sz w:val="24"/>
        </w:rPr>
        <w:t>-</w:t>
      </w:r>
      <w:r w:rsidRPr="00C20543">
        <w:rPr>
          <w:sz w:val="24"/>
        </w:rPr>
        <w:tab/>
        <w:t xml:space="preserve">Catégorie de données : données d’identification ; </w:t>
      </w:r>
    </w:p>
    <w:p w14:paraId="026F4D2F" w14:textId="77777777" w:rsidR="006B272E" w:rsidRPr="00C20543" w:rsidRDefault="00FB6C23" w:rsidP="006B272E">
      <w:pPr>
        <w:tabs>
          <w:tab w:val="left" w:pos="993"/>
        </w:tabs>
        <w:ind w:left="993" w:hanging="285"/>
        <w:jc w:val="both"/>
        <w:rPr>
          <w:sz w:val="24"/>
        </w:rPr>
      </w:pPr>
      <w:r w:rsidRPr="00C20543">
        <w:rPr>
          <w:sz w:val="24"/>
        </w:rPr>
        <w:t>-</w:t>
      </w:r>
      <w:r w:rsidRPr="00C20543">
        <w:rPr>
          <w:sz w:val="24"/>
        </w:rPr>
        <w:tab/>
        <w:t xml:space="preserve">Durée de conservation : la </w:t>
      </w:r>
      <w:r w:rsidR="0007558A" w:rsidRPr="00C20543">
        <w:rPr>
          <w:sz w:val="24"/>
        </w:rPr>
        <w:t>c</w:t>
      </w:r>
      <w:r w:rsidRPr="00C20543">
        <w:rPr>
          <w:sz w:val="24"/>
        </w:rPr>
        <w:t>ommune</w:t>
      </w:r>
      <w:r w:rsidR="0007558A" w:rsidRPr="00C20543">
        <w:rPr>
          <w:sz w:val="24"/>
        </w:rPr>
        <w:t>/ville</w:t>
      </w:r>
      <w:r w:rsidRPr="00C20543">
        <w:rPr>
          <w:sz w:val="24"/>
        </w:rPr>
        <w:t xml:space="preserve"> s’engage à conserver les données pour un délai </w:t>
      </w:r>
      <w:r w:rsidR="00200C16" w:rsidRPr="00C20543">
        <w:rPr>
          <w:sz w:val="24"/>
        </w:rPr>
        <w:t>de .</w:t>
      </w:r>
      <w:r w:rsidRPr="00C20543">
        <w:rPr>
          <w:sz w:val="24"/>
        </w:rPr>
        <w:t xml:space="preserve">.. ans </w:t>
      </w:r>
      <w:r w:rsidR="004A330F" w:rsidRPr="00C20543">
        <w:rPr>
          <w:b/>
          <w:bCs/>
          <w:sz w:val="24"/>
        </w:rPr>
        <w:t>(à choisir entre 10 et 30 ans = fourchette légale)</w:t>
      </w:r>
      <w:r w:rsidR="004A330F" w:rsidRPr="00C20543">
        <w:rPr>
          <w:sz w:val="24"/>
        </w:rPr>
        <w:t xml:space="preserve"> </w:t>
      </w:r>
      <w:r w:rsidRPr="00C20543">
        <w:rPr>
          <w:sz w:val="24"/>
        </w:rPr>
        <w:t xml:space="preserve">et à les supprimer par la suite </w:t>
      </w:r>
      <w:r w:rsidR="006B272E" w:rsidRPr="00C20543">
        <w:rPr>
          <w:sz w:val="24"/>
        </w:rPr>
        <w:t xml:space="preserve">ou à les transférer aux archives de l’Etat </w:t>
      </w:r>
      <w:r w:rsidR="008059AB" w:rsidRPr="00C20543">
        <w:rPr>
          <w:sz w:val="24"/>
        </w:rPr>
        <w:t>selon les instructions reçues de cette administration</w:t>
      </w:r>
      <w:r w:rsidR="006B272E" w:rsidRPr="00C20543">
        <w:rPr>
          <w:sz w:val="24"/>
        </w:rPr>
        <w:t xml:space="preserve">; </w:t>
      </w:r>
    </w:p>
    <w:p w14:paraId="02F0B275" w14:textId="77777777" w:rsidR="00FB6C23" w:rsidRPr="00C20543" w:rsidRDefault="00FB6C23" w:rsidP="006B272E">
      <w:pPr>
        <w:tabs>
          <w:tab w:val="left" w:pos="993"/>
        </w:tabs>
        <w:ind w:left="993" w:hanging="285"/>
        <w:jc w:val="both"/>
        <w:rPr>
          <w:sz w:val="24"/>
        </w:rPr>
      </w:pPr>
      <w:r w:rsidRPr="00C20543">
        <w:rPr>
          <w:sz w:val="24"/>
        </w:rPr>
        <w:t>-</w:t>
      </w:r>
      <w:r w:rsidRPr="00C20543">
        <w:rPr>
          <w:sz w:val="24"/>
        </w:rPr>
        <w:tab/>
        <w:t>Méthode de collecte :</w:t>
      </w:r>
      <w:r w:rsidR="008059AB" w:rsidRPr="00C20543">
        <w:rPr>
          <w:sz w:val="24"/>
        </w:rPr>
        <w:t xml:space="preserve"> déclaration du redevable</w:t>
      </w:r>
    </w:p>
    <w:p w14:paraId="66FAF6B0" w14:textId="77777777" w:rsidR="00FB6C23" w:rsidRPr="00C20543" w:rsidRDefault="00FB6C23" w:rsidP="00C14F59">
      <w:pPr>
        <w:tabs>
          <w:tab w:val="left" w:pos="993"/>
        </w:tabs>
        <w:ind w:left="993" w:hanging="285"/>
        <w:jc w:val="both"/>
        <w:rPr>
          <w:sz w:val="24"/>
        </w:rPr>
      </w:pPr>
      <w:r w:rsidRPr="00C20543">
        <w:rPr>
          <w:sz w:val="24"/>
        </w:rPr>
        <w:t>-</w:t>
      </w:r>
      <w:r w:rsidRPr="00C20543">
        <w:rPr>
          <w:sz w:val="24"/>
        </w:rPr>
        <w:tab/>
        <w:t>Communication des données : les données ne seront communiquées qu’à des tiers autorisés par ou en vertu de la loi, notamment en application de l’article 327 du CIR92, ou à des sous-traitants de la Commune.</w:t>
      </w:r>
    </w:p>
    <w:p w14:paraId="44D6BA04" w14:textId="77777777" w:rsidR="006F777B" w:rsidRPr="00C20543" w:rsidRDefault="006F777B" w:rsidP="006F777B">
      <w:pPr>
        <w:spacing w:before="240" w:line="240" w:lineRule="exact"/>
        <w:jc w:val="both"/>
        <w:rPr>
          <w:sz w:val="24"/>
          <w:szCs w:val="24"/>
        </w:rPr>
      </w:pPr>
      <w:r w:rsidRPr="00C20543">
        <w:rPr>
          <w:b/>
          <w:i/>
          <w:sz w:val="24"/>
          <w:szCs w:val="24"/>
        </w:rPr>
        <w:t>Article 1</w:t>
      </w:r>
      <w:r w:rsidR="00FB6C23" w:rsidRPr="00C20543">
        <w:rPr>
          <w:b/>
          <w:i/>
          <w:sz w:val="24"/>
          <w:szCs w:val="24"/>
        </w:rPr>
        <w:t>2</w:t>
      </w:r>
      <w:r w:rsidRPr="00C20543">
        <w:rPr>
          <w:b/>
          <w:i/>
          <w:sz w:val="24"/>
          <w:szCs w:val="24"/>
        </w:rPr>
        <w:t xml:space="preserve"> –</w:t>
      </w:r>
      <w:r w:rsidR="00A37547" w:rsidRPr="00C20543">
        <w:rPr>
          <w:b/>
          <w:i/>
          <w:sz w:val="24"/>
          <w:szCs w:val="24"/>
        </w:rPr>
        <w:t xml:space="preserve"> </w:t>
      </w:r>
      <w:r w:rsidRPr="00C20543">
        <w:rPr>
          <w:sz w:val="24"/>
          <w:szCs w:val="24"/>
        </w:rPr>
        <w:t xml:space="preserve">Le présent règlement sera transmis au Gouvernement </w:t>
      </w:r>
      <w:r w:rsidR="00825F98" w:rsidRPr="00C20543">
        <w:rPr>
          <w:sz w:val="24"/>
          <w:szCs w:val="24"/>
        </w:rPr>
        <w:t>w</w:t>
      </w:r>
      <w:r w:rsidRPr="00C20543">
        <w:rPr>
          <w:sz w:val="24"/>
          <w:szCs w:val="24"/>
        </w:rPr>
        <w:t xml:space="preserve">allon conformément aux articles L3131-1 et suivants du Code de la </w:t>
      </w:r>
      <w:r w:rsidR="005E3A7E" w:rsidRPr="00C20543">
        <w:rPr>
          <w:sz w:val="24"/>
          <w:szCs w:val="24"/>
        </w:rPr>
        <w:t xml:space="preserve">démocratie locale et de la décentralisation </w:t>
      </w:r>
      <w:r w:rsidRPr="00C20543">
        <w:rPr>
          <w:sz w:val="24"/>
          <w:szCs w:val="24"/>
        </w:rPr>
        <w:t>pour exercice de la tutelle spéciale d’approbation.</w:t>
      </w:r>
    </w:p>
    <w:p w14:paraId="7CAAF5DB" w14:textId="77777777" w:rsidR="00DE5F4E" w:rsidRPr="00C20543" w:rsidRDefault="006F777B" w:rsidP="005E3A7E">
      <w:pPr>
        <w:spacing w:before="240" w:line="240" w:lineRule="exact"/>
        <w:jc w:val="both"/>
        <w:rPr>
          <w:sz w:val="24"/>
          <w:szCs w:val="24"/>
        </w:rPr>
      </w:pPr>
      <w:r w:rsidRPr="00C20543">
        <w:rPr>
          <w:b/>
          <w:i/>
          <w:sz w:val="24"/>
          <w:szCs w:val="24"/>
        </w:rPr>
        <w:t>Article 1</w:t>
      </w:r>
      <w:r w:rsidR="00FB6C23" w:rsidRPr="00C20543">
        <w:rPr>
          <w:b/>
          <w:i/>
          <w:sz w:val="24"/>
          <w:szCs w:val="24"/>
        </w:rPr>
        <w:t>3</w:t>
      </w:r>
      <w:r w:rsidRPr="00C20543">
        <w:rPr>
          <w:b/>
          <w:i/>
          <w:sz w:val="24"/>
          <w:szCs w:val="24"/>
        </w:rPr>
        <w:t xml:space="preserve"> – </w:t>
      </w:r>
      <w:r w:rsidRPr="00C20543">
        <w:rPr>
          <w:sz w:val="24"/>
          <w:szCs w:val="24"/>
        </w:rPr>
        <w:t xml:space="preserve">Le présent règlement entrera en vigueur après accomplissement des formalités de la publication faites conformément aux articles L1133-1 </w:t>
      </w:r>
      <w:r w:rsidR="001739ED" w:rsidRPr="00C20543">
        <w:rPr>
          <w:sz w:val="24"/>
          <w:szCs w:val="24"/>
        </w:rPr>
        <w:t>et 2</w:t>
      </w:r>
      <w:r w:rsidRPr="00C20543">
        <w:rPr>
          <w:sz w:val="24"/>
          <w:szCs w:val="24"/>
        </w:rPr>
        <w:t xml:space="preserve"> du Code de la </w:t>
      </w:r>
      <w:bookmarkEnd w:id="2"/>
      <w:r w:rsidR="005E3A7E" w:rsidRPr="00C20543">
        <w:rPr>
          <w:sz w:val="24"/>
          <w:szCs w:val="24"/>
        </w:rPr>
        <w:t>démocratie locale et de la décentralisation.</w:t>
      </w:r>
    </w:p>
    <w:p w14:paraId="45A6BA8F" w14:textId="77777777" w:rsidR="005E3A7E" w:rsidRDefault="005E3A7E" w:rsidP="005E3A7E">
      <w:pPr>
        <w:spacing w:before="240" w:line="240" w:lineRule="exact"/>
        <w:jc w:val="both"/>
      </w:pPr>
    </w:p>
    <w:tbl>
      <w:tblPr>
        <w:tblW w:w="12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54"/>
        <w:gridCol w:w="6107"/>
      </w:tblGrid>
      <w:tr w:rsidR="00DE5F4E" w14:paraId="38877FEA" w14:textId="77777777" w:rsidTr="00C14F59">
        <w:trPr>
          <w:jc w:val="center"/>
        </w:trPr>
        <w:tc>
          <w:tcPr>
            <w:tcW w:w="6654" w:type="dxa"/>
          </w:tcPr>
          <w:p w14:paraId="284FDE49" w14:textId="77777777" w:rsidR="00DE5F4E" w:rsidRDefault="00DE5F4E">
            <w:pPr>
              <w:pStyle w:val="Titre3"/>
              <w:spacing w:before="120" w:after="120"/>
              <w:jc w:val="center"/>
            </w:pPr>
            <w:r>
              <w:lastRenderedPageBreak/>
              <w:t>Recommandations de la circulaire budgétaire</w:t>
            </w:r>
          </w:p>
        </w:tc>
        <w:tc>
          <w:tcPr>
            <w:tcW w:w="6107" w:type="dxa"/>
          </w:tcPr>
          <w:p w14:paraId="1B0F644C" w14:textId="77777777" w:rsidR="00DE5F4E" w:rsidRDefault="00DE5F4E">
            <w:pPr>
              <w:pStyle w:val="Titre3"/>
              <w:spacing w:before="120" w:after="120"/>
              <w:jc w:val="center"/>
            </w:pPr>
            <w:r>
              <w:t>Recommandations du groupe de travail</w:t>
            </w:r>
          </w:p>
        </w:tc>
      </w:tr>
      <w:tr w:rsidR="00DE5F4E" w14:paraId="1078475F" w14:textId="77777777" w:rsidTr="00C14F59">
        <w:trPr>
          <w:jc w:val="center"/>
        </w:trPr>
        <w:tc>
          <w:tcPr>
            <w:tcW w:w="6654" w:type="dxa"/>
            <w:tcBorders>
              <w:bottom w:val="single" w:sz="4" w:space="0" w:color="auto"/>
            </w:tcBorders>
          </w:tcPr>
          <w:p w14:paraId="01A59A9A" w14:textId="77777777" w:rsidR="00142926" w:rsidRPr="00142926" w:rsidRDefault="00142926" w:rsidP="00142926">
            <w:pPr>
              <w:spacing w:before="120" w:after="120"/>
              <w:jc w:val="both"/>
              <w:textAlignment w:val="baseline"/>
              <w:rPr>
                <w:rFonts w:ascii="Calibri" w:hAnsi="Calibri" w:cs="Calibri Light"/>
                <w:sz w:val="24"/>
                <w:szCs w:val="24"/>
              </w:rPr>
            </w:pPr>
            <w:r w:rsidRPr="00142926">
              <w:rPr>
                <w:rFonts w:ascii="Calibri" w:hAnsi="Calibri" w:cs="Calibri Light"/>
                <w:sz w:val="24"/>
                <w:szCs w:val="24"/>
              </w:rPr>
              <w:t>Cette taxe vise communément :</w:t>
            </w:r>
          </w:p>
          <w:p w14:paraId="4928AD22" w14:textId="77777777" w:rsidR="00142926" w:rsidRPr="00142926" w:rsidRDefault="00142926" w:rsidP="00142926">
            <w:pPr>
              <w:numPr>
                <w:ilvl w:val="0"/>
                <w:numId w:val="3"/>
              </w:numPr>
              <w:tabs>
                <w:tab w:val="clear" w:pos="432"/>
                <w:tab w:val="left" w:pos="-288"/>
              </w:tabs>
              <w:spacing w:before="120" w:after="120"/>
              <w:ind w:left="0"/>
              <w:jc w:val="both"/>
              <w:textAlignment w:val="baseline"/>
              <w:rPr>
                <w:rFonts w:ascii="Calibri" w:hAnsi="Calibri" w:cs="Calibri Light"/>
                <w:sz w:val="24"/>
                <w:szCs w:val="24"/>
              </w:rPr>
            </w:pPr>
            <w:r w:rsidRPr="00142926">
              <w:rPr>
                <w:rFonts w:ascii="Calibri" w:hAnsi="Calibri" w:cs="Calibri Light"/>
                <w:sz w:val="24"/>
                <w:szCs w:val="24"/>
              </w:rPr>
              <w:t>Tout panneau en quelque matériau que ce soit destiné à recevoir de la publicité par collage, agrafage, peinture, impression ou par tout autre moyen ;</w:t>
            </w:r>
          </w:p>
          <w:p w14:paraId="3886CB1E" w14:textId="77777777" w:rsidR="00142926" w:rsidRPr="00142926" w:rsidRDefault="00142926" w:rsidP="00142926">
            <w:pPr>
              <w:numPr>
                <w:ilvl w:val="0"/>
                <w:numId w:val="3"/>
              </w:numPr>
              <w:tabs>
                <w:tab w:val="clear" w:pos="432"/>
                <w:tab w:val="left" w:pos="-288"/>
                <w:tab w:val="left" w:pos="576"/>
              </w:tabs>
              <w:spacing w:before="120" w:after="120"/>
              <w:ind w:left="576"/>
              <w:jc w:val="both"/>
              <w:textAlignment w:val="baseline"/>
              <w:rPr>
                <w:rFonts w:ascii="Calibri" w:hAnsi="Calibri" w:cs="Calibri Light"/>
                <w:sz w:val="24"/>
                <w:szCs w:val="24"/>
              </w:rPr>
            </w:pPr>
            <w:r w:rsidRPr="00142926">
              <w:rPr>
                <w:rFonts w:ascii="Calibri" w:hAnsi="Calibri" w:cs="Calibri Light"/>
                <w:sz w:val="24"/>
                <w:szCs w:val="24"/>
              </w:rPr>
              <w:t>Tout dispositif en quelque matériau que ce soit destiné à recevoir de la publicité par collage, agrafage, peinture, insertion, intercalation, impression ou par tout autre moyen ;</w:t>
            </w:r>
          </w:p>
          <w:p w14:paraId="262B1411" w14:textId="77777777" w:rsidR="00142926" w:rsidRPr="00142926" w:rsidRDefault="00142926" w:rsidP="00142926">
            <w:pPr>
              <w:numPr>
                <w:ilvl w:val="0"/>
                <w:numId w:val="3"/>
              </w:numPr>
              <w:tabs>
                <w:tab w:val="clear" w:pos="432"/>
                <w:tab w:val="left" w:pos="-288"/>
                <w:tab w:val="left" w:pos="576"/>
              </w:tabs>
              <w:spacing w:before="120" w:after="120"/>
              <w:ind w:left="576"/>
              <w:jc w:val="both"/>
              <w:textAlignment w:val="baseline"/>
              <w:rPr>
                <w:rFonts w:ascii="Calibri" w:hAnsi="Calibri" w:cs="Calibri Light"/>
                <w:sz w:val="24"/>
                <w:szCs w:val="24"/>
              </w:rPr>
            </w:pPr>
            <w:r w:rsidRPr="00142926">
              <w:rPr>
                <w:rFonts w:ascii="Calibri" w:hAnsi="Calibri" w:cs="Calibri Light"/>
                <w:sz w:val="24"/>
                <w:szCs w:val="24"/>
              </w:rPr>
              <w:t>Tout support autre qu'un panneau publicitaire (mur, vitrine, clôture, colonne, etc. ou partie) employé dans le but de recevoir de la publicité. (Seule la superficie de l'espace utilisé pour recevoir de la publicité pouvant être prise en considération pour établir la base imposable) ;</w:t>
            </w:r>
          </w:p>
          <w:p w14:paraId="5DADA5AB" w14:textId="77777777" w:rsidR="00142926" w:rsidRPr="00142926" w:rsidRDefault="00142926" w:rsidP="00142926">
            <w:pPr>
              <w:numPr>
                <w:ilvl w:val="0"/>
                <w:numId w:val="3"/>
              </w:numPr>
              <w:tabs>
                <w:tab w:val="clear" w:pos="432"/>
                <w:tab w:val="left" w:pos="-288"/>
                <w:tab w:val="left" w:pos="576"/>
              </w:tabs>
              <w:spacing w:before="120" w:after="120"/>
              <w:ind w:left="576"/>
              <w:jc w:val="both"/>
              <w:textAlignment w:val="baseline"/>
              <w:rPr>
                <w:rFonts w:ascii="Calibri" w:hAnsi="Calibri" w:cs="Calibri Light"/>
                <w:spacing w:val="-2"/>
                <w:sz w:val="24"/>
                <w:szCs w:val="24"/>
              </w:rPr>
            </w:pPr>
            <w:r w:rsidRPr="00142926">
              <w:rPr>
                <w:rFonts w:ascii="Calibri" w:hAnsi="Calibri" w:cs="Calibri Light"/>
                <w:spacing w:val="-2"/>
                <w:sz w:val="24"/>
                <w:szCs w:val="24"/>
              </w:rPr>
              <w:t>Tout écran (toute technologie confondue, c’est-à-dire cristaux liquides, diodes électroluminescentes, plasma ...) diffusant des messages publicitaires ;</w:t>
            </w:r>
          </w:p>
          <w:p w14:paraId="69B974A0" w14:textId="77777777" w:rsidR="00142926" w:rsidRPr="00142926" w:rsidRDefault="00142926" w:rsidP="00142926">
            <w:pPr>
              <w:numPr>
                <w:ilvl w:val="0"/>
                <w:numId w:val="3"/>
              </w:numPr>
              <w:tabs>
                <w:tab w:val="clear" w:pos="432"/>
                <w:tab w:val="left" w:pos="-288"/>
                <w:tab w:val="left" w:pos="576"/>
              </w:tabs>
              <w:spacing w:before="120" w:after="120"/>
              <w:ind w:left="576"/>
              <w:jc w:val="both"/>
              <w:textAlignment w:val="baseline"/>
              <w:rPr>
                <w:rFonts w:ascii="Calibri" w:hAnsi="Calibri" w:cs="Calibri Light"/>
                <w:spacing w:val="-2"/>
                <w:sz w:val="24"/>
                <w:szCs w:val="24"/>
              </w:rPr>
            </w:pPr>
            <w:r w:rsidRPr="00142926">
              <w:rPr>
                <w:rFonts w:ascii="Calibri" w:hAnsi="Calibri" w:cs="Calibri Light"/>
                <w:spacing w:val="-2"/>
                <w:sz w:val="24"/>
                <w:szCs w:val="24"/>
              </w:rPr>
              <w:t>Tout support mobile, tel les remorques. Toutefois, il est recommandé de préciser les endroits visés et la durée de l’immobilisation ;</w:t>
            </w:r>
          </w:p>
          <w:p w14:paraId="0ABC005C" w14:textId="77777777" w:rsidR="00142926" w:rsidRPr="00142926" w:rsidRDefault="00142926" w:rsidP="00142926">
            <w:pPr>
              <w:numPr>
                <w:ilvl w:val="0"/>
                <w:numId w:val="3"/>
              </w:numPr>
              <w:tabs>
                <w:tab w:val="clear" w:pos="432"/>
                <w:tab w:val="left" w:pos="-288"/>
                <w:tab w:val="left" w:pos="576"/>
              </w:tabs>
              <w:spacing w:before="120" w:after="120"/>
              <w:ind w:left="576"/>
              <w:jc w:val="both"/>
              <w:textAlignment w:val="baseline"/>
              <w:rPr>
                <w:rFonts w:ascii="Calibri" w:hAnsi="Calibri" w:cs="Calibri Light"/>
                <w:spacing w:val="-2"/>
                <w:sz w:val="24"/>
                <w:szCs w:val="24"/>
              </w:rPr>
            </w:pPr>
            <w:r w:rsidRPr="00142926">
              <w:rPr>
                <w:rFonts w:ascii="Calibri" w:hAnsi="Calibri" w:cs="Calibri Light"/>
                <w:spacing w:val="-2"/>
                <w:sz w:val="24"/>
                <w:szCs w:val="24"/>
              </w:rPr>
              <w:t>Toute affiche en métal léger ou en PVC ne nécessitant aucun support.</w:t>
            </w:r>
          </w:p>
          <w:p w14:paraId="696681EA" w14:textId="77777777" w:rsidR="00142926" w:rsidRPr="00142926" w:rsidRDefault="00142926" w:rsidP="00142926">
            <w:pPr>
              <w:spacing w:before="120" w:after="120"/>
              <w:jc w:val="both"/>
              <w:textAlignment w:val="baseline"/>
              <w:rPr>
                <w:rFonts w:ascii="Calibri" w:hAnsi="Calibri" w:cs="Calibri Light"/>
                <w:spacing w:val="-3"/>
                <w:sz w:val="24"/>
                <w:szCs w:val="24"/>
              </w:rPr>
            </w:pPr>
            <w:r w:rsidRPr="00142926">
              <w:rPr>
                <w:rFonts w:ascii="Calibri" w:hAnsi="Calibri" w:cs="Calibri Light"/>
                <w:spacing w:val="-3"/>
                <w:sz w:val="24"/>
                <w:szCs w:val="24"/>
              </w:rPr>
              <w:lastRenderedPageBreak/>
              <w:t>Taux maximum recommandé : 0,85 euro (</w:t>
            </w:r>
            <w:bookmarkStart w:id="6" w:name="_Hlk158704851"/>
            <w:r w:rsidRPr="00142926">
              <w:rPr>
                <w:rFonts w:ascii="Calibri" w:hAnsi="Calibri" w:cs="Calibri Light"/>
                <w:spacing w:val="-3"/>
                <w:sz w:val="24"/>
                <w:szCs w:val="24"/>
              </w:rPr>
              <w:t xml:space="preserve">1,05 </w:t>
            </w:r>
            <w:bookmarkEnd w:id="6"/>
            <w:r w:rsidRPr="00142926">
              <w:rPr>
                <w:rFonts w:ascii="Calibri" w:hAnsi="Calibri" w:cs="Calibri Light"/>
                <w:spacing w:val="-3"/>
                <w:sz w:val="24"/>
                <w:szCs w:val="24"/>
              </w:rPr>
              <w:t>indexé à 23,43 %) le dm</w:t>
            </w:r>
            <w:r w:rsidRPr="00142926">
              <w:rPr>
                <w:rFonts w:ascii="Calibri" w:hAnsi="Calibri" w:cs="Calibri Light"/>
                <w:spacing w:val="-3"/>
                <w:sz w:val="24"/>
                <w:szCs w:val="24"/>
                <w:vertAlign w:val="superscript"/>
              </w:rPr>
              <w:t>2</w:t>
            </w:r>
            <w:r w:rsidRPr="00142926">
              <w:rPr>
                <w:rFonts w:ascii="Calibri" w:hAnsi="Calibri" w:cs="Calibri Light"/>
                <w:spacing w:val="-3"/>
                <w:sz w:val="24"/>
                <w:szCs w:val="24"/>
              </w:rPr>
              <w:t>.</w:t>
            </w:r>
          </w:p>
          <w:p w14:paraId="1C92EC90" w14:textId="77777777" w:rsidR="00142926" w:rsidRPr="00142926" w:rsidRDefault="00142926" w:rsidP="00142926">
            <w:pPr>
              <w:spacing w:before="120" w:after="120"/>
              <w:jc w:val="both"/>
              <w:textAlignment w:val="baseline"/>
              <w:rPr>
                <w:rFonts w:ascii="Calibri" w:hAnsi="Calibri" w:cs="Calibri Light"/>
                <w:spacing w:val="-3"/>
                <w:sz w:val="24"/>
                <w:szCs w:val="24"/>
              </w:rPr>
            </w:pPr>
            <w:r w:rsidRPr="00142926">
              <w:rPr>
                <w:rFonts w:ascii="Calibri" w:hAnsi="Calibri" w:cs="Calibri Light"/>
                <w:spacing w:val="-3"/>
                <w:sz w:val="24"/>
                <w:szCs w:val="24"/>
              </w:rPr>
              <w:t>En ce qui concerne les supports mobiles, ce taux maximum recommandé devra être réduit d’un coefficient qui permet de tenir compte de la durée du placement.</w:t>
            </w:r>
          </w:p>
          <w:p w14:paraId="4B8A2222" w14:textId="77777777" w:rsidR="00142926" w:rsidRPr="00142926" w:rsidRDefault="00142926" w:rsidP="00142926">
            <w:pPr>
              <w:spacing w:before="120" w:after="120"/>
              <w:jc w:val="both"/>
              <w:textAlignment w:val="baseline"/>
              <w:rPr>
                <w:rFonts w:ascii="Calibri" w:hAnsi="Calibri" w:cs="Calibri Light"/>
                <w:spacing w:val="-3"/>
                <w:sz w:val="24"/>
                <w:szCs w:val="24"/>
              </w:rPr>
            </w:pPr>
            <w:r w:rsidRPr="00142926">
              <w:rPr>
                <w:rFonts w:ascii="Calibri" w:hAnsi="Calibri" w:cs="Calibri Light"/>
                <w:spacing w:val="-3"/>
                <w:sz w:val="24"/>
                <w:szCs w:val="24"/>
                <w:u w:val="single"/>
              </w:rPr>
              <w:t>Exemple par jour</w:t>
            </w:r>
            <w:r w:rsidRPr="00142926">
              <w:rPr>
                <w:rFonts w:ascii="Calibri" w:hAnsi="Calibri" w:cs="Calibri Light"/>
                <w:spacing w:val="-3"/>
                <w:sz w:val="24"/>
                <w:szCs w:val="24"/>
              </w:rPr>
              <w:t xml:space="preserve"> : 1,05 euro * le nombre de jours de placement /365.</w:t>
            </w:r>
          </w:p>
          <w:p w14:paraId="0D4C59AE" w14:textId="77777777" w:rsidR="00142926" w:rsidRPr="00142926" w:rsidRDefault="00142926" w:rsidP="00142926">
            <w:pPr>
              <w:spacing w:before="120" w:after="120"/>
              <w:jc w:val="both"/>
              <w:textAlignment w:val="baseline"/>
              <w:rPr>
                <w:rFonts w:ascii="Calibri" w:hAnsi="Calibri" w:cs="Calibri Light"/>
                <w:spacing w:val="-3"/>
                <w:sz w:val="24"/>
                <w:szCs w:val="24"/>
              </w:rPr>
            </w:pPr>
            <w:r w:rsidRPr="00142926">
              <w:rPr>
                <w:rFonts w:ascii="Calibri" w:hAnsi="Calibri" w:cs="Calibri Light"/>
                <w:spacing w:val="-3"/>
                <w:sz w:val="24"/>
                <w:szCs w:val="24"/>
                <w:u w:val="single"/>
              </w:rPr>
              <w:t>Exemple par trimestre</w:t>
            </w:r>
            <w:r w:rsidRPr="00142926">
              <w:rPr>
                <w:rFonts w:ascii="Calibri" w:hAnsi="Calibri" w:cs="Calibri Light"/>
                <w:spacing w:val="-3"/>
                <w:sz w:val="24"/>
                <w:szCs w:val="24"/>
              </w:rPr>
              <w:t xml:space="preserve"> : 1,05euro * le nombre de trimestre /4. </w:t>
            </w:r>
          </w:p>
          <w:p w14:paraId="45192E32" w14:textId="77777777" w:rsidR="00142926" w:rsidRPr="00142926" w:rsidRDefault="00142926" w:rsidP="00142926">
            <w:pPr>
              <w:spacing w:before="120" w:after="120"/>
              <w:jc w:val="both"/>
              <w:textAlignment w:val="baseline"/>
              <w:rPr>
                <w:rFonts w:ascii="Calibri" w:hAnsi="Calibri" w:cs="Calibri Light"/>
                <w:sz w:val="24"/>
                <w:szCs w:val="24"/>
              </w:rPr>
            </w:pPr>
            <w:r w:rsidRPr="00142926">
              <w:rPr>
                <w:rFonts w:ascii="Calibri" w:hAnsi="Calibri" w:cs="Calibri Light"/>
                <w:sz w:val="24"/>
                <w:szCs w:val="24"/>
              </w:rPr>
              <w:t xml:space="preserve">Ce taux pourra être majoré jusqu'au double lorsque le panneau est équipé d'un système de défilement électronique ou mécanique des messages publicitaires OU lorsque le panneau est lumineux ou éclairé. </w:t>
            </w:r>
          </w:p>
          <w:p w14:paraId="720E00AA" w14:textId="77777777" w:rsidR="00142926" w:rsidRPr="00142926" w:rsidRDefault="00142926" w:rsidP="00142926">
            <w:pPr>
              <w:spacing w:before="120" w:after="120"/>
              <w:jc w:val="both"/>
              <w:textAlignment w:val="baseline"/>
              <w:rPr>
                <w:rFonts w:ascii="Calibri" w:hAnsi="Calibri" w:cs="Calibri Light"/>
                <w:sz w:val="24"/>
                <w:szCs w:val="24"/>
              </w:rPr>
            </w:pPr>
            <w:r w:rsidRPr="00142926">
              <w:rPr>
                <w:rFonts w:ascii="Calibri" w:hAnsi="Calibri" w:cs="Calibri Light"/>
                <w:sz w:val="24"/>
                <w:szCs w:val="24"/>
              </w:rPr>
              <w:t>Ce taux pourra être majoré jusqu'au triple lorsque le panneau est équipé d'un système de défilement électronique ou mécanique des messages publicitaires ET lorsque le panneau est lumineux ou éclairé.</w:t>
            </w:r>
          </w:p>
          <w:p w14:paraId="57650C6C" w14:textId="2B20C8EC" w:rsidR="00DE5F4E" w:rsidRPr="00142926" w:rsidRDefault="00142926" w:rsidP="00142926">
            <w:pPr>
              <w:spacing w:before="120" w:after="120"/>
              <w:jc w:val="both"/>
              <w:rPr>
                <w:rFonts w:ascii="Calibri" w:hAnsi="Calibri" w:cs="Calibri Light"/>
                <w:sz w:val="24"/>
                <w:szCs w:val="24"/>
                <w:lang w:val="fr-BE"/>
              </w:rPr>
            </w:pPr>
            <w:r w:rsidRPr="00142926">
              <w:rPr>
                <w:rFonts w:ascii="Calibri" w:hAnsi="Calibri" w:cs="Calibri Light"/>
                <w:sz w:val="24"/>
                <w:szCs w:val="24"/>
                <w:lang w:val="fr-BE"/>
              </w:rPr>
              <w:t>Pour les communes appliquant le doublement et le triplement du taux, j’attire particulièrement votre attention sur l’impact que peut avoir une hausse trop importante du taux sur l’activité des firmes publicitaires, lesquelles connaissent aujourd’hui diverses formes de concurrence. C’est pourquoi je préconise des taux progressifs en fonction de la surface des panneaux et du nombre de possibilités de défilement.</w:t>
            </w:r>
          </w:p>
        </w:tc>
        <w:tc>
          <w:tcPr>
            <w:tcW w:w="6107" w:type="dxa"/>
          </w:tcPr>
          <w:p w14:paraId="5A9A62F9" w14:textId="77777777" w:rsidR="00DE5F4E" w:rsidRDefault="00DE5F4E" w:rsidP="000622D6">
            <w:pPr>
              <w:pStyle w:val="Titre3"/>
              <w:spacing w:before="240" w:after="120"/>
              <w:jc w:val="both"/>
              <w:rPr>
                <w:b w:val="0"/>
                <w:i w:val="0"/>
              </w:rPr>
            </w:pPr>
            <w:r>
              <w:lastRenderedPageBreak/>
              <w:t>Article 3</w:t>
            </w:r>
            <w:r w:rsidR="000622D6">
              <w:t> </w:t>
            </w:r>
            <w:r w:rsidR="000622D6">
              <w:rPr>
                <w:b w:val="0"/>
                <w:i w:val="0"/>
              </w:rPr>
              <w:t xml:space="preserve">: </w:t>
            </w:r>
            <w:r>
              <w:rPr>
                <w:b w:val="0"/>
                <w:i w:val="0"/>
              </w:rPr>
              <w:t>il peut être utile de préciser dans le règlement le mode de calcul de la superficie.</w:t>
            </w:r>
          </w:p>
          <w:p w14:paraId="6FD3DF31" w14:textId="77777777" w:rsidR="00DE5F4E" w:rsidRDefault="00DE5F4E" w:rsidP="000622D6">
            <w:pPr>
              <w:pStyle w:val="Titre3"/>
              <w:spacing w:before="120" w:after="120"/>
              <w:jc w:val="both"/>
            </w:pPr>
            <w:r>
              <w:t xml:space="preserve">Article </w:t>
            </w:r>
            <w:r w:rsidR="007B5B41">
              <w:t>7</w:t>
            </w:r>
            <w:r>
              <w:rPr>
                <w:b w:val="0"/>
                <w:i w:val="0"/>
              </w:rPr>
              <w:t xml:space="preserve"> (déclaration) : il peut s’avérer souhaitable d’établir une check-list des informations qui doivent figurer sur la déclaration</w:t>
            </w:r>
            <w:r>
              <w:t>.</w:t>
            </w:r>
          </w:p>
          <w:p w14:paraId="2E265ADB" w14:textId="77777777" w:rsidR="007B5B41" w:rsidRPr="007B5B41" w:rsidRDefault="007B5B41" w:rsidP="007B5B41">
            <w:pPr>
              <w:rPr>
                <w:sz w:val="24"/>
                <w:szCs w:val="24"/>
              </w:rPr>
            </w:pPr>
            <w:r w:rsidRPr="007B5B41">
              <w:rPr>
                <w:sz w:val="24"/>
                <w:szCs w:val="24"/>
              </w:rPr>
              <w:t xml:space="preserve">Il convient </w:t>
            </w:r>
            <w:r w:rsidRPr="004415F0">
              <w:rPr>
                <w:b/>
                <w:bCs/>
                <w:sz w:val="24"/>
                <w:szCs w:val="24"/>
              </w:rPr>
              <w:t>impérativement</w:t>
            </w:r>
            <w:r w:rsidRPr="004415F0">
              <w:rPr>
                <w:sz w:val="24"/>
                <w:szCs w:val="24"/>
              </w:rPr>
              <w:t xml:space="preserve"> </w:t>
            </w:r>
            <w:r w:rsidRPr="007B5B41">
              <w:rPr>
                <w:sz w:val="24"/>
                <w:szCs w:val="24"/>
              </w:rPr>
              <w:t>de déterminer le délai endéans lequel la déclaration doit être retournée par le contribuable (exemple : dans les 30 jours de l’envoi de celle-ci). En effet, le Conseil d’Etat (arrêt n°250.321 du 13 avril 2021) a annulé un règlement-taxe au motif qu’en ne précisant pas le délai dans lequel la déclaration doit être retournée à l’administration communale, celui-ci viole l’article L 3321-6 du Code de la démocratie locale et de la décentralisation. Compte tenu du fait que le dispositif afférent au renvoi de la déclaration porte sur les modalités de perception de la taxe,  cette partie est donc indissociable du reste du règlement-taxe dont objet, dans ce cadre le Conseil d’Etat considère que cette absence d’échéance/date précise rend le rend inapplicable ».</w:t>
            </w:r>
          </w:p>
        </w:tc>
      </w:tr>
    </w:tbl>
    <w:p w14:paraId="7156C9BF" w14:textId="77777777" w:rsidR="00DE5F4E" w:rsidRDefault="00DE5F4E">
      <w:pPr>
        <w:rPr>
          <w:sz w:val="24"/>
        </w:rPr>
      </w:pPr>
    </w:p>
    <w:p w14:paraId="2986941B" w14:textId="77777777" w:rsidR="00DE5F4E" w:rsidRDefault="00DE5F4E">
      <w:pPr>
        <w:rPr>
          <w:sz w:val="24"/>
        </w:rPr>
      </w:pPr>
    </w:p>
    <w:p w14:paraId="2AECA30E" w14:textId="77777777" w:rsidR="00DE5F4E" w:rsidRDefault="00DE5F4E">
      <w:pPr>
        <w:rPr>
          <w:sz w:val="24"/>
        </w:rPr>
      </w:pPr>
    </w:p>
    <w:p w14:paraId="5338225B" w14:textId="77777777" w:rsidR="00DE5F4E" w:rsidRDefault="00DE5F4E">
      <w:pPr>
        <w:rPr>
          <w:sz w:val="24"/>
        </w:rPr>
      </w:pPr>
    </w:p>
    <w:p w14:paraId="2B8AE7D5" w14:textId="77777777" w:rsidR="00DE5F4E" w:rsidRDefault="00DE5F4E">
      <w:pPr>
        <w:rPr>
          <w:sz w:val="24"/>
        </w:rPr>
      </w:pPr>
    </w:p>
    <w:sectPr w:rsidR="00DE5F4E" w:rsidSect="00C14F59">
      <w:headerReference w:type="default" r:id="rId10"/>
      <w:footerReference w:type="even" r:id="rId11"/>
      <w:footerReference w:type="default" r:id="rId12"/>
      <w:pgSz w:w="16838" w:h="11906" w:orient="landscape"/>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F677C" w14:textId="77777777" w:rsidR="006D009D" w:rsidRDefault="006D009D" w:rsidP="00DE5F4E">
      <w:r>
        <w:separator/>
      </w:r>
    </w:p>
  </w:endnote>
  <w:endnote w:type="continuationSeparator" w:id="0">
    <w:p w14:paraId="0AF34097" w14:textId="77777777" w:rsidR="006D009D" w:rsidRDefault="006D009D" w:rsidP="00DE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FD8C" w14:textId="77777777" w:rsidR="00AC109A" w:rsidRDefault="00AC109A">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232A486" w14:textId="77777777" w:rsidR="00AC109A" w:rsidRDefault="00AC109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AA28" w14:textId="77777777" w:rsidR="00AC109A" w:rsidRPr="00AC109A" w:rsidRDefault="00AC109A">
    <w:pPr>
      <w:pStyle w:val="Pieddepage"/>
      <w:framePr w:wrap="around" w:vAnchor="text" w:hAnchor="margin" w:xAlign="center" w:y="1"/>
      <w:rPr>
        <w:rStyle w:val="Numrodepage"/>
        <w:sz w:val="16"/>
      </w:rPr>
    </w:pPr>
    <w:r w:rsidRPr="00AC109A">
      <w:rPr>
        <w:rStyle w:val="Numrodepage"/>
        <w:sz w:val="16"/>
      </w:rPr>
      <w:fldChar w:fldCharType="begin"/>
    </w:r>
    <w:r w:rsidRPr="00AC109A">
      <w:rPr>
        <w:rStyle w:val="Numrodepage"/>
        <w:sz w:val="16"/>
      </w:rPr>
      <w:instrText xml:space="preserve">PAGE  </w:instrText>
    </w:r>
    <w:r w:rsidRPr="00AC109A">
      <w:rPr>
        <w:rStyle w:val="Numrodepage"/>
        <w:sz w:val="16"/>
      </w:rPr>
      <w:fldChar w:fldCharType="separate"/>
    </w:r>
    <w:r w:rsidR="00290DF3">
      <w:rPr>
        <w:rStyle w:val="Numrodepage"/>
        <w:noProof/>
        <w:sz w:val="16"/>
      </w:rPr>
      <w:t>5</w:t>
    </w:r>
    <w:r w:rsidRPr="00AC109A">
      <w:rPr>
        <w:rStyle w:val="Numrodepage"/>
        <w:sz w:val="16"/>
      </w:rPr>
      <w:fldChar w:fldCharType="end"/>
    </w:r>
  </w:p>
  <w:p w14:paraId="7FBE840A" w14:textId="77777777" w:rsidR="00AC109A" w:rsidRDefault="00AC109A">
    <w:pPr>
      <w:pStyle w:val="Pieddepage"/>
    </w:pPr>
    <w:r>
      <w:tab/>
    </w:r>
    <w:r>
      <w:tab/>
    </w:r>
    <w:r>
      <w:tab/>
    </w:r>
    <w:r>
      <w:tab/>
    </w:r>
  </w:p>
  <w:p w14:paraId="4ADC66B9" w14:textId="77777777" w:rsidR="00AC109A" w:rsidRPr="00AC109A" w:rsidRDefault="00AC109A" w:rsidP="00AC109A">
    <w:pPr>
      <w:pStyle w:val="Pieddepage"/>
      <w:jc w:val="right"/>
      <w:rPr>
        <w:sz w:val="16"/>
      </w:rPr>
    </w:pPr>
    <w:r w:rsidRPr="00AC109A">
      <w:rPr>
        <w:sz w:val="16"/>
      </w:rPr>
      <w:t>040/364-23: Panneaux publicitaires fixes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90C0" w14:textId="77777777" w:rsidR="006D009D" w:rsidRDefault="006D009D" w:rsidP="00DE5F4E">
      <w:r>
        <w:separator/>
      </w:r>
    </w:p>
  </w:footnote>
  <w:footnote w:type="continuationSeparator" w:id="0">
    <w:p w14:paraId="42E26BDD" w14:textId="77777777" w:rsidR="006D009D" w:rsidRDefault="006D009D" w:rsidP="00DE5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93E7" w14:textId="5C63E24D" w:rsidR="00AC109A" w:rsidRDefault="00AC109A" w:rsidP="00AA3E63">
    <w:pPr>
      <w:pStyle w:val="En-tte"/>
      <w:tabs>
        <w:tab w:val="left" w:pos="708"/>
      </w:tabs>
    </w:pPr>
    <w:r>
      <w:rPr>
        <w:sz w:val="16"/>
      </w:rPr>
      <w:t xml:space="preserve">040/ 364-23    </w:t>
    </w:r>
    <w:r w:rsidR="00B52652">
      <w:rPr>
        <w:sz w:val="16"/>
      </w:rPr>
      <w:t xml:space="preserve">        </w:t>
    </w:r>
    <w:r w:rsidR="00810906">
      <w:rPr>
        <w:sz w:val="16"/>
      </w:rPr>
      <w:t>V</w:t>
    </w:r>
    <w:r w:rsidR="00B52652">
      <w:rPr>
        <w:sz w:val="16"/>
      </w:rPr>
      <w:t xml:space="preserve">ersion au </w:t>
    </w:r>
    <w:r w:rsidR="00F03F2E">
      <w:rPr>
        <w:sz w:val="16"/>
      </w:rPr>
      <w:t>24.09.2025</w:t>
    </w:r>
  </w:p>
  <w:p w14:paraId="662FCCB3" w14:textId="77777777" w:rsidR="00AC109A" w:rsidRDefault="00AC1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00000011"/>
    <w:name w:val="WW8Num22"/>
    <w:lvl w:ilvl="0">
      <w:start w:val="1"/>
      <w:numFmt w:val="lowerLetter"/>
      <w:lvlText w:val="%1)"/>
      <w:lvlJc w:val="left"/>
      <w:pPr>
        <w:tabs>
          <w:tab w:val="num" w:pos="0"/>
        </w:tabs>
        <w:ind w:left="0" w:firstLine="0"/>
      </w:pPr>
      <w:rPr>
        <w:rFonts w:cs="Times New Roman"/>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15:restartNumberingAfterBreak="0">
    <w:nsid w:val="054A29F4"/>
    <w:multiLevelType w:val="singleLevel"/>
    <w:tmpl w:val="040C0017"/>
    <w:lvl w:ilvl="0">
      <w:start w:val="1"/>
      <w:numFmt w:val="lowerLetter"/>
      <w:lvlText w:val="%1)"/>
      <w:lvlJc w:val="left"/>
      <w:pPr>
        <w:tabs>
          <w:tab w:val="num" w:pos="360"/>
        </w:tabs>
        <w:ind w:left="360" w:hanging="360"/>
      </w:pPr>
      <w:rPr>
        <w:rFonts w:hint="default"/>
      </w:rPr>
    </w:lvl>
  </w:abstractNum>
  <w:abstractNum w:abstractNumId="2" w15:restartNumberingAfterBreak="0">
    <w:nsid w:val="140C4283"/>
    <w:multiLevelType w:val="hybridMultilevel"/>
    <w:tmpl w:val="C68A5428"/>
    <w:lvl w:ilvl="0" w:tplc="2A52D1D4">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6BF54DA"/>
    <w:multiLevelType w:val="hybridMultilevel"/>
    <w:tmpl w:val="F7F62D3C"/>
    <w:lvl w:ilvl="0" w:tplc="B2002964">
      <w:start w:val="1"/>
      <w:numFmt w:val="bullet"/>
      <w:lvlText w:val=""/>
      <w:lvlJc w:val="left"/>
      <w:pPr>
        <w:ind w:left="720" w:hanging="360"/>
      </w:pPr>
      <w:rPr>
        <w:rFonts w:ascii="Symbol" w:hAnsi="Symbol" w:hint="default"/>
      </w:rPr>
    </w:lvl>
    <w:lvl w:ilvl="1" w:tplc="27BA5864">
      <w:start w:val="1"/>
      <w:numFmt w:val="bullet"/>
      <w:lvlText w:val="o"/>
      <w:lvlJc w:val="left"/>
      <w:pPr>
        <w:ind w:left="1440" w:hanging="360"/>
      </w:pPr>
      <w:rPr>
        <w:rFonts w:ascii="Courier New" w:hAnsi="Courier New" w:hint="default"/>
      </w:rPr>
    </w:lvl>
    <w:lvl w:ilvl="2" w:tplc="495844E0">
      <w:start w:val="1"/>
      <w:numFmt w:val="bullet"/>
      <w:lvlText w:val=""/>
      <w:lvlJc w:val="left"/>
      <w:pPr>
        <w:ind w:left="2160" w:hanging="360"/>
      </w:pPr>
      <w:rPr>
        <w:rFonts w:ascii="Wingdings" w:hAnsi="Wingdings" w:hint="default"/>
      </w:rPr>
    </w:lvl>
    <w:lvl w:ilvl="3" w:tplc="94BA1B28">
      <w:start w:val="1"/>
      <w:numFmt w:val="bullet"/>
      <w:lvlText w:val=""/>
      <w:lvlJc w:val="left"/>
      <w:pPr>
        <w:ind w:left="2880" w:hanging="360"/>
      </w:pPr>
      <w:rPr>
        <w:rFonts w:ascii="Symbol" w:hAnsi="Symbol" w:hint="default"/>
      </w:rPr>
    </w:lvl>
    <w:lvl w:ilvl="4" w:tplc="4E44E466">
      <w:start w:val="1"/>
      <w:numFmt w:val="bullet"/>
      <w:lvlText w:val="o"/>
      <w:lvlJc w:val="left"/>
      <w:pPr>
        <w:ind w:left="3600" w:hanging="360"/>
      </w:pPr>
      <w:rPr>
        <w:rFonts w:ascii="Courier New" w:hAnsi="Courier New" w:hint="default"/>
      </w:rPr>
    </w:lvl>
    <w:lvl w:ilvl="5" w:tplc="B606BA5A">
      <w:start w:val="1"/>
      <w:numFmt w:val="bullet"/>
      <w:lvlText w:val=""/>
      <w:lvlJc w:val="left"/>
      <w:pPr>
        <w:ind w:left="4320" w:hanging="360"/>
      </w:pPr>
      <w:rPr>
        <w:rFonts w:ascii="Wingdings" w:hAnsi="Wingdings" w:hint="default"/>
      </w:rPr>
    </w:lvl>
    <w:lvl w:ilvl="6" w:tplc="926232EC">
      <w:start w:val="1"/>
      <w:numFmt w:val="bullet"/>
      <w:lvlText w:val=""/>
      <w:lvlJc w:val="left"/>
      <w:pPr>
        <w:ind w:left="5040" w:hanging="360"/>
      </w:pPr>
      <w:rPr>
        <w:rFonts w:ascii="Symbol" w:hAnsi="Symbol" w:hint="default"/>
      </w:rPr>
    </w:lvl>
    <w:lvl w:ilvl="7" w:tplc="137829CA">
      <w:start w:val="1"/>
      <w:numFmt w:val="bullet"/>
      <w:lvlText w:val="o"/>
      <w:lvlJc w:val="left"/>
      <w:pPr>
        <w:ind w:left="5760" w:hanging="360"/>
      </w:pPr>
      <w:rPr>
        <w:rFonts w:ascii="Courier New" w:hAnsi="Courier New" w:hint="default"/>
      </w:rPr>
    </w:lvl>
    <w:lvl w:ilvl="8" w:tplc="71424E08">
      <w:start w:val="1"/>
      <w:numFmt w:val="bullet"/>
      <w:lvlText w:val=""/>
      <w:lvlJc w:val="left"/>
      <w:pPr>
        <w:ind w:left="6480" w:hanging="360"/>
      </w:pPr>
      <w:rPr>
        <w:rFonts w:ascii="Wingdings" w:hAnsi="Wingdings" w:hint="default"/>
      </w:rPr>
    </w:lvl>
  </w:abstractNum>
  <w:abstractNum w:abstractNumId="4" w15:restartNumberingAfterBreak="0">
    <w:nsid w:val="24B14C2E"/>
    <w:multiLevelType w:val="multilevel"/>
    <w:tmpl w:val="F3140FC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B706C7B"/>
    <w:multiLevelType w:val="multilevel"/>
    <w:tmpl w:val="F3140FCA"/>
    <w:lvl w:ilvl="0">
      <w:start w:val="1"/>
      <w:numFmt w:val="lowerLetter"/>
      <w:lvlText w:val="%1)"/>
      <w:lvlJc w:val="left"/>
      <w:pPr>
        <w:tabs>
          <w:tab w:val="left" w:pos="432"/>
        </w:tabs>
        <w:ind w:left="720"/>
      </w:pPr>
      <w:rPr>
        <w:rFonts w:ascii="Times New Roman" w:eastAsia="Times New Roman" w:hAnsi="Times New Roman"/>
        <w:strike w:val="0"/>
        <w:color w:val="000000"/>
        <w:spacing w:val="0"/>
        <w:w w:val="100"/>
        <w:sz w:val="24"/>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9853A9"/>
    <w:multiLevelType w:val="hybridMultilevel"/>
    <w:tmpl w:val="9A30B26C"/>
    <w:lvl w:ilvl="0" w:tplc="D23E246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1440372719">
    <w:abstractNumId w:val="1"/>
  </w:num>
  <w:num w:numId="2" w16cid:durableId="1037972030">
    <w:abstractNumId w:val="0"/>
  </w:num>
  <w:num w:numId="3" w16cid:durableId="619536606">
    <w:abstractNumId w:val="5"/>
  </w:num>
  <w:num w:numId="4" w16cid:durableId="1963459891">
    <w:abstractNumId w:val="2"/>
  </w:num>
  <w:num w:numId="5" w16cid:durableId="943147597">
    <w:abstractNumId w:val="6"/>
  </w:num>
  <w:num w:numId="6" w16cid:durableId="955332619">
    <w:abstractNumId w:val="3"/>
  </w:num>
  <w:num w:numId="7" w16cid:durableId="802580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07"/>
    <w:rsid w:val="0002262E"/>
    <w:rsid w:val="000622D6"/>
    <w:rsid w:val="00066FA4"/>
    <w:rsid w:val="00071A59"/>
    <w:rsid w:val="0007558A"/>
    <w:rsid w:val="00083919"/>
    <w:rsid w:val="0012464E"/>
    <w:rsid w:val="00136833"/>
    <w:rsid w:val="00142926"/>
    <w:rsid w:val="0017171B"/>
    <w:rsid w:val="001739ED"/>
    <w:rsid w:val="001960C6"/>
    <w:rsid w:val="001C0916"/>
    <w:rsid w:val="00200C16"/>
    <w:rsid w:val="00233BC1"/>
    <w:rsid w:val="00257D4D"/>
    <w:rsid w:val="00290DF3"/>
    <w:rsid w:val="002E3C3E"/>
    <w:rsid w:val="00310068"/>
    <w:rsid w:val="0038638C"/>
    <w:rsid w:val="003B5809"/>
    <w:rsid w:val="003F5EB7"/>
    <w:rsid w:val="00430698"/>
    <w:rsid w:val="004415F0"/>
    <w:rsid w:val="0046313C"/>
    <w:rsid w:val="004702D2"/>
    <w:rsid w:val="004A2C66"/>
    <w:rsid w:val="004A330F"/>
    <w:rsid w:val="004A64B8"/>
    <w:rsid w:val="004B2A1F"/>
    <w:rsid w:val="004B3F2E"/>
    <w:rsid w:val="004D60C5"/>
    <w:rsid w:val="00541689"/>
    <w:rsid w:val="005864AF"/>
    <w:rsid w:val="005B1EAE"/>
    <w:rsid w:val="005C4609"/>
    <w:rsid w:val="005E3A7E"/>
    <w:rsid w:val="005E7E9D"/>
    <w:rsid w:val="005F14D9"/>
    <w:rsid w:val="0067521B"/>
    <w:rsid w:val="00675945"/>
    <w:rsid w:val="0068018E"/>
    <w:rsid w:val="00686A55"/>
    <w:rsid w:val="006B272E"/>
    <w:rsid w:val="006D009D"/>
    <w:rsid w:val="006F777B"/>
    <w:rsid w:val="00710756"/>
    <w:rsid w:val="0076198E"/>
    <w:rsid w:val="00772B14"/>
    <w:rsid w:val="007A0C74"/>
    <w:rsid w:val="007A5FF7"/>
    <w:rsid w:val="007A7218"/>
    <w:rsid w:val="007B5B41"/>
    <w:rsid w:val="007C6069"/>
    <w:rsid w:val="007D6442"/>
    <w:rsid w:val="007F443B"/>
    <w:rsid w:val="008013F6"/>
    <w:rsid w:val="008059AB"/>
    <w:rsid w:val="00810906"/>
    <w:rsid w:val="00824B58"/>
    <w:rsid w:val="00825F98"/>
    <w:rsid w:val="008675CD"/>
    <w:rsid w:val="008C2FAF"/>
    <w:rsid w:val="00916D11"/>
    <w:rsid w:val="0093208A"/>
    <w:rsid w:val="009370C4"/>
    <w:rsid w:val="00953CA9"/>
    <w:rsid w:val="0095617A"/>
    <w:rsid w:val="0097208B"/>
    <w:rsid w:val="009A0B1C"/>
    <w:rsid w:val="009F12D4"/>
    <w:rsid w:val="009F324B"/>
    <w:rsid w:val="00A16FCF"/>
    <w:rsid w:val="00A37547"/>
    <w:rsid w:val="00A46A69"/>
    <w:rsid w:val="00A60AF3"/>
    <w:rsid w:val="00A60D87"/>
    <w:rsid w:val="00A6524A"/>
    <w:rsid w:val="00A86143"/>
    <w:rsid w:val="00AA3E63"/>
    <w:rsid w:val="00AA7446"/>
    <w:rsid w:val="00AB5CC9"/>
    <w:rsid w:val="00AC109A"/>
    <w:rsid w:val="00AE32E9"/>
    <w:rsid w:val="00B25A06"/>
    <w:rsid w:val="00B4729E"/>
    <w:rsid w:val="00B518F7"/>
    <w:rsid w:val="00B52652"/>
    <w:rsid w:val="00B77743"/>
    <w:rsid w:val="00B80F07"/>
    <w:rsid w:val="00B84BC6"/>
    <w:rsid w:val="00BD2A39"/>
    <w:rsid w:val="00BD799F"/>
    <w:rsid w:val="00BE0B15"/>
    <w:rsid w:val="00C0667B"/>
    <w:rsid w:val="00C14F59"/>
    <w:rsid w:val="00C20543"/>
    <w:rsid w:val="00C62F33"/>
    <w:rsid w:val="00CD19D1"/>
    <w:rsid w:val="00D05F08"/>
    <w:rsid w:val="00D30B4A"/>
    <w:rsid w:val="00D35704"/>
    <w:rsid w:val="00D66130"/>
    <w:rsid w:val="00D84CB5"/>
    <w:rsid w:val="00DE5F4E"/>
    <w:rsid w:val="00E351A6"/>
    <w:rsid w:val="00E65DE3"/>
    <w:rsid w:val="00E700B9"/>
    <w:rsid w:val="00E73666"/>
    <w:rsid w:val="00E85CEC"/>
    <w:rsid w:val="00EA6B2D"/>
    <w:rsid w:val="00EC586C"/>
    <w:rsid w:val="00EE33B0"/>
    <w:rsid w:val="00EE4FA8"/>
    <w:rsid w:val="00EE6337"/>
    <w:rsid w:val="00F03F2E"/>
    <w:rsid w:val="00F17044"/>
    <w:rsid w:val="00F218C2"/>
    <w:rsid w:val="00F2548D"/>
    <w:rsid w:val="00F43776"/>
    <w:rsid w:val="00FB6C23"/>
    <w:rsid w:val="00FD1395"/>
    <w:rsid w:val="00FE72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6C0D5"/>
  <w15:chartTrackingRefBased/>
  <w15:docId w15:val="{65513DDB-FFAE-448C-A298-F4693229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fr-FR"/>
    </w:rPr>
  </w:style>
  <w:style w:type="paragraph" w:styleId="Titre1">
    <w:name w:val="heading 1"/>
    <w:basedOn w:val="Normal"/>
    <w:next w:val="Normal"/>
    <w:qFormat/>
    <w:pPr>
      <w:keepNext/>
      <w:outlineLvl w:val="0"/>
    </w:pPr>
    <w:rPr>
      <w:b/>
      <w:bCs/>
      <w:sz w:val="24"/>
    </w:rPr>
  </w:style>
  <w:style w:type="paragraph" w:styleId="Titre2">
    <w:name w:val="heading 2"/>
    <w:basedOn w:val="Normal"/>
    <w:next w:val="Normal"/>
    <w:qFormat/>
    <w:pPr>
      <w:keepNext/>
      <w:outlineLvl w:val="1"/>
    </w:pPr>
    <w:rPr>
      <w:i/>
      <w:iCs/>
      <w:sz w:val="24"/>
      <w:szCs w:val="24"/>
      <w:lang w:val="fr-BE"/>
    </w:rPr>
  </w:style>
  <w:style w:type="paragraph" w:styleId="Titre3">
    <w:name w:val="heading 3"/>
    <w:basedOn w:val="Normal"/>
    <w:next w:val="Normal"/>
    <w:qFormat/>
    <w:pPr>
      <w:keepNext/>
      <w:outlineLvl w:val="2"/>
    </w:pPr>
    <w:rPr>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rPr>
      <w:b/>
      <w:bCs/>
      <w:sz w:val="24"/>
      <w:szCs w:val="24"/>
      <w:u w:val="single"/>
      <w:lang w:val="fr-B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szCs w:val="24"/>
    </w:rPr>
  </w:style>
  <w:style w:type="paragraph" w:styleId="En-tte">
    <w:name w:val="header"/>
    <w:basedOn w:val="Normal"/>
    <w:link w:val="En-tteCar"/>
    <w:pPr>
      <w:tabs>
        <w:tab w:val="center" w:pos="4536"/>
        <w:tab w:val="right" w:pos="9072"/>
      </w:tabs>
    </w:pPr>
    <w:rPr>
      <w:sz w:val="24"/>
      <w:szCs w:val="24"/>
      <w:lang w:val="fr-BE"/>
    </w:r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character" w:customStyle="1" w:styleId="WW8Num3z0">
    <w:name w:val="WW8Num3z0"/>
    <w:rPr>
      <w:rFonts w:eastAsia="Times New Roman" w:cs="Times New Roman"/>
    </w:rPr>
  </w:style>
  <w:style w:type="paragraph" w:customStyle="1" w:styleId="WW-Standard">
    <w:name w:val="WW-Standard"/>
    <w:pPr>
      <w:suppressAutoHyphens/>
      <w:spacing w:before="120"/>
      <w:jc w:val="both"/>
    </w:pPr>
    <w:rPr>
      <w:rFonts w:eastAsia="Arial"/>
      <w:kern w:val="1"/>
      <w:sz w:val="24"/>
      <w:lang w:eastAsia="zh-CN"/>
    </w:rPr>
  </w:style>
  <w:style w:type="character" w:customStyle="1" w:styleId="En-tteCar">
    <w:name w:val="En-tête Car"/>
    <w:link w:val="En-tte"/>
    <w:rsid w:val="00AA3E63"/>
    <w:rPr>
      <w:sz w:val="24"/>
      <w:szCs w:val="24"/>
      <w:lang w:eastAsia="fr-FR"/>
    </w:rPr>
  </w:style>
  <w:style w:type="paragraph" w:styleId="Corpsdetexte2">
    <w:name w:val="Body Text 2"/>
    <w:basedOn w:val="Normal"/>
    <w:link w:val="Corpsdetexte2Car"/>
    <w:rsid w:val="007F443B"/>
    <w:pPr>
      <w:spacing w:after="120" w:line="480" w:lineRule="auto"/>
    </w:pPr>
    <w:rPr>
      <w:sz w:val="24"/>
      <w:szCs w:val="24"/>
    </w:rPr>
  </w:style>
  <w:style w:type="character" w:customStyle="1" w:styleId="Corpsdetexte2Car">
    <w:name w:val="Corps de texte 2 Car"/>
    <w:link w:val="Corpsdetexte2"/>
    <w:rsid w:val="007F443B"/>
    <w:rPr>
      <w:sz w:val="24"/>
      <w:szCs w:val="24"/>
      <w:lang w:val="fr-FR" w:eastAsia="fr-FR"/>
    </w:rPr>
  </w:style>
  <w:style w:type="character" w:styleId="Marquedecommentaire">
    <w:name w:val="annotation reference"/>
    <w:uiPriority w:val="99"/>
    <w:semiHidden/>
    <w:unhideWhenUsed/>
    <w:rsid w:val="00FB6C23"/>
    <w:rPr>
      <w:sz w:val="16"/>
      <w:szCs w:val="16"/>
    </w:rPr>
  </w:style>
  <w:style w:type="paragraph" w:styleId="Commentaire">
    <w:name w:val="annotation text"/>
    <w:basedOn w:val="Normal"/>
    <w:link w:val="CommentaireCar"/>
    <w:uiPriority w:val="99"/>
    <w:semiHidden/>
    <w:unhideWhenUsed/>
    <w:rsid w:val="00FB6C23"/>
  </w:style>
  <w:style w:type="character" w:customStyle="1" w:styleId="CommentaireCar">
    <w:name w:val="Commentaire Car"/>
    <w:link w:val="Commentaire"/>
    <w:uiPriority w:val="99"/>
    <w:semiHidden/>
    <w:rsid w:val="00FB6C23"/>
    <w:rPr>
      <w:lang w:val="fr-FR" w:eastAsia="fr-FR"/>
    </w:rPr>
  </w:style>
  <w:style w:type="paragraph" w:styleId="Objetducommentaire">
    <w:name w:val="annotation subject"/>
    <w:basedOn w:val="Commentaire"/>
    <w:next w:val="Commentaire"/>
    <w:link w:val="ObjetducommentaireCar"/>
    <w:uiPriority w:val="99"/>
    <w:semiHidden/>
    <w:unhideWhenUsed/>
    <w:rsid w:val="00FB6C23"/>
    <w:rPr>
      <w:b/>
      <w:bCs/>
    </w:rPr>
  </w:style>
  <w:style w:type="character" w:customStyle="1" w:styleId="ObjetducommentaireCar">
    <w:name w:val="Objet du commentaire Car"/>
    <w:link w:val="Objetducommentaire"/>
    <w:uiPriority w:val="99"/>
    <w:semiHidden/>
    <w:rsid w:val="00FB6C23"/>
    <w:rPr>
      <w:b/>
      <w:bCs/>
      <w:lang w:val="fr-FR" w:eastAsia="fr-FR"/>
    </w:rPr>
  </w:style>
  <w:style w:type="paragraph" w:styleId="Paragraphedeliste">
    <w:name w:val="List Paragraph"/>
    <w:aliases w:val="Paragraphe + puce,Lettre d'introduction,liste à numéros,Puce tiret"/>
    <w:basedOn w:val="Normal"/>
    <w:link w:val="ParagraphedelisteCar"/>
    <w:uiPriority w:val="34"/>
    <w:qFormat/>
    <w:rsid w:val="007B5B41"/>
    <w:pPr>
      <w:spacing w:after="160" w:line="259" w:lineRule="auto"/>
      <w:ind w:left="720"/>
      <w:contextualSpacing/>
    </w:pPr>
    <w:rPr>
      <w:rFonts w:ascii="Calibri" w:eastAsia="Calibri" w:hAnsi="Calibri"/>
      <w:sz w:val="22"/>
      <w:szCs w:val="22"/>
      <w:lang w:eastAsia="en-US"/>
    </w:rPr>
  </w:style>
  <w:style w:type="character" w:customStyle="1" w:styleId="ParagraphedelisteCar">
    <w:name w:val="Paragraphe de liste Car"/>
    <w:aliases w:val="Paragraphe + puce Car,Lettre d'introduction Car,liste à numéros Car,Puce tiret Car"/>
    <w:link w:val="Paragraphedeliste"/>
    <w:uiPriority w:val="34"/>
    <w:rsid w:val="007B5B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9843">
      <w:bodyDiv w:val="1"/>
      <w:marLeft w:val="0"/>
      <w:marRight w:val="0"/>
      <w:marTop w:val="0"/>
      <w:marBottom w:val="0"/>
      <w:divBdr>
        <w:top w:val="none" w:sz="0" w:space="0" w:color="auto"/>
        <w:left w:val="none" w:sz="0" w:space="0" w:color="auto"/>
        <w:bottom w:val="none" w:sz="0" w:space="0" w:color="auto"/>
        <w:right w:val="none" w:sz="0" w:space="0" w:color="auto"/>
      </w:divBdr>
    </w:div>
    <w:div w:id="443694819">
      <w:bodyDiv w:val="1"/>
      <w:marLeft w:val="0"/>
      <w:marRight w:val="0"/>
      <w:marTop w:val="0"/>
      <w:marBottom w:val="0"/>
      <w:divBdr>
        <w:top w:val="none" w:sz="0" w:space="0" w:color="auto"/>
        <w:left w:val="none" w:sz="0" w:space="0" w:color="auto"/>
        <w:bottom w:val="none" w:sz="0" w:space="0" w:color="auto"/>
        <w:right w:val="none" w:sz="0" w:space="0" w:color="auto"/>
      </w:divBdr>
    </w:div>
    <w:div w:id="475801435">
      <w:bodyDiv w:val="1"/>
      <w:marLeft w:val="0"/>
      <w:marRight w:val="0"/>
      <w:marTop w:val="0"/>
      <w:marBottom w:val="0"/>
      <w:divBdr>
        <w:top w:val="none" w:sz="0" w:space="0" w:color="auto"/>
        <w:left w:val="none" w:sz="0" w:space="0" w:color="auto"/>
        <w:bottom w:val="none" w:sz="0" w:space="0" w:color="auto"/>
        <w:right w:val="none" w:sz="0" w:space="0" w:color="auto"/>
      </w:divBdr>
    </w:div>
    <w:div w:id="527528953">
      <w:bodyDiv w:val="1"/>
      <w:marLeft w:val="0"/>
      <w:marRight w:val="0"/>
      <w:marTop w:val="0"/>
      <w:marBottom w:val="0"/>
      <w:divBdr>
        <w:top w:val="none" w:sz="0" w:space="0" w:color="auto"/>
        <w:left w:val="none" w:sz="0" w:space="0" w:color="auto"/>
        <w:bottom w:val="none" w:sz="0" w:space="0" w:color="auto"/>
        <w:right w:val="none" w:sz="0" w:space="0" w:color="auto"/>
      </w:divBdr>
    </w:div>
    <w:div w:id="647711186">
      <w:bodyDiv w:val="1"/>
      <w:marLeft w:val="0"/>
      <w:marRight w:val="0"/>
      <w:marTop w:val="0"/>
      <w:marBottom w:val="0"/>
      <w:divBdr>
        <w:top w:val="none" w:sz="0" w:space="0" w:color="auto"/>
        <w:left w:val="none" w:sz="0" w:space="0" w:color="auto"/>
        <w:bottom w:val="none" w:sz="0" w:space="0" w:color="auto"/>
        <w:right w:val="none" w:sz="0" w:space="0" w:color="auto"/>
      </w:divBdr>
    </w:div>
    <w:div w:id="1285499065">
      <w:bodyDiv w:val="1"/>
      <w:marLeft w:val="0"/>
      <w:marRight w:val="0"/>
      <w:marTop w:val="0"/>
      <w:marBottom w:val="0"/>
      <w:divBdr>
        <w:top w:val="none" w:sz="0" w:space="0" w:color="auto"/>
        <w:left w:val="none" w:sz="0" w:space="0" w:color="auto"/>
        <w:bottom w:val="none" w:sz="0" w:space="0" w:color="auto"/>
        <w:right w:val="none" w:sz="0" w:space="0" w:color="auto"/>
      </w:divBdr>
    </w:div>
    <w:div w:id="1379937523">
      <w:bodyDiv w:val="1"/>
      <w:marLeft w:val="0"/>
      <w:marRight w:val="0"/>
      <w:marTop w:val="0"/>
      <w:marBottom w:val="0"/>
      <w:divBdr>
        <w:top w:val="none" w:sz="0" w:space="0" w:color="auto"/>
        <w:left w:val="none" w:sz="0" w:space="0" w:color="auto"/>
        <w:bottom w:val="none" w:sz="0" w:space="0" w:color="auto"/>
        <w:right w:val="none" w:sz="0" w:space="0" w:color="auto"/>
      </w:divBdr>
    </w:div>
    <w:div w:id="205248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bo\Mod&#232;les\Document%20de%20trav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9A65A2DD5DF44A80A654981849549B" ma:contentTypeVersion="4" ma:contentTypeDescription="Crée un document." ma:contentTypeScope="" ma:versionID="fb7cc2fb43afd1b96e058a59ffb40e04">
  <xsd:schema xmlns:xsd="http://www.w3.org/2001/XMLSchema" xmlns:xs="http://www.w3.org/2001/XMLSchema" xmlns:p="http://schemas.microsoft.com/office/2006/metadata/properties" xmlns:ns2="c1a3df3e-33cb-4260-8132-609fc1ecef07" targetNamespace="http://schemas.microsoft.com/office/2006/metadata/properties" ma:root="true" ma:fieldsID="7498a28766e664b1c573548f1520e9e9" ns2:_="">
    <xsd:import namespace="c1a3df3e-33cb-4260-8132-609fc1ecef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df3e-33cb-4260-8132-609fc1ece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D788E6-256E-4C39-9A5B-A6D04F4FCE97}">
  <ds:schemaRefs>
    <ds:schemaRef ds:uri="http://schemas.openxmlformats.org/officeDocument/2006/bibliography"/>
  </ds:schemaRefs>
</ds:datastoreItem>
</file>

<file path=customXml/itemProps2.xml><?xml version="1.0" encoding="utf-8"?>
<ds:datastoreItem xmlns:ds="http://schemas.openxmlformats.org/officeDocument/2006/customXml" ds:itemID="{F5C2F815-27A7-49CF-8297-72BC4C3DA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df3e-33cb-4260-8132-609fc1ece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5F75DF-D95B-47E6-8D57-C04019F12D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 de travail.dot</Template>
  <TotalTime>26</TotalTime>
  <Pages>8</Pages>
  <Words>1990</Words>
  <Characters>10482</Characters>
  <Application>Microsoft Office Word</Application>
  <DocSecurity>0</DocSecurity>
  <Lines>87</Lines>
  <Paragraphs>24</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Extrait du registre aux délibérations du conseil communal</vt:lpstr>
      <vt:lpstr>    OU</vt:lpstr>
    </vt:vector>
  </TitlesOfParts>
  <Company>UVCW</Company>
  <LinksUpToDate>false</LinksUpToDate>
  <CharactersWithSpaces>12448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Sylvie Bollen</dc:creator>
  <cp:keywords/>
  <dc:description/>
  <cp:lastModifiedBy>COSSE Alexandre</cp:lastModifiedBy>
  <cp:revision>12</cp:revision>
  <cp:lastPrinted>2003-03-31T22:33:00Z</cp:lastPrinted>
  <dcterms:created xsi:type="dcterms:W3CDTF">2025-05-21T08:41:00Z</dcterms:created>
  <dcterms:modified xsi:type="dcterms:W3CDTF">2025-09-25T07:03:00Z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2022-01-14T14:30:21Z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1ea049bf-02a1-4d3f-b6dc-0ef189d2eedc</vt:lpwstr>
  </property>
  <property fmtid="{D5CDD505-2E9C-101B-9397-08002B2CF9AE}" pid="8" name="MSIP_Label_97a477d1-147d-4e34-b5e3-7b26d2f44870_ContentBits">
    <vt:lpwstr>0</vt:lpwstr>
  </property>
</Properties>
</file>