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820B1" w14:textId="77777777" w:rsidR="00806CFB" w:rsidRPr="0049554A" w:rsidRDefault="00806CFB" w:rsidP="0049554A">
      <w:pPr>
        <w:pStyle w:val="Titre"/>
        <w:jc w:val="both"/>
        <w:rPr>
          <w:sz w:val="16"/>
          <w:szCs w:val="16"/>
        </w:rPr>
      </w:pPr>
    </w:p>
    <w:p w14:paraId="059CC554" w14:textId="77777777" w:rsidR="0049554A" w:rsidRPr="00E10DCD" w:rsidRDefault="0049554A" w:rsidP="0049554A">
      <w:pPr>
        <w:jc w:val="right"/>
        <w:rPr>
          <w:rFonts w:asciiTheme="majorHAnsi" w:eastAsiaTheme="majorEastAsia" w:hAnsiTheme="majorHAnsi" w:cstheme="majorHAnsi"/>
          <w:b/>
          <w:color w:val="0070C0"/>
          <w:spacing w:val="5"/>
          <w:kern w:val="28"/>
          <w:sz w:val="40"/>
          <w:szCs w:val="40"/>
          <w:lang w:eastAsia="zh-CN"/>
        </w:rPr>
      </w:pPr>
      <w:r w:rsidRPr="0049554A">
        <w:rPr>
          <w:b/>
          <w:caps/>
          <w:noProof/>
          <w:color w:val="4F81BD" w:themeColor="accent1"/>
          <w:kern w:val="1"/>
          <w:sz w:val="40"/>
        </w:rPr>
        <mc:AlternateContent>
          <mc:Choice Requires="wps">
            <w:drawing>
              <wp:anchor distT="0" distB="0" distL="114300" distR="114300" simplePos="0" relativeHeight="251660315" behindDoc="0" locked="0" layoutInCell="1" allowOverlap="1" wp14:anchorId="4E5513EA" wp14:editId="30E9CFC0">
                <wp:simplePos x="0" y="0"/>
                <wp:positionH relativeFrom="column">
                  <wp:posOffset>-711403</wp:posOffset>
                </wp:positionH>
                <wp:positionV relativeFrom="paragraph">
                  <wp:posOffset>109728</wp:posOffset>
                </wp:positionV>
                <wp:extent cx="219075" cy="8193024"/>
                <wp:effectExtent l="0" t="0" r="9525" b="0"/>
                <wp:wrapNone/>
                <wp:docPr id="115" name="Rectangle 115"/>
                <wp:cNvGraphicFramePr/>
                <a:graphic xmlns:a="http://schemas.openxmlformats.org/drawingml/2006/main">
                  <a:graphicData uri="http://schemas.microsoft.com/office/word/2010/wordprocessingShape">
                    <wps:wsp>
                      <wps:cNvSpPr/>
                      <wps:spPr>
                        <a:xfrm>
                          <a:off x="0" y="0"/>
                          <a:ext cx="219075" cy="8193024"/>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1AF4A4" id="Rectangle 115" o:spid="_x0000_s1026" style="position:absolute;margin-left:-56pt;margin-top:8.65pt;width:17.25pt;height:645.1pt;z-index:2516603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" fillcolor="#548dd4 [1951]" stroked="f" strokeweight="2pt"/>
            </w:pict>
          </mc:Fallback>
        </mc:AlternateContent>
      </w:r>
      <w:r w:rsidRPr="0049554A">
        <w:rPr>
          <w:rFonts w:eastAsiaTheme="majorEastAsia" w:cstheme="majorHAnsi"/>
          <w:b/>
          <w:color w:val="0070C0"/>
          <w:spacing w:val="5"/>
          <w:kern w:val="28"/>
          <w:sz w:val="40"/>
          <w:szCs w:val="40"/>
          <w:lang w:eastAsia="zh-CN"/>
        </w:rPr>
        <w:t>ANNEE 2027</w:t>
      </w:r>
    </w:p>
    <w:p w14:paraId="6A4AE687" w14:textId="77777777" w:rsidR="0049554A" w:rsidRPr="002D7983" w:rsidRDefault="0049554A" w:rsidP="0049554A">
      <w:pPr>
        <w:pStyle w:val="Sansinterligne"/>
        <w:widowControl w:val="0"/>
        <w:suppressAutoHyphens/>
        <w:jc w:val="right"/>
        <w:rPr>
          <w:rFonts w:ascii="Calibri" w:eastAsia="Times New Roman" w:hAnsi="Calibri" w:cs="Times New Roman"/>
          <w:b/>
          <w:caps/>
          <w:color w:val="4F81BD" w:themeColor="accent1"/>
          <w:kern w:val="1"/>
          <w:sz w:val="40"/>
          <w:szCs w:val="40"/>
          <w:lang w:val="fr-BE" w:eastAsia="zh-CN"/>
        </w:rPr>
      </w:pPr>
    </w:p>
    <w:p w14:paraId="567AC007" w14:textId="77777777" w:rsidR="0049554A" w:rsidRPr="00E10DCD" w:rsidRDefault="0049554A" w:rsidP="0049554A">
      <w:pPr>
        <w:jc w:val="right"/>
        <w:rPr>
          <w:rFonts w:asciiTheme="majorHAnsi" w:eastAsiaTheme="majorEastAsia" w:hAnsiTheme="majorHAnsi" w:cstheme="majorHAnsi"/>
          <w:bCs/>
          <w:color w:val="0070C0"/>
          <w:spacing w:val="5"/>
          <w:kern w:val="28"/>
          <w:sz w:val="40"/>
          <w:szCs w:val="40"/>
          <w:lang w:eastAsia="zh-CN"/>
        </w:rPr>
      </w:pPr>
    </w:p>
    <w:p w14:paraId="3E25B777" w14:textId="77777777" w:rsidR="0049554A" w:rsidRPr="00E10DCD" w:rsidRDefault="0049554A" w:rsidP="0049554A">
      <w:pPr>
        <w:jc w:val="right"/>
        <w:rPr>
          <w:rFonts w:asciiTheme="majorHAnsi" w:eastAsiaTheme="majorEastAsia" w:hAnsiTheme="majorHAnsi" w:cstheme="majorHAnsi"/>
          <w:bCs/>
          <w:color w:val="0070C0"/>
          <w:spacing w:val="5"/>
          <w:kern w:val="28"/>
          <w:sz w:val="40"/>
          <w:szCs w:val="40"/>
          <w:lang w:eastAsia="zh-CN"/>
        </w:rPr>
      </w:pPr>
    </w:p>
    <w:p w14:paraId="47FC31C9" w14:textId="77777777" w:rsidR="0049554A" w:rsidRPr="00E10DCD" w:rsidRDefault="0049554A" w:rsidP="0049554A">
      <w:pPr>
        <w:jc w:val="right"/>
        <w:rPr>
          <w:rFonts w:asciiTheme="majorHAnsi" w:eastAsiaTheme="majorEastAsia" w:hAnsiTheme="majorHAnsi" w:cstheme="majorHAnsi"/>
          <w:bCs/>
          <w:color w:val="0070C0"/>
          <w:spacing w:val="5"/>
          <w:kern w:val="28"/>
          <w:sz w:val="40"/>
          <w:szCs w:val="40"/>
          <w:lang w:eastAsia="zh-CN"/>
        </w:rPr>
      </w:pPr>
    </w:p>
    <w:p w14:paraId="310ED8E4" w14:textId="77777777" w:rsidR="0049554A" w:rsidRPr="00E10DCD" w:rsidRDefault="0049554A" w:rsidP="0049554A">
      <w:pPr>
        <w:jc w:val="right"/>
        <w:rPr>
          <w:rFonts w:asciiTheme="majorHAnsi" w:eastAsiaTheme="majorEastAsia" w:hAnsiTheme="majorHAnsi" w:cstheme="majorHAnsi"/>
          <w:bCs/>
          <w:color w:val="0070C0"/>
          <w:spacing w:val="5"/>
          <w:kern w:val="28"/>
          <w:sz w:val="40"/>
          <w:szCs w:val="40"/>
          <w:lang w:eastAsia="zh-CN"/>
        </w:rPr>
      </w:pPr>
    </w:p>
    <w:p w14:paraId="21A379BF" w14:textId="77777777" w:rsidR="0049554A" w:rsidRPr="0049554A" w:rsidRDefault="0049554A" w:rsidP="004955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ind w:left="1560"/>
        <w:jc w:val="center"/>
        <w:rPr>
          <w:b/>
        </w:rPr>
      </w:pPr>
      <w:r w:rsidRPr="0049554A">
        <w:rPr>
          <w:rFonts w:eastAsiaTheme="majorEastAsia" w:cstheme="majorHAnsi"/>
          <w:b/>
          <w:color w:val="0070C0"/>
          <w:spacing w:val="5"/>
          <w:kern w:val="28"/>
          <w:sz w:val="40"/>
          <w:szCs w:val="40"/>
          <w:lang w:eastAsia="zh-CN"/>
        </w:rPr>
        <w:t>CIRCULAIRE DU 9 JUILLET 2026 RELATIVE À L’ÉLABORATION DES BUDGETS DES COMMUNES DE LA RÉGION WALLONNE</w:t>
      </w:r>
    </w:p>
    <w:p w14:paraId="178262D7" w14:textId="77777777" w:rsidR="0049554A" w:rsidRPr="00E10DCD" w:rsidRDefault="0049554A" w:rsidP="0049554A"/>
    <w:p w14:paraId="00168C67" w14:textId="77777777" w:rsidR="0049554A" w:rsidRPr="00E10DCD" w:rsidRDefault="0049554A" w:rsidP="0049554A"/>
    <w:p w14:paraId="7C150B07" w14:textId="77777777" w:rsidR="0049554A" w:rsidRPr="00E10DCD" w:rsidRDefault="0049554A" w:rsidP="0049554A"/>
    <w:p w14:paraId="0639024E" w14:textId="77777777" w:rsidR="00C77CE6" w:rsidRDefault="00C77CE6" w:rsidP="00C77CE6"/>
    <w:p w14:paraId="0721D024" w14:textId="77777777" w:rsidR="00C77CE6" w:rsidRDefault="00C77CE6" w:rsidP="00C77CE6"/>
    <w:p w14:paraId="6F74F49F" w14:textId="77777777" w:rsidR="00C77CE6" w:rsidRDefault="00C77CE6" w:rsidP="00C77CE6"/>
    <w:p w14:paraId="146C8386" w14:textId="77777777" w:rsidR="00C77CE6" w:rsidRDefault="00C77CE6" w:rsidP="00C77CE6"/>
    <w:p w14:paraId="4C4536F7" w14:textId="77777777" w:rsidR="00C77CE6" w:rsidRDefault="00C77CE6" w:rsidP="00C77CE6"/>
    <w:p w14:paraId="42EB004B" w14:textId="77777777" w:rsidR="00C77CE6" w:rsidRDefault="00C77CE6" w:rsidP="00C77CE6"/>
    <w:p w14:paraId="00F9584D" w14:textId="77777777" w:rsidR="0049554A" w:rsidRDefault="0049554A" w:rsidP="00C77CE6"/>
    <w:p w14:paraId="1B24B487" w14:textId="77777777" w:rsidR="00C77CE6" w:rsidRPr="00C77CE6" w:rsidRDefault="00C77CE6" w:rsidP="00C77CE6"/>
    <w:p w14:paraId="702FE43E" w14:textId="36DD3DA5" w:rsidR="00B614B5" w:rsidRPr="00314036" w:rsidRDefault="00B614B5" w:rsidP="005E5A38">
      <w:pPr>
        <w:pStyle w:val="TM1"/>
      </w:pPr>
    </w:p>
    <w:p w14:paraId="7D9CFA8A" w14:textId="585C31EC" w:rsidR="000E019B" w:rsidRPr="005E5A38" w:rsidRDefault="00593284" w:rsidP="005E5A38">
      <w:pPr>
        <w:pStyle w:val="TM1"/>
      </w:pPr>
      <w:r w:rsidRPr="005E5A38">
        <w:t>Table</w:t>
      </w:r>
      <w:r w:rsidR="005E5A38" w:rsidRPr="005E5A38">
        <w:t xml:space="preserve"> des matières</w:t>
      </w:r>
    </w:p>
    <w:p w14:paraId="2F6EA56B" w14:textId="24A25A3F" w:rsidR="00266B1F" w:rsidRDefault="00674AF7">
      <w:pPr>
        <w:pStyle w:val="TM1"/>
        <w:rPr>
          <w:b w:val="0"/>
          <w:bCs w:val="0"/>
        </w:rPr>
      </w:pPr>
      <w:r>
        <w:fldChar w:fldCharType="begin"/>
      </w:r>
      <w:r>
        <w:instrText xml:space="preserve"> TOC \o "1-3" \h \z \u </w:instrText>
      </w:r>
      <w:r>
        <w:fldChar w:fldCharType="separate"/>
      </w:r>
      <w:hyperlink w:anchor="_Toc233625991" w:history="1">
        <w:r w:rsidR="00266B1F" w:rsidRPr="0027322A">
          <w:rPr>
            <w:rStyle w:val="Lienhypertexte"/>
          </w:rPr>
          <w:t>I.</w:t>
        </w:r>
        <w:r w:rsidR="00266B1F">
          <w:rPr>
            <w:b w:val="0"/>
            <w:bCs w:val="0"/>
          </w:rPr>
          <w:tab/>
        </w:r>
        <w:r w:rsidR="00266B1F" w:rsidRPr="0027322A">
          <w:rPr>
            <w:rStyle w:val="Lienhypertexte"/>
          </w:rPr>
          <w:t>Réformes récentes ou en cours et informations utiles</w:t>
        </w:r>
        <w:r w:rsidR="00266B1F">
          <w:rPr>
            <w:webHidden/>
          </w:rPr>
          <w:tab/>
        </w:r>
        <w:r w:rsidR="00266B1F">
          <w:rPr>
            <w:webHidden/>
          </w:rPr>
          <w:fldChar w:fldCharType="begin"/>
        </w:r>
        <w:r w:rsidR="00266B1F">
          <w:rPr>
            <w:webHidden/>
          </w:rPr>
          <w:instrText xml:space="preserve"> PAGEREF _Toc233625991 \h </w:instrText>
        </w:r>
        <w:r w:rsidR="00266B1F">
          <w:rPr>
            <w:webHidden/>
          </w:rPr>
        </w:r>
        <w:r w:rsidR="00266B1F">
          <w:rPr>
            <w:webHidden/>
          </w:rPr>
          <w:fldChar w:fldCharType="separate"/>
        </w:r>
        <w:r w:rsidR="001E3978">
          <w:rPr>
            <w:webHidden/>
          </w:rPr>
          <w:t>18</w:t>
        </w:r>
        <w:r w:rsidR="00266B1F">
          <w:rPr>
            <w:webHidden/>
          </w:rPr>
          <w:fldChar w:fldCharType="end"/>
        </w:r>
      </w:hyperlink>
    </w:p>
    <w:p w14:paraId="42CCB836" w14:textId="13AAE65E" w:rsidR="00266B1F" w:rsidRDefault="00266B1F">
      <w:pPr>
        <w:pStyle w:val="TM2"/>
        <w:tabs>
          <w:tab w:val="left" w:pos="720"/>
          <w:tab w:val="right" w:leader="dot" w:pos="8630"/>
        </w:tabs>
        <w:rPr>
          <w:noProof/>
          <w:kern w:val="2"/>
          <w:sz w:val="24"/>
          <w:szCs w:val="24"/>
          <w:lang w:eastAsia="fr-BE"/>
          <w14:ligatures w14:val="standardContextual"/>
        </w:rPr>
      </w:pPr>
      <w:hyperlink w:anchor="_Toc233625992" w:history="1">
        <w:r w:rsidRPr="0027322A">
          <w:rPr>
            <w:rStyle w:val="Lienhypertexte"/>
            <w:noProof/>
          </w:rPr>
          <w:t>1.</w:t>
        </w:r>
        <w:r>
          <w:rPr>
            <w:noProof/>
            <w:kern w:val="2"/>
            <w:sz w:val="24"/>
            <w:szCs w:val="24"/>
            <w:lang w:eastAsia="fr-BE"/>
            <w14:ligatures w14:val="standardContextual"/>
          </w:rPr>
          <w:tab/>
        </w:r>
        <w:r w:rsidRPr="0027322A">
          <w:rPr>
            <w:rStyle w:val="Lienhypertexte"/>
            <w:noProof/>
          </w:rPr>
          <w:t>La circulaire devient une FAQ</w:t>
        </w:r>
        <w:r>
          <w:rPr>
            <w:noProof/>
            <w:webHidden/>
          </w:rPr>
          <w:tab/>
        </w:r>
        <w:r>
          <w:rPr>
            <w:noProof/>
            <w:webHidden/>
          </w:rPr>
          <w:fldChar w:fldCharType="begin"/>
        </w:r>
        <w:r>
          <w:rPr>
            <w:noProof/>
            <w:webHidden/>
          </w:rPr>
          <w:instrText xml:space="preserve"> PAGEREF _Toc233625992 \h </w:instrText>
        </w:r>
        <w:r>
          <w:rPr>
            <w:noProof/>
            <w:webHidden/>
          </w:rPr>
        </w:r>
        <w:r>
          <w:rPr>
            <w:noProof/>
            <w:webHidden/>
          </w:rPr>
          <w:fldChar w:fldCharType="separate"/>
        </w:r>
        <w:r w:rsidR="001E3978">
          <w:rPr>
            <w:noProof/>
            <w:webHidden/>
          </w:rPr>
          <w:t>18</w:t>
        </w:r>
        <w:r>
          <w:rPr>
            <w:noProof/>
            <w:webHidden/>
          </w:rPr>
          <w:fldChar w:fldCharType="end"/>
        </w:r>
      </w:hyperlink>
    </w:p>
    <w:p w14:paraId="42C3CE40" w14:textId="24C685E5" w:rsidR="00266B1F" w:rsidRDefault="00266B1F">
      <w:pPr>
        <w:pStyle w:val="TM2"/>
        <w:tabs>
          <w:tab w:val="left" w:pos="720"/>
          <w:tab w:val="right" w:leader="dot" w:pos="8630"/>
        </w:tabs>
        <w:rPr>
          <w:noProof/>
          <w:kern w:val="2"/>
          <w:sz w:val="24"/>
          <w:szCs w:val="24"/>
          <w:lang w:eastAsia="fr-BE"/>
          <w14:ligatures w14:val="standardContextual"/>
        </w:rPr>
      </w:pPr>
      <w:hyperlink w:anchor="_Toc233625993" w:history="1">
        <w:r w:rsidRPr="0027322A">
          <w:rPr>
            <w:rStyle w:val="Lienhypertexte"/>
            <w:noProof/>
          </w:rPr>
          <w:t>2.</w:t>
        </w:r>
        <w:r>
          <w:rPr>
            <w:noProof/>
            <w:kern w:val="2"/>
            <w:sz w:val="24"/>
            <w:szCs w:val="24"/>
            <w:lang w:eastAsia="fr-BE"/>
            <w14:ligatures w14:val="standardContextual"/>
          </w:rPr>
          <w:tab/>
        </w:r>
        <w:r w:rsidRPr="0027322A">
          <w:rPr>
            <w:rStyle w:val="Lienhypertexte"/>
            <w:noProof/>
          </w:rPr>
          <w:t>Réforme en cours</w:t>
        </w:r>
        <w:r>
          <w:rPr>
            <w:noProof/>
            <w:webHidden/>
          </w:rPr>
          <w:tab/>
        </w:r>
        <w:r>
          <w:rPr>
            <w:noProof/>
            <w:webHidden/>
          </w:rPr>
          <w:fldChar w:fldCharType="begin"/>
        </w:r>
        <w:r>
          <w:rPr>
            <w:noProof/>
            <w:webHidden/>
          </w:rPr>
          <w:instrText xml:space="preserve"> PAGEREF _Toc233625993 \h </w:instrText>
        </w:r>
        <w:r>
          <w:rPr>
            <w:noProof/>
            <w:webHidden/>
          </w:rPr>
        </w:r>
        <w:r>
          <w:rPr>
            <w:noProof/>
            <w:webHidden/>
          </w:rPr>
          <w:fldChar w:fldCharType="separate"/>
        </w:r>
        <w:r w:rsidR="001E3978">
          <w:rPr>
            <w:noProof/>
            <w:webHidden/>
          </w:rPr>
          <w:t>19</w:t>
        </w:r>
        <w:r>
          <w:rPr>
            <w:noProof/>
            <w:webHidden/>
          </w:rPr>
          <w:fldChar w:fldCharType="end"/>
        </w:r>
      </w:hyperlink>
    </w:p>
    <w:p w14:paraId="6CCC56E5" w14:textId="223E2326" w:rsidR="00266B1F" w:rsidRDefault="00266B1F">
      <w:pPr>
        <w:pStyle w:val="TM2"/>
        <w:tabs>
          <w:tab w:val="left" w:pos="720"/>
          <w:tab w:val="right" w:leader="dot" w:pos="8630"/>
        </w:tabs>
        <w:rPr>
          <w:noProof/>
          <w:kern w:val="2"/>
          <w:sz w:val="24"/>
          <w:szCs w:val="24"/>
          <w:lang w:eastAsia="fr-BE"/>
          <w14:ligatures w14:val="standardContextual"/>
        </w:rPr>
      </w:pPr>
      <w:hyperlink w:anchor="_Toc233625995" w:history="1">
        <w:r w:rsidRPr="0027322A">
          <w:rPr>
            <w:rStyle w:val="Lienhypertexte"/>
            <w:noProof/>
          </w:rPr>
          <w:t>3.</w:t>
        </w:r>
        <w:r>
          <w:rPr>
            <w:noProof/>
            <w:kern w:val="2"/>
            <w:sz w:val="24"/>
            <w:szCs w:val="24"/>
            <w:lang w:eastAsia="fr-BE"/>
            <w14:ligatures w14:val="standardContextual"/>
          </w:rPr>
          <w:tab/>
        </w:r>
        <w:r w:rsidRPr="0027322A">
          <w:rPr>
            <w:rStyle w:val="Lienhypertexte"/>
            <w:noProof/>
          </w:rPr>
          <w:t>Initiatives du Vivre Ensemble</w:t>
        </w:r>
        <w:r>
          <w:rPr>
            <w:noProof/>
            <w:webHidden/>
          </w:rPr>
          <w:tab/>
        </w:r>
        <w:r>
          <w:rPr>
            <w:noProof/>
            <w:webHidden/>
          </w:rPr>
          <w:fldChar w:fldCharType="begin"/>
        </w:r>
        <w:r>
          <w:rPr>
            <w:noProof/>
            <w:webHidden/>
          </w:rPr>
          <w:instrText xml:space="preserve"> PAGEREF _Toc233625995 \h </w:instrText>
        </w:r>
        <w:r>
          <w:rPr>
            <w:noProof/>
            <w:webHidden/>
          </w:rPr>
        </w:r>
        <w:r>
          <w:rPr>
            <w:noProof/>
            <w:webHidden/>
          </w:rPr>
          <w:fldChar w:fldCharType="separate"/>
        </w:r>
        <w:r w:rsidR="001E3978">
          <w:rPr>
            <w:noProof/>
            <w:webHidden/>
          </w:rPr>
          <w:t>20</w:t>
        </w:r>
        <w:r>
          <w:rPr>
            <w:noProof/>
            <w:webHidden/>
          </w:rPr>
          <w:fldChar w:fldCharType="end"/>
        </w:r>
      </w:hyperlink>
    </w:p>
    <w:p w14:paraId="762E93BD" w14:textId="0B594859" w:rsidR="00266B1F" w:rsidRDefault="00266B1F">
      <w:pPr>
        <w:pStyle w:val="TM2"/>
        <w:tabs>
          <w:tab w:val="left" w:pos="720"/>
          <w:tab w:val="right" w:leader="dot" w:pos="8630"/>
        </w:tabs>
        <w:rPr>
          <w:noProof/>
          <w:kern w:val="2"/>
          <w:sz w:val="24"/>
          <w:szCs w:val="24"/>
          <w:lang w:eastAsia="fr-BE"/>
          <w14:ligatures w14:val="standardContextual"/>
        </w:rPr>
      </w:pPr>
      <w:hyperlink w:anchor="_Toc233625996" w:history="1">
        <w:r w:rsidRPr="0027322A">
          <w:rPr>
            <w:rStyle w:val="Lienhypertexte"/>
            <w:noProof/>
          </w:rPr>
          <w:t>4.</w:t>
        </w:r>
        <w:r>
          <w:rPr>
            <w:noProof/>
            <w:kern w:val="2"/>
            <w:sz w:val="24"/>
            <w:szCs w:val="24"/>
            <w:lang w:eastAsia="fr-BE"/>
            <w14:ligatures w14:val="standardContextual"/>
          </w:rPr>
          <w:tab/>
        </w:r>
        <w:r w:rsidRPr="0027322A">
          <w:rPr>
            <w:rStyle w:val="Lienhypertexte"/>
            <w:noProof/>
          </w:rPr>
          <w:t>Réforme de la fonction publique locale</w:t>
        </w:r>
        <w:r>
          <w:rPr>
            <w:noProof/>
            <w:webHidden/>
          </w:rPr>
          <w:tab/>
        </w:r>
        <w:r>
          <w:rPr>
            <w:noProof/>
            <w:webHidden/>
          </w:rPr>
          <w:fldChar w:fldCharType="begin"/>
        </w:r>
        <w:r>
          <w:rPr>
            <w:noProof/>
            <w:webHidden/>
          </w:rPr>
          <w:instrText xml:space="preserve"> PAGEREF _Toc233625996 \h </w:instrText>
        </w:r>
        <w:r>
          <w:rPr>
            <w:noProof/>
            <w:webHidden/>
          </w:rPr>
        </w:r>
        <w:r>
          <w:rPr>
            <w:noProof/>
            <w:webHidden/>
          </w:rPr>
          <w:fldChar w:fldCharType="separate"/>
        </w:r>
        <w:r w:rsidR="001E3978">
          <w:rPr>
            <w:noProof/>
            <w:webHidden/>
          </w:rPr>
          <w:t>21</w:t>
        </w:r>
        <w:r>
          <w:rPr>
            <w:noProof/>
            <w:webHidden/>
          </w:rPr>
          <w:fldChar w:fldCharType="end"/>
        </w:r>
      </w:hyperlink>
    </w:p>
    <w:p w14:paraId="73E69FEF" w14:textId="5E9FC832" w:rsidR="00266B1F" w:rsidRDefault="00266B1F">
      <w:pPr>
        <w:pStyle w:val="TM3"/>
        <w:tabs>
          <w:tab w:val="right" w:leader="dot" w:pos="8630"/>
        </w:tabs>
        <w:rPr>
          <w:noProof/>
          <w:kern w:val="2"/>
          <w:sz w:val="24"/>
          <w:szCs w:val="24"/>
          <w:lang w:eastAsia="fr-BE"/>
          <w14:ligatures w14:val="standardContextual"/>
        </w:rPr>
      </w:pPr>
      <w:hyperlink w:anchor="_Toc233625997" w:history="1">
        <w:r w:rsidRPr="0027322A">
          <w:rPr>
            <w:rStyle w:val="Lienhypertexte"/>
            <w:noProof/>
          </w:rPr>
          <w:t>Évolutions relatives aux grades légaux communs entre la commune et le CPAS</w:t>
        </w:r>
        <w:r>
          <w:rPr>
            <w:noProof/>
            <w:webHidden/>
          </w:rPr>
          <w:tab/>
        </w:r>
        <w:r>
          <w:rPr>
            <w:noProof/>
            <w:webHidden/>
          </w:rPr>
          <w:fldChar w:fldCharType="begin"/>
        </w:r>
        <w:r>
          <w:rPr>
            <w:noProof/>
            <w:webHidden/>
          </w:rPr>
          <w:instrText xml:space="preserve"> PAGEREF _Toc233625997 \h </w:instrText>
        </w:r>
        <w:r>
          <w:rPr>
            <w:noProof/>
            <w:webHidden/>
          </w:rPr>
        </w:r>
        <w:r>
          <w:rPr>
            <w:noProof/>
            <w:webHidden/>
          </w:rPr>
          <w:fldChar w:fldCharType="separate"/>
        </w:r>
        <w:r w:rsidR="001E3978">
          <w:rPr>
            <w:noProof/>
            <w:webHidden/>
          </w:rPr>
          <w:t>21</w:t>
        </w:r>
        <w:r>
          <w:rPr>
            <w:noProof/>
            <w:webHidden/>
          </w:rPr>
          <w:fldChar w:fldCharType="end"/>
        </w:r>
      </w:hyperlink>
    </w:p>
    <w:p w14:paraId="719291C7" w14:textId="709CF808" w:rsidR="00266B1F" w:rsidRDefault="00266B1F">
      <w:pPr>
        <w:pStyle w:val="TM3"/>
        <w:tabs>
          <w:tab w:val="right" w:leader="dot" w:pos="8630"/>
        </w:tabs>
        <w:rPr>
          <w:noProof/>
          <w:kern w:val="2"/>
          <w:sz w:val="24"/>
          <w:szCs w:val="24"/>
          <w:lang w:eastAsia="fr-BE"/>
          <w14:ligatures w14:val="standardContextual"/>
        </w:rPr>
      </w:pPr>
      <w:hyperlink w:anchor="_Toc233625998" w:history="1">
        <w:r w:rsidRPr="0027322A">
          <w:rPr>
            <w:rStyle w:val="Lienhypertexte"/>
            <w:noProof/>
          </w:rPr>
          <w:t>Évolutions relatives au régime d’emploi au sein de la fonction publique locale</w:t>
        </w:r>
        <w:r>
          <w:rPr>
            <w:noProof/>
            <w:webHidden/>
          </w:rPr>
          <w:tab/>
        </w:r>
        <w:r>
          <w:rPr>
            <w:noProof/>
            <w:webHidden/>
          </w:rPr>
          <w:fldChar w:fldCharType="begin"/>
        </w:r>
        <w:r>
          <w:rPr>
            <w:noProof/>
            <w:webHidden/>
          </w:rPr>
          <w:instrText xml:space="preserve"> PAGEREF _Toc233625998 \h </w:instrText>
        </w:r>
        <w:r>
          <w:rPr>
            <w:noProof/>
            <w:webHidden/>
          </w:rPr>
        </w:r>
        <w:r>
          <w:rPr>
            <w:noProof/>
            <w:webHidden/>
          </w:rPr>
          <w:fldChar w:fldCharType="separate"/>
        </w:r>
        <w:r w:rsidR="001E3978">
          <w:rPr>
            <w:noProof/>
            <w:webHidden/>
          </w:rPr>
          <w:t>23</w:t>
        </w:r>
        <w:r>
          <w:rPr>
            <w:noProof/>
            <w:webHidden/>
          </w:rPr>
          <w:fldChar w:fldCharType="end"/>
        </w:r>
      </w:hyperlink>
    </w:p>
    <w:p w14:paraId="1EEF662C" w14:textId="611103B1" w:rsidR="00266B1F" w:rsidRDefault="00266B1F">
      <w:pPr>
        <w:pStyle w:val="TM2"/>
        <w:tabs>
          <w:tab w:val="left" w:pos="720"/>
          <w:tab w:val="right" w:leader="dot" w:pos="8630"/>
        </w:tabs>
        <w:rPr>
          <w:noProof/>
          <w:kern w:val="2"/>
          <w:sz w:val="24"/>
          <w:szCs w:val="24"/>
          <w:lang w:eastAsia="fr-BE"/>
          <w14:ligatures w14:val="standardContextual"/>
        </w:rPr>
      </w:pPr>
      <w:hyperlink w:anchor="_Toc233625999" w:history="1">
        <w:r w:rsidRPr="0027322A">
          <w:rPr>
            <w:rStyle w:val="Lienhypertexte"/>
            <w:noProof/>
          </w:rPr>
          <w:t>5.</w:t>
        </w:r>
        <w:r>
          <w:rPr>
            <w:noProof/>
            <w:kern w:val="2"/>
            <w:sz w:val="24"/>
            <w:szCs w:val="24"/>
            <w:lang w:eastAsia="fr-BE"/>
            <w14:ligatures w14:val="standardContextual"/>
          </w:rPr>
          <w:tab/>
        </w:r>
        <w:r w:rsidRPr="0027322A">
          <w:rPr>
            <w:rStyle w:val="Lienhypertexte"/>
            <w:noProof/>
          </w:rPr>
          <w:t>Réforme de l’établissement des taxes locales et du recouvrement des créances fiscales et non fiscales</w:t>
        </w:r>
        <w:r>
          <w:rPr>
            <w:noProof/>
            <w:webHidden/>
          </w:rPr>
          <w:tab/>
        </w:r>
        <w:r>
          <w:rPr>
            <w:noProof/>
            <w:webHidden/>
          </w:rPr>
          <w:fldChar w:fldCharType="begin"/>
        </w:r>
        <w:r>
          <w:rPr>
            <w:noProof/>
            <w:webHidden/>
          </w:rPr>
          <w:instrText xml:space="preserve"> PAGEREF _Toc233625999 \h </w:instrText>
        </w:r>
        <w:r>
          <w:rPr>
            <w:noProof/>
            <w:webHidden/>
          </w:rPr>
        </w:r>
        <w:r>
          <w:rPr>
            <w:noProof/>
            <w:webHidden/>
          </w:rPr>
          <w:fldChar w:fldCharType="separate"/>
        </w:r>
        <w:r w:rsidR="001E3978">
          <w:rPr>
            <w:noProof/>
            <w:webHidden/>
          </w:rPr>
          <w:t>24</w:t>
        </w:r>
        <w:r>
          <w:rPr>
            <w:noProof/>
            <w:webHidden/>
          </w:rPr>
          <w:fldChar w:fldCharType="end"/>
        </w:r>
      </w:hyperlink>
    </w:p>
    <w:p w14:paraId="612F6898" w14:textId="57E11BD2" w:rsidR="00266B1F" w:rsidRDefault="00266B1F">
      <w:pPr>
        <w:pStyle w:val="TM2"/>
        <w:tabs>
          <w:tab w:val="left" w:pos="720"/>
          <w:tab w:val="right" w:leader="dot" w:pos="8630"/>
        </w:tabs>
        <w:rPr>
          <w:noProof/>
          <w:kern w:val="2"/>
          <w:sz w:val="24"/>
          <w:szCs w:val="24"/>
          <w:lang w:eastAsia="fr-BE"/>
          <w14:ligatures w14:val="standardContextual"/>
        </w:rPr>
      </w:pPr>
      <w:hyperlink w:anchor="_Toc233626000" w:history="1">
        <w:r w:rsidRPr="0027322A">
          <w:rPr>
            <w:rStyle w:val="Lienhypertexte"/>
            <w:noProof/>
            <w:lang w:val="fr-FR"/>
          </w:rPr>
          <w:t>6.</w:t>
        </w:r>
        <w:r>
          <w:rPr>
            <w:noProof/>
            <w:kern w:val="2"/>
            <w:sz w:val="24"/>
            <w:szCs w:val="24"/>
            <w:lang w:eastAsia="fr-BE"/>
            <w14:ligatures w14:val="standardContextual"/>
          </w:rPr>
          <w:tab/>
        </w:r>
        <w:r w:rsidRPr="0027322A">
          <w:rPr>
            <w:rStyle w:val="Lienhypertexte"/>
            <w:noProof/>
            <w:lang w:val="fr-FR"/>
          </w:rPr>
          <w:t>Compensation de la somme non versée du Fonds des communes</w:t>
        </w:r>
        <w:r>
          <w:rPr>
            <w:noProof/>
            <w:webHidden/>
          </w:rPr>
          <w:tab/>
        </w:r>
        <w:r>
          <w:rPr>
            <w:noProof/>
            <w:webHidden/>
          </w:rPr>
          <w:fldChar w:fldCharType="begin"/>
        </w:r>
        <w:r>
          <w:rPr>
            <w:noProof/>
            <w:webHidden/>
          </w:rPr>
          <w:instrText xml:space="preserve"> PAGEREF _Toc233626000 \h </w:instrText>
        </w:r>
        <w:r>
          <w:rPr>
            <w:noProof/>
            <w:webHidden/>
          </w:rPr>
        </w:r>
        <w:r>
          <w:rPr>
            <w:noProof/>
            <w:webHidden/>
          </w:rPr>
          <w:fldChar w:fldCharType="separate"/>
        </w:r>
        <w:r w:rsidR="001E3978">
          <w:rPr>
            <w:noProof/>
            <w:webHidden/>
          </w:rPr>
          <w:t>25</w:t>
        </w:r>
        <w:r>
          <w:rPr>
            <w:noProof/>
            <w:webHidden/>
          </w:rPr>
          <w:fldChar w:fldCharType="end"/>
        </w:r>
      </w:hyperlink>
    </w:p>
    <w:p w14:paraId="72CC7B6A" w14:textId="652153DB" w:rsidR="00266B1F" w:rsidRDefault="00266B1F">
      <w:pPr>
        <w:pStyle w:val="TM2"/>
        <w:tabs>
          <w:tab w:val="left" w:pos="720"/>
          <w:tab w:val="right" w:leader="dot" w:pos="8630"/>
        </w:tabs>
        <w:rPr>
          <w:noProof/>
          <w:kern w:val="2"/>
          <w:sz w:val="24"/>
          <w:szCs w:val="24"/>
          <w:lang w:eastAsia="fr-BE"/>
          <w14:ligatures w14:val="standardContextual"/>
        </w:rPr>
      </w:pPr>
      <w:hyperlink w:anchor="_Toc233626001" w:history="1">
        <w:r w:rsidRPr="0027322A">
          <w:rPr>
            <w:rStyle w:val="Lienhypertexte"/>
            <w:noProof/>
          </w:rPr>
          <w:t>7.</w:t>
        </w:r>
        <w:r>
          <w:rPr>
            <w:noProof/>
            <w:kern w:val="2"/>
            <w:sz w:val="24"/>
            <w:szCs w:val="24"/>
            <w:lang w:eastAsia="fr-BE"/>
            <w14:ligatures w14:val="standardContextual"/>
          </w:rPr>
          <w:tab/>
        </w:r>
        <w:r w:rsidRPr="0027322A">
          <w:rPr>
            <w:rStyle w:val="Lienhypertexte"/>
            <w:noProof/>
          </w:rPr>
          <w:t>Taxe sur la force motrice</w:t>
        </w:r>
        <w:r>
          <w:rPr>
            <w:noProof/>
            <w:webHidden/>
          </w:rPr>
          <w:tab/>
        </w:r>
        <w:r>
          <w:rPr>
            <w:noProof/>
            <w:webHidden/>
          </w:rPr>
          <w:fldChar w:fldCharType="begin"/>
        </w:r>
        <w:r>
          <w:rPr>
            <w:noProof/>
            <w:webHidden/>
          </w:rPr>
          <w:instrText xml:space="preserve"> PAGEREF _Toc233626001 \h </w:instrText>
        </w:r>
        <w:r>
          <w:rPr>
            <w:noProof/>
            <w:webHidden/>
          </w:rPr>
        </w:r>
        <w:r>
          <w:rPr>
            <w:noProof/>
            <w:webHidden/>
          </w:rPr>
          <w:fldChar w:fldCharType="separate"/>
        </w:r>
        <w:r w:rsidR="001E3978">
          <w:rPr>
            <w:noProof/>
            <w:webHidden/>
          </w:rPr>
          <w:t>26</w:t>
        </w:r>
        <w:r>
          <w:rPr>
            <w:noProof/>
            <w:webHidden/>
          </w:rPr>
          <w:fldChar w:fldCharType="end"/>
        </w:r>
      </w:hyperlink>
    </w:p>
    <w:p w14:paraId="29A77670" w14:textId="32918D31" w:rsidR="00266B1F" w:rsidRDefault="00266B1F">
      <w:pPr>
        <w:pStyle w:val="TM2"/>
        <w:tabs>
          <w:tab w:val="left" w:pos="720"/>
          <w:tab w:val="right" w:leader="dot" w:pos="8630"/>
        </w:tabs>
        <w:rPr>
          <w:noProof/>
          <w:kern w:val="2"/>
          <w:sz w:val="24"/>
          <w:szCs w:val="24"/>
          <w:lang w:eastAsia="fr-BE"/>
          <w14:ligatures w14:val="standardContextual"/>
        </w:rPr>
      </w:pPr>
      <w:hyperlink w:anchor="_Toc233626002" w:history="1">
        <w:r w:rsidRPr="0027322A">
          <w:rPr>
            <w:rStyle w:val="Lienhypertexte"/>
            <w:noProof/>
          </w:rPr>
          <w:t>8.</w:t>
        </w:r>
        <w:r>
          <w:rPr>
            <w:noProof/>
            <w:kern w:val="2"/>
            <w:sz w:val="24"/>
            <w:szCs w:val="24"/>
            <w:lang w:eastAsia="fr-BE"/>
            <w14:ligatures w14:val="standardContextual"/>
          </w:rPr>
          <w:tab/>
        </w:r>
        <w:r w:rsidRPr="0027322A">
          <w:rPr>
            <w:rStyle w:val="Lienhypertexte"/>
            <w:noProof/>
          </w:rPr>
          <w:t>Sites d’activité économique désaffectés (SAED)</w:t>
        </w:r>
        <w:r>
          <w:rPr>
            <w:noProof/>
            <w:webHidden/>
          </w:rPr>
          <w:tab/>
        </w:r>
        <w:r>
          <w:rPr>
            <w:noProof/>
            <w:webHidden/>
          </w:rPr>
          <w:fldChar w:fldCharType="begin"/>
        </w:r>
        <w:r>
          <w:rPr>
            <w:noProof/>
            <w:webHidden/>
          </w:rPr>
          <w:instrText xml:space="preserve"> PAGEREF _Toc233626002 \h </w:instrText>
        </w:r>
        <w:r>
          <w:rPr>
            <w:noProof/>
            <w:webHidden/>
          </w:rPr>
        </w:r>
        <w:r>
          <w:rPr>
            <w:noProof/>
            <w:webHidden/>
          </w:rPr>
          <w:fldChar w:fldCharType="separate"/>
        </w:r>
        <w:r w:rsidR="001E3978">
          <w:rPr>
            <w:noProof/>
            <w:webHidden/>
          </w:rPr>
          <w:t>27</w:t>
        </w:r>
        <w:r>
          <w:rPr>
            <w:noProof/>
            <w:webHidden/>
          </w:rPr>
          <w:fldChar w:fldCharType="end"/>
        </w:r>
      </w:hyperlink>
    </w:p>
    <w:p w14:paraId="187773F1" w14:textId="49E60C7F" w:rsidR="00266B1F" w:rsidRDefault="00266B1F">
      <w:pPr>
        <w:pStyle w:val="TM3"/>
        <w:tabs>
          <w:tab w:val="right" w:leader="dot" w:pos="8630"/>
        </w:tabs>
        <w:rPr>
          <w:noProof/>
          <w:kern w:val="2"/>
          <w:sz w:val="24"/>
          <w:szCs w:val="24"/>
          <w:lang w:eastAsia="fr-BE"/>
          <w14:ligatures w14:val="standardContextual"/>
        </w:rPr>
      </w:pPr>
      <w:hyperlink w:anchor="_Toc233626003" w:history="1">
        <w:r w:rsidRPr="0027322A">
          <w:rPr>
            <w:rStyle w:val="Lienhypertexte"/>
            <w:noProof/>
          </w:rPr>
          <w:t>Le dispositif régional est-il pleinement opérationnel ?</w:t>
        </w:r>
        <w:r>
          <w:rPr>
            <w:noProof/>
            <w:webHidden/>
          </w:rPr>
          <w:tab/>
        </w:r>
        <w:r>
          <w:rPr>
            <w:noProof/>
            <w:webHidden/>
          </w:rPr>
          <w:fldChar w:fldCharType="begin"/>
        </w:r>
        <w:r>
          <w:rPr>
            <w:noProof/>
            <w:webHidden/>
          </w:rPr>
          <w:instrText xml:space="preserve"> PAGEREF _Toc233626003 \h </w:instrText>
        </w:r>
        <w:r>
          <w:rPr>
            <w:noProof/>
            <w:webHidden/>
          </w:rPr>
        </w:r>
        <w:r>
          <w:rPr>
            <w:noProof/>
            <w:webHidden/>
          </w:rPr>
          <w:fldChar w:fldCharType="separate"/>
        </w:r>
        <w:r w:rsidR="001E3978">
          <w:rPr>
            <w:noProof/>
            <w:webHidden/>
          </w:rPr>
          <w:t>27</w:t>
        </w:r>
        <w:r>
          <w:rPr>
            <w:noProof/>
            <w:webHidden/>
          </w:rPr>
          <w:fldChar w:fldCharType="end"/>
        </w:r>
      </w:hyperlink>
    </w:p>
    <w:p w14:paraId="39A7A271" w14:textId="013B3669" w:rsidR="00266B1F" w:rsidRDefault="00266B1F">
      <w:pPr>
        <w:pStyle w:val="TM2"/>
        <w:tabs>
          <w:tab w:val="left" w:pos="720"/>
          <w:tab w:val="right" w:leader="dot" w:pos="8630"/>
        </w:tabs>
        <w:rPr>
          <w:noProof/>
          <w:kern w:val="2"/>
          <w:sz w:val="24"/>
          <w:szCs w:val="24"/>
          <w:lang w:eastAsia="fr-BE"/>
          <w14:ligatures w14:val="standardContextual"/>
        </w:rPr>
      </w:pPr>
      <w:hyperlink w:anchor="_Toc233626004" w:history="1">
        <w:r w:rsidRPr="0027322A">
          <w:rPr>
            <w:rStyle w:val="Lienhypertexte"/>
            <w:noProof/>
            <w:lang w:val="fr-FR"/>
          </w:rPr>
          <w:t>9.</w:t>
        </w:r>
        <w:r>
          <w:rPr>
            <w:noProof/>
            <w:kern w:val="2"/>
            <w:sz w:val="24"/>
            <w:szCs w:val="24"/>
            <w:lang w:eastAsia="fr-BE"/>
            <w14:ligatures w14:val="standardContextual"/>
          </w:rPr>
          <w:tab/>
        </w:r>
        <w:r w:rsidRPr="0027322A">
          <w:rPr>
            <w:rStyle w:val="Lienhypertexte"/>
            <w:noProof/>
            <w:lang w:val="fr-FR"/>
          </w:rPr>
          <w:t>Les redevances communales liées aux chantiers réalisés sur voiries régionales</w:t>
        </w:r>
        <w:r>
          <w:rPr>
            <w:noProof/>
            <w:webHidden/>
          </w:rPr>
          <w:tab/>
        </w:r>
        <w:r>
          <w:rPr>
            <w:noProof/>
            <w:webHidden/>
          </w:rPr>
          <w:fldChar w:fldCharType="begin"/>
        </w:r>
        <w:r>
          <w:rPr>
            <w:noProof/>
            <w:webHidden/>
          </w:rPr>
          <w:instrText xml:space="preserve"> PAGEREF _Toc233626004 \h </w:instrText>
        </w:r>
        <w:r>
          <w:rPr>
            <w:noProof/>
            <w:webHidden/>
          </w:rPr>
        </w:r>
        <w:r>
          <w:rPr>
            <w:noProof/>
            <w:webHidden/>
          </w:rPr>
          <w:fldChar w:fldCharType="separate"/>
        </w:r>
        <w:r w:rsidR="001E3978">
          <w:rPr>
            <w:noProof/>
            <w:webHidden/>
          </w:rPr>
          <w:t>28</w:t>
        </w:r>
        <w:r>
          <w:rPr>
            <w:noProof/>
            <w:webHidden/>
          </w:rPr>
          <w:fldChar w:fldCharType="end"/>
        </w:r>
      </w:hyperlink>
    </w:p>
    <w:p w14:paraId="6F0FA43C" w14:textId="25B5D9C8" w:rsidR="00266B1F" w:rsidRDefault="00266B1F">
      <w:pPr>
        <w:pStyle w:val="TM2"/>
        <w:tabs>
          <w:tab w:val="left" w:pos="960"/>
          <w:tab w:val="right" w:leader="dot" w:pos="8630"/>
        </w:tabs>
        <w:rPr>
          <w:noProof/>
          <w:kern w:val="2"/>
          <w:sz w:val="24"/>
          <w:szCs w:val="24"/>
          <w:lang w:eastAsia="fr-BE"/>
          <w14:ligatures w14:val="standardContextual"/>
        </w:rPr>
      </w:pPr>
      <w:hyperlink w:anchor="_Toc233626005" w:history="1">
        <w:r w:rsidRPr="0027322A">
          <w:rPr>
            <w:rStyle w:val="Lienhypertexte"/>
            <w:noProof/>
          </w:rPr>
          <w:t>10.</w:t>
        </w:r>
        <w:r>
          <w:rPr>
            <w:noProof/>
            <w:kern w:val="2"/>
            <w:sz w:val="24"/>
            <w:szCs w:val="24"/>
            <w:lang w:eastAsia="fr-BE"/>
            <w14:ligatures w14:val="standardContextual"/>
          </w:rPr>
          <w:tab/>
        </w:r>
        <w:r w:rsidRPr="0027322A">
          <w:rPr>
            <w:rStyle w:val="Lienhypertexte"/>
            <w:noProof/>
          </w:rPr>
          <w:t>Motivation des règlements-taxes et redevances</w:t>
        </w:r>
        <w:r>
          <w:rPr>
            <w:noProof/>
            <w:webHidden/>
          </w:rPr>
          <w:tab/>
        </w:r>
        <w:r>
          <w:rPr>
            <w:noProof/>
            <w:webHidden/>
          </w:rPr>
          <w:fldChar w:fldCharType="begin"/>
        </w:r>
        <w:r>
          <w:rPr>
            <w:noProof/>
            <w:webHidden/>
          </w:rPr>
          <w:instrText xml:space="preserve"> PAGEREF _Toc233626005 \h </w:instrText>
        </w:r>
        <w:r>
          <w:rPr>
            <w:noProof/>
            <w:webHidden/>
          </w:rPr>
        </w:r>
        <w:r>
          <w:rPr>
            <w:noProof/>
            <w:webHidden/>
          </w:rPr>
          <w:fldChar w:fldCharType="separate"/>
        </w:r>
        <w:r w:rsidR="001E3978">
          <w:rPr>
            <w:noProof/>
            <w:webHidden/>
          </w:rPr>
          <w:t>29</w:t>
        </w:r>
        <w:r>
          <w:rPr>
            <w:noProof/>
            <w:webHidden/>
          </w:rPr>
          <w:fldChar w:fldCharType="end"/>
        </w:r>
      </w:hyperlink>
    </w:p>
    <w:p w14:paraId="461C942C" w14:textId="1580CB39" w:rsidR="00266B1F" w:rsidRDefault="00266B1F">
      <w:pPr>
        <w:pStyle w:val="TM3"/>
        <w:tabs>
          <w:tab w:val="right" w:leader="dot" w:pos="8630"/>
        </w:tabs>
        <w:rPr>
          <w:noProof/>
          <w:kern w:val="2"/>
          <w:sz w:val="24"/>
          <w:szCs w:val="24"/>
          <w:lang w:eastAsia="fr-BE"/>
          <w14:ligatures w14:val="standardContextual"/>
        </w:rPr>
      </w:pPr>
      <w:hyperlink w:anchor="_Toc233626006" w:history="1">
        <w:r w:rsidRPr="0027322A">
          <w:rPr>
            <w:rStyle w:val="Lienhypertexte"/>
            <w:noProof/>
          </w:rPr>
          <w:t>Pourquoi la motivation écrite est-elle cruciale ?</w:t>
        </w:r>
        <w:r>
          <w:rPr>
            <w:noProof/>
            <w:webHidden/>
          </w:rPr>
          <w:tab/>
        </w:r>
        <w:r>
          <w:rPr>
            <w:noProof/>
            <w:webHidden/>
          </w:rPr>
          <w:fldChar w:fldCharType="begin"/>
        </w:r>
        <w:r>
          <w:rPr>
            <w:noProof/>
            <w:webHidden/>
          </w:rPr>
          <w:instrText xml:space="preserve"> PAGEREF _Toc233626006 \h </w:instrText>
        </w:r>
        <w:r>
          <w:rPr>
            <w:noProof/>
            <w:webHidden/>
          </w:rPr>
        </w:r>
        <w:r>
          <w:rPr>
            <w:noProof/>
            <w:webHidden/>
          </w:rPr>
          <w:fldChar w:fldCharType="separate"/>
        </w:r>
        <w:r w:rsidR="001E3978">
          <w:rPr>
            <w:noProof/>
            <w:webHidden/>
          </w:rPr>
          <w:t>29</w:t>
        </w:r>
        <w:r>
          <w:rPr>
            <w:noProof/>
            <w:webHidden/>
          </w:rPr>
          <w:fldChar w:fldCharType="end"/>
        </w:r>
      </w:hyperlink>
    </w:p>
    <w:p w14:paraId="516D37EC" w14:textId="055FACDD" w:rsidR="00266B1F" w:rsidRDefault="00266B1F">
      <w:pPr>
        <w:pStyle w:val="TM2"/>
        <w:tabs>
          <w:tab w:val="left" w:pos="960"/>
          <w:tab w:val="right" w:leader="dot" w:pos="8630"/>
        </w:tabs>
        <w:rPr>
          <w:noProof/>
          <w:kern w:val="2"/>
          <w:sz w:val="24"/>
          <w:szCs w:val="24"/>
          <w:lang w:eastAsia="fr-BE"/>
          <w14:ligatures w14:val="standardContextual"/>
        </w:rPr>
      </w:pPr>
      <w:hyperlink w:anchor="_Toc233626008" w:history="1">
        <w:r w:rsidRPr="0027322A">
          <w:rPr>
            <w:rStyle w:val="Lienhypertexte"/>
            <w:noProof/>
          </w:rPr>
          <w:t>11.</w:t>
        </w:r>
        <w:r>
          <w:rPr>
            <w:noProof/>
            <w:kern w:val="2"/>
            <w:sz w:val="24"/>
            <w:szCs w:val="24"/>
            <w:lang w:eastAsia="fr-BE"/>
            <w14:ligatures w14:val="standardContextual"/>
          </w:rPr>
          <w:tab/>
        </w:r>
        <w:r w:rsidRPr="0027322A">
          <w:rPr>
            <w:rStyle w:val="Lienhypertexte"/>
            <w:noProof/>
          </w:rPr>
          <w:t>Taxe forfaitaire sur une activité économique</w:t>
        </w:r>
        <w:r>
          <w:rPr>
            <w:noProof/>
            <w:webHidden/>
          </w:rPr>
          <w:tab/>
        </w:r>
        <w:r>
          <w:rPr>
            <w:noProof/>
            <w:webHidden/>
          </w:rPr>
          <w:fldChar w:fldCharType="begin"/>
        </w:r>
        <w:r>
          <w:rPr>
            <w:noProof/>
            <w:webHidden/>
          </w:rPr>
          <w:instrText xml:space="preserve"> PAGEREF _Toc233626008 \h </w:instrText>
        </w:r>
        <w:r>
          <w:rPr>
            <w:noProof/>
            <w:webHidden/>
          </w:rPr>
        </w:r>
        <w:r>
          <w:rPr>
            <w:noProof/>
            <w:webHidden/>
          </w:rPr>
          <w:fldChar w:fldCharType="separate"/>
        </w:r>
        <w:r w:rsidR="001E3978">
          <w:rPr>
            <w:noProof/>
            <w:webHidden/>
          </w:rPr>
          <w:t>30</w:t>
        </w:r>
        <w:r>
          <w:rPr>
            <w:noProof/>
            <w:webHidden/>
          </w:rPr>
          <w:fldChar w:fldCharType="end"/>
        </w:r>
      </w:hyperlink>
    </w:p>
    <w:p w14:paraId="66072DB3" w14:textId="7556AA5D" w:rsidR="00266B1F" w:rsidRDefault="00266B1F">
      <w:pPr>
        <w:pStyle w:val="TM3"/>
        <w:tabs>
          <w:tab w:val="right" w:leader="dot" w:pos="8630"/>
        </w:tabs>
        <w:rPr>
          <w:noProof/>
          <w:kern w:val="2"/>
          <w:sz w:val="24"/>
          <w:szCs w:val="24"/>
          <w:lang w:eastAsia="fr-BE"/>
          <w14:ligatures w14:val="standardContextual"/>
        </w:rPr>
      </w:pPr>
      <w:hyperlink w:anchor="_Toc233626009" w:history="1">
        <w:r w:rsidRPr="0027322A">
          <w:rPr>
            <w:rStyle w:val="Lienhypertexte"/>
            <w:noProof/>
          </w:rPr>
          <w:t>Quel enseignement de l’arrêt de Cassation du 19/04/2021 ?</w:t>
        </w:r>
        <w:r>
          <w:rPr>
            <w:noProof/>
            <w:webHidden/>
          </w:rPr>
          <w:tab/>
        </w:r>
        <w:r>
          <w:rPr>
            <w:noProof/>
            <w:webHidden/>
          </w:rPr>
          <w:fldChar w:fldCharType="begin"/>
        </w:r>
        <w:r>
          <w:rPr>
            <w:noProof/>
            <w:webHidden/>
          </w:rPr>
          <w:instrText xml:space="preserve"> PAGEREF _Toc233626009 \h </w:instrText>
        </w:r>
        <w:r>
          <w:rPr>
            <w:noProof/>
            <w:webHidden/>
          </w:rPr>
        </w:r>
        <w:r>
          <w:rPr>
            <w:noProof/>
            <w:webHidden/>
          </w:rPr>
          <w:fldChar w:fldCharType="separate"/>
        </w:r>
        <w:r w:rsidR="001E3978">
          <w:rPr>
            <w:noProof/>
            <w:webHidden/>
          </w:rPr>
          <w:t>30</w:t>
        </w:r>
        <w:r>
          <w:rPr>
            <w:noProof/>
            <w:webHidden/>
          </w:rPr>
          <w:fldChar w:fldCharType="end"/>
        </w:r>
      </w:hyperlink>
    </w:p>
    <w:p w14:paraId="3C712B7B" w14:textId="642E7DA9" w:rsidR="00266B1F" w:rsidRDefault="00266B1F">
      <w:pPr>
        <w:pStyle w:val="TM2"/>
        <w:tabs>
          <w:tab w:val="left" w:pos="960"/>
          <w:tab w:val="right" w:leader="dot" w:pos="8630"/>
        </w:tabs>
        <w:rPr>
          <w:noProof/>
          <w:kern w:val="2"/>
          <w:sz w:val="24"/>
          <w:szCs w:val="24"/>
          <w:lang w:eastAsia="fr-BE"/>
          <w14:ligatures w14:val="standardContextual"/>
        </w:rPr>
      </w:pPr>
      <w:hyperlink w:anchor="_Toc233626011" w:history="1">
        <w:r w:rsidRPr="0027322A">
          <w:rPr>
            <w:rStyle w:val="Lienhypertexte"/>
            <w:noProof/>
          </w:rPr>
          <w:t>12.</w:t>
        </w:r>
        <w:r>
          <w:rPr>
            <w:noProof/>
            <w:kern w:val="2"/>
            <w:sz w:val="24"/>
            <w:szCs w:val="24"/>
            <w:lang w:eastAsia="fr-BE"/>
            <w14:ligatures w14:val="standardContextual"/>
          </w:rPr>
          <w:tab/>
        </w:r>
        <w:r w:rsidRPr="0027322A">
          <w:rPr>
            <w:rStyle w:val="Lienhypertexte"/>
            <w:noProof/>
          </w:rPr>
          <w:t>Taxes et redevances spécialement motivées par une situation particulière</w:t>
        </w:r>
        <w:r>
          <w:rPr>
            <w:noProof/>
            <w:webHidden/>
          </w:rPr>
          <w:tab/>
        </w:r>
        <w:r>
          <w:rPr>
            <w:noProof/>
            <w:webHidden/>
          </w:rPr>
          <w:fldChar w:fldCharType="begin"/>
        </w:r>
        <w:r>
          <w:rPr>
            <w:noProof/>
            <w:webHidden/>
          </w:rPr>
          <w:instrText xml:space="preserve"> PAGEREF _Toc233626011 \h </w:instrText>
        </w:r>
        <w:r>
          <w:rPr>
            <w:noProof/>
            <w:webHidden/>
          </w:rPr>
        </w:r>
        <w:r>
          <w:rPr>
            <w:noProof/>
            <w:webHidden/>
          </w:rPr>
          <w:fldChar w:fldCharType="separate"/>
        </w:r>
        <w:r w:rsidR="001E3978">
          <w:rPr>
            <w:noProof/>
            <w:webHidden/>
          </w:rPr>
          <w:t>31</w:t>
        </w:r>
        <w:r>
          <w:rPr>
            <w:noProof/>
            <w:webHidden/>
          </w:rPr>
          <w:fldChar w:fldCharType="end"/>
        </w:r>
      </w:hyperlink>
    </w:p>
    <w:p w14:paraId="5C9DE666" w14:textId="63484C7D" w:rsidR="00266B1F" w:rsidRDefault="00266B1F">
      <w:pPr>
        <w:pStyle w:val="TM3"/>
        <w:tabs>
          <w:tab w:val="right" w:leader="dot" w:pos="8630"/>
        </w:tabs>
        <w:rPr>
          <w:noProof/>
          <w:kern w:val="2"/>
          <w:sz w:val="24"/>
          <w:szCs w:val="24"/>
          <w:lang w:eastAsia="fr-BE"/>
          <w14:ligatures w14:val="standardContextual"/>
        </w:rPr>
      </w:pPr>
      <w:hyperlink w:anchor="_Toc233626012" w:history="1">
        <w:r w:rsidRPr="0027322A">
          <w:rPr>
            <w:rStyle w:val="Lienhypertexte"/>
            <w:noProof/>
          </w:rPr>
          <w:t>Quel est le principe général ?</w:t>
        </w:r>
        <w:r>
          <w:rPr>
            <w:noProof/>
            <w:webHidden/>
          </w:rPr>
          <w:tab/>
        </w:r>
        <w:r>
          <w:rPr>
            <w:noProof/>
            <w:webHidden/>
          </w:rPr>
          <w:fldChar w:fldCharType="begin"/>
        </w:r>
        <w:r>
          <w:rPr>
            <w:noProof/>
            <w:webHidden/>
          </w:rPr>
          <w:instrText xml:space="preserve"> PAGEREF _Toc233626012 \h </w:instrText>
        </w:r>
        <w:r>
          <w:rPr>
            <w:noProof/>
            <w:webHidden/>
          </w:rPr>
        </w:r>
        <w:r>
          <w:rPr>
            <w:noProof/>
            <w:webHidden/>
          </w:rPr>
          <w:fldChar w:fldCharType="separate"/>
        </w:r>
        <w:r w:rsidR="001E3978">
          <w:rPr>
            <w:noProof/>
            <w:webHidden/>
          </w:rPr>
          <w:t>31</w:t>
        </w:r>
        <w:r>
          <w:rPr>
            <w:noProof/>
            <w:webHidden/>
          </w:rPr>
          <w:fldChar w:fldCharType="end"/>
        </w:r>
      </w:hyperlink>
    </w:p>
    <w:p w14:paraId="309CB34B" w14:textId="30F9EE7B" w:rsidR="00266B1F" w:rsidRDefault="00266B1F">
      <w:pPr>
        <w:pStyle w:val="TM3"/>
        <w:tabs>
          <w:tab w:val="right" w:leader="dot" w:pos="8630"/>
        </w:tabs>
        <w:rPr>
          <w:noProof/>
          <w:kern w:val="2"/>
          <w:sz w:val="24"/>
          <w:szCs w:val="24"/>
          <w:lang w:eastAsia="fr-BE"/>
          <w14:ligatures w14:val="standardContextual"/>
        </w:rPr>
      </w:pPr>
      <w:hyperlink w:anchor="_Toc233626013" w:history="1">
        <w:r w:rsidRPr="0027322A">
          <w:rPr>
            <w:rStyle w:val="Lienhypertexte"/>
            <w:noProof/>
          </w:rPr>
          <w:t>Quand les envisager ?</w:t>
        </w:r>
        <w:r>
          <w:rPr>
            <w:noProof/>
            <w:webHidden/>
          </w:rPr>
          <w:tab/>
        </w:r>
        <w:r>
          <w:rPr>
            <w:noProof/>
            <w:webHidden/>
          </w:rPr>
          <w:fldChar w:fldCharType="begin"/>
        </w:r>
        <w:r>
          <w:rPr>
            <w:noProof/>
            <w:webHidden/>
          </w:rPr>
          <w:instrText xml:space="preserve"> PAGEREF _Toc233626013 \h </w:instrText>
        </w:r>
        <w:r>
          <w:rPr>
            <w:noProof/>
            <w:webHidden/>
          </w:rPr>
        </w:r>
        <w:r>
          <w:rPr>
            <w:noProof/>
            <w:webHidden/>
          </w:rPr>
          <w:fldChar w:fldCharType="separate"/>
        </w:r>
        <w:r w:rsidR="001E3978">
          <w:rPr>
            <w:noProof/>
            <w:webHidden/>
          </w:rPr>
          <w:t>31</w:t>
        </w:r>
        <w:r>
          <w:rPr>
            <w:noProof/>
            <w:webHidden/>
          </w:rPr>
          <w:fldChar w:fldCharType="end"/>
        </w:r>
      </w:hyperlink>
    </w:p>
    <w:p w14:paraId="06970EBB" w14:textId="20AABFB2" w:rsidR="00266B1F" w:rsidRDefault="00266B1F">
      <w:pPr>
        <w:pStyle w:val="TM3"/>
        <w:tabs>
          <w:tab w:val="right" w:leader="dot" w:pos="8630"/>
        </w:tabs>
        <w:rPr>
          <w:noProof/>
          <w:kern w:val="2"/>
          <w:sz w:val="24"/>
          <w:szCs w:val="24"/>
          <w:lang w:eastAsia="fr-BE"/>
          <w14:ligatures w14:val="standardContextual"/>
        </w:rPr>
      </w:pPr>
      <w:hyperlink w:anchor="_Toc233626014" w:history="1">
        <w:r w:rsidRPr="0027322A">
          <w:rPr>
            <w:rStyle w:val="Lienhypertexte"/>
            <w:noProof/>
          </w:rPr>
          <w:t>Taxe ou redevance ?</w:t>
        </w:r>
        <w:r>
          <w:rPr>
            <w:noProof/>
            <w:webHidden/>
          </w:rPr>
          <w:tab/>
        </w:r>
        <w:r>
          <w:rPr>
            <w:noProof/>
            <w:webHidden/>
          </w:rPr>
          <w:fldChar w:fldCharType="begin"/>
        </w:r>
        <w:r>
          <w:rPr>
            <w:noProof/>
            <w:webHidden/>
          </w:rPr>
          <w:instrText xml:space="preserve"> PAGEREF _Toc233626014 \h </w:instrText>
        </w:r>
        <w:r>
          <w:rPr>
            <w:noProof/>
            <w:webHidden/>
          </w:rPr>
        </w:r>
        <w:r>
          <w:rPr>
            <w:noProof/>
            <w:webHidden/>
          </w:rPr>
          <w:fldChar w:fldCharType="separate"/>
        </w:r>
        <w:r w:rsidR="001E3978">
          <w:rPr>
            <w:noProof/>
            <w:webHidden/>
          </w:rPr>
          <w:t>32</w:t>
        </w:r>
        <w:r>
          <w:rPr>
            <w:noProof/>
            <w:webHidden/>
          </w:rPr>
          <w:fldChar w:fldCharType="end"/>
        </w:r>
      </w:hyperlink>
    </w:p>
    <w:p w14:paraId="6C1CBE2C" w14:textId="0A5C2398" w:rsidR="00266B1F" w:rsidRDefault="00266B1F">
      <w:pPr>
        <w:pStyle w:val="TM3"/>
        <w:tabs>
          <w:tab w:val="right" w:leader="dot" w:pos="8630"/>
        </w:tabs>
        <w:rPr>
          <w:noProof/>
          <w:kern w:val="2"/>
          <w:sz w:val="24"/>
          <w:szCs w:val="24"/>
          <w:lang w:eastAsia="fr-BE"/>
          <w14:ligatures w14:val="standardContextual"/>
        </w:rPr>
      </w:pPr>
      <w:hyperlink w:anchor="_Toc233626015" w:history="1">
        <w:r w:rsidRPr="0027322A">
          <w:rPr>
            <w:rStyle w:val="Lienhypertexte"/>
            <w:noProof/>
          </w:rPr>
          <w:t>Comment les envisager ?</w:t>
        </w:r>
        <w:r>
          <w:rPr>
            <w:noProof/>
            <w:webHidden/>
          </w:rPr>
          <w:tab/>
        </w:r>
        <w:r>
          <w:rPr>
            <w:noProof/>
            <w:webHidden/>
          </w:rPr>
          <w:fldChar w:fldCharType="begin"/>
        </w:r>
        <w:r>
          <w:rPr>
            <w:noProof/>
            <w:webHidden/>
          </w:rPr>
          <w:instrText xml:space="preserve"> PAGEREF _Toc233626015 \h </w:instrText>
        </w:r>
        <w:r>
          <w:rPr>
            <w:noProof/>
            <w:webHidden/>
          </w:rPr>
        </w:r>
        <w:r>
          <w:rPr>
            <w:noProof/>
            <w:webHidden/>
          </w:rPr>
          <w:fldChar w:fldCharType="separate"/>
        </w:r>
        <w:r w:rsidR="001E3978">
          <w:rPr>
            <w:noProof/>
            <w:webHidden/>
          </w:rPr>
          <w:t>32</w:t>
        </w:r>
        <w:r>
          <w:rPr>
            <w:noProof/>
            <w:webHidden/>
          </w:rPr>
          <w:fldChar w:fldCharType="end"/>
        </w:r>
      </w:hyperlink>
    </w:p>
    <w:p w14:paraId="25B89E90" w14:textId="00274D69" w:rsidR="00266B1F" w:rsidRDefault="00266B1F">
      <w:pPr>
        <w:pStyle w:val="TM2"/>
        <w:tabs>
          <w:tab w:val="left" w:pos="960"/>
          <w:tab w:val="right" w:leader="dot" w:pos="8630"/>
        </w:tabs>
        <w:rPr>
          <w:noProof/>
          <w:kern w:val="2"/>
          <w:sz w:val="24"/>
          <w:szCs w:val="24"/>
          <w:lang w:eastAsia="fr-BE"/>
          <w14:ligatures w14:val="standardContextual"/>
        </w:rPr>
      </w:pPr>
      <w:hyperlink w:anchor="_Toc233626016" w:history="1">
        <w:r w:rsidRPr="0027322A">
          <w:rPr>
            <w:rStyle w:val="Lienhypertexte"/>
            <w:noProof/>
            <w:lang w:val="fr-FR"/>
          </w:rPr>
          <w:t>13.</w:t>
        </w:r>
        <w:r>
          <w:rPr>
            <w:noProof/>
            <w:kern w:val="2"/>
            <w:sz w:val="24"/>
            <w:szCs w:val="24"/>
            <w:lang w:eastAsia="fr-BE"/>
            <w14:ligatures w14:val="standardContextual"/>
          </w:rPr>
          <w:tab/>
        </w:r>
        <w:r w:rsidRPr="0027322A">
          <w:rPr>
            <w:rStyle w:val="Lienhypertexte"/>
            <w:noProof/>
            <w:lang w:val="fr-FR"/>
          </w:rPr>
          <w:t>La capacité contributive en fiscalité locale</w:t>
        </w:r>
        <w:r>
          <w:rPr>
            <w:noProof/>
            <w:webHidden/>
          </w:rPr>
          <w:tab/>
        </w:r>
        <w:r>
          <w:rPr>
            <w:noProof/>
            <w:webHidden/>
          </w:rPr>
          <w:fldChar w:fldCharType="begin"/>
        </w:r>
        <w:r>
          <w:rPr>
            <w:noProof/>
            <w:webHidden/>
          </w:rPr>
          <w:instrText xml:space="preserve"> PAGEREF _Toc233626016 \h </w:instrText>
        </w:r>
        <w:r>
          <w:rPr>
            <w:noProof/>
            <w:webHidden/>
          </w:rPr>
        </w:r>
        <w:r>
          <w:rPr>
            <w:noProof/>
            <w:webHidden/>
          </w:rPr>
          <w:fldChar w:fldCharType="separate"/>
        </w:r>
        <w:r w:rsidR="001E3978">
          <w:rPr>
            <w:noProof/>
            <w:webHidden/>
          </w:rPr>
          <w:t>33</w:t>
        </w:r>
        <w:r>
          <w:rPr>
            <w:noProof/>
            <w:webHidden/>
          </w:rPr>
          <w:fldChar w:fldCharType="end"/>
        </w:r>
      </w:hyperlink>
    </w:p>
    <w:p w14:paraId="36A7C877" w14:textId="40F840D6" w:rsidR="00266B1F" w:rsidRDefault="00266B1F">
      <w:pPr>
        <w:pStyle w:val="TM2"/>
        <w:tabs>
          <w:tab w:val="left" w:pos="960"/>
          <w:tab w:val="right" w:leader="dot" w:pos="8630"/>
        </w:tabs>
        <w:rPr>
          <w:noProof/>
          <w:kern w:val="2"/>
          <w:sz w:val="24"/>
          <w:szCs w:val="24"/>
          <w:lang w:eastAsia="fr-BE"/>
          <w14:ligatures w14:val="standardContextual"/>
        </w:rPr>
      </w:pPr>
      <w:hyperlink w:anchor="_Toc233626017" w:history="1">
        <w:r w:rsidRPr="0027322A">
          <w:rPr>
            <w:rStyle w:val="Lienhypertexte"/>
            <w:noProof/>
          </w:rPr>
          <w:t>14.</w:t>
        </w:r>
        <w:r>
          <w:rPr>
            <w:noProof/>
            <w:kern w:val="2"/>
            <w:sz w:val="24"/>
            <w:szCs w:val="24"/>
            <w:lang w:eastAsia="fr-BE"/>
            <w14:ligatures w14:val="standardContextual"/>
          </w:rPr>
          <w:tab/>
        </w:r>
        <w:r w:rsidRPr="0027322A">
          <w:rPr>
            <w:rStyle w:val="Lienhypertexte"/>
            <w:noProof/>
          </w:rPr>
          <w:t>Taux de TVA réduit (électricité, gaz, chaleur via réseaux)</w:t>
        </w:r>
        <w:r>
          <w:rPr>
            <w:noProof/>
            <w:webHidden/>
          </w:rPr>
          <w:tab/>
        </w:r>
        <w:r>
          <w:rPr>
            <w:noProof/>
            <w:webHidden/>
          </w:rPr>
          <w:fldChar w:fldCharType="begin"/>
        </w:r>
        <w:r>
          <w:rPr>
            <w:noProof/>
            <w:webHidden/>
          </w:rPr>
          <w:instrText xml:space="preserve"> PAGEREF _Toc233626017 \h </w:instrText>
        </w:r>
        <w:r>
          <w:rPr>
            <w:noProof/>
            <w:webHidden/>
          </w:rPr>
        </w:r>
        <w:r>
          <w:rPr>
            <w:noProof/>
            <w:webHidden/>
          </w:rPr>
          <w:fldChar w:fldCharType="separate"/>
        </w:r>
        <w:r w:rsidR="001E3978">
          <w:rPr>
            <w:noProof/>
            <w:webHidden/>
          </w:rPr>
          <w:t>34</w:t>
        </w:r>
        <w:r>
          <w:rPr>
            <w:noProof/>
            <w:webHidden/>
          </w:rPr>
          <w:fldChar w:fldCharType="end"/>
        </w:r>
      </w:hyperlink>
    </w:p>
    <w:p w14:paraId="5DC24203" w14:textId="2C7E6776" w:rsidR="00266B1F" w:rsidRDefault="00266B1F">
      <w:pPr>
        <w:pStyle w:val="TM3"/>
        <w:tabs>
          <w:tab w:val="right" w:leader="dot" w:pos="8630"/>
        </w:tabs>
        <w:rPr>
          <w:noProof/>
          <w:kern w:val="2"/>
          <w:sz w:val="24"/>
          <w:szCs w:val="24"/>
          <w:lang w:eastAsia="fr-BE"/>
          <w14:ligatures w14:val="standardContextual"/>
        </w:rPr>
      </w:pPr>
      <w:hyperlink w:anchor="_Toc233626018" w:history="1">
        <w:r w:rsidRPr="0027322A">
          <w:rPr>
            <w:rStyle w:val="Lienhypertexte"/>
            <w:noProof/>
          </w:rPr>
          <w:t>Quelles précisions appliquer depuis le 01/07/2023 ?</w:t>
        </w:r>
        <w:r>
          <w:rPr>
            <w:noProof/>
            <w:webHidden/>
          </w:rPr>
          <w:tab/>
        </w:r>
        <w:r>
          <w:rPr>
            <w:noProof/>
            <w:webHidden/>
          </w:rPr>
          <w:fldChar w:fldCharType="begin"/>
        </w:r>
        <w:r>
          <w:rPr>
            <w:noProof/>
            <w:webHidden/>
          </w:rPr>
          <w:instrText xml:space="preserve"> PAGEREF _Toc233626018 \h </w:instrText>
        </w:r>
        <w:r>
          <w:rPr>
            <w:noProof/>
            <w:webHidden/>
          </w:rPr>
        </w:r>
        <w:r>
          <w:rPr>
            <w:noProof/>
            <w:webHidden/>
          </w:rPr>
          <w:fldChar w:fldCharType="separate"/>
        </w:r>
        <w:r w:rsidR="001E3978">
          <w:rPr>
            <w:noProof/>
            <w:webHidden/>
          </w:rPr>
          <w:t>34</w:t>
        </w:r>
        <w:r>
          <w:rPr>
            <w:noProof/>
            <w:webHidden/>
          </w:rPr>
          <w:fldChar w:fldCharType="end"/>
        </w:r>
      </w:hyperlink>
    </w:p>
    <w:p w14:paraId="006B638E" w14:textId="1671872C" w:rsidR="00266B1F" w:rsidRDefault="00266B1F">
      <w:pPr>
        <w:pStyle w:val="TM2"/>
        <w:tabs>
          <w:tab w:val="left" w:pos="960"/>
          <w:tab w:val="right" w:leader="dot" w:pos="8630"/>
        </w:tabs>
        <w:rPr>
          <w:noProof/>
          <w:kern w:val="2"/>
          <w:sz w:val="24"/>
          <w:szCs w:val="24"/>
          <w:lang w:eastAsia="fr-BE"/>
          <w14:ligatures w14:val="standardContextual"/>
        </w:rPr>
      </w:pPr>
      <w:hyperlink w:anchor="_Toc233626019" w:history="1">
        <w:r w:rsidRPr="0027322A">
          <w:rPr>
            <w:rStyle w:val="Lienhypertexte"/>
            <w:noProof/>
          </w:rPr>
          <w:t>15.</w:t>
        </w:r>
        <w:r>
          <w:rPr>
            <w:noProof/>
            <w:kern w:val="2"/>
            <w:sz w:val="24"/>
            <w:szCs w:val="24"/>
            <w:lang w:eastAsia="fr-BE"/>
            <w14:ligatures w14:val="standardContextual"/>
          </w:rPr>
          <w:tab/>
        </w:r>
        <w:r w:rsidRPr="0027322A">
          <w:rPr>
            <w:rStyle w:val="Lienhypertexte"/>
            <w:noProof/>
          </w:rPr>
          <w:t>Délais de paiement (Directive 2011/7/UE)</w:t>
        </w:r>
        <w:r>
          <w:rPr>
            <w:noProof/>
            <w:webHidden/>
          </w:rPr>
          <w:tab/>
        </w:r>
        <w:r>
          <w:rPr>
            <w:noProof/>
            <w:webHidden/>
          </w:rPr>
          <w:fldChar w:fldCharType="begin"/>
        </w:r>
        <w:r>
          <w:rPr>
            <w:noProof/>
            <w:webHidden/>
          </w:rPr>
          <w:instrText xml:space="preserve"> PAGEREF _Toc233626019 \h </w:instrText>
        </w:r>
        <w:r>
          <w:rPr>
            <w:noProof/>
            <w:webHidden/>
          </w:rPr>
        </w:r>
        <w:r>
          <w:rPr>
            <w:noProof/>
            <w:webHidden/>
          </w:rPr>
          <w:fldChar w:fldCharType="separate"/>
        </w:r>
        <w:r w:rsidR="001E3978">
          <w:rPr>
            <w:noProof/>
            <w:webHidden/>
          </w:rPr>
          <w:t>35</w:t>
        </w:r>
        <w:r>
          <w:rPr>
            <w:noProof/>
            <w:webHidden/>
          </w:rPr>
          <w:fldChar w:fldCharType="end"/>
        </w:r>
      </w:hyperlink>
    </w:p>
    <w:p w14:paraId="32D6F8BB" w14:textId="7869AF04" w:rsidR="00266B1F" w:rsidRDefault="00266B1F">
      <w:pPr>
        <w:pStyle w:val="TM2"/>
        <w:tabs>
          <w:tab w:val="left" w:pos="960"/>
          <w:tab w:val="right" w:leader="dot" w:pos="8630"/>
        </w:tabs>
        <w:rPr>
          <w:noProof/>
          <w:kern w:val="2"/>
          <w:sz w:val="24"/>
          <w:szCs w:val="24"/>
          <w:lang w:eastAsia="fr-BE"/>
          <w14:ligatures w14:val="standardContextual"/>
        </w:rPr>
      </w:pPr>
      <w:hyperlink w:anchor="_Toc233626020" w:history="1">
        <w:r w:rsidRPr="0027322A">
          <w:rPr>
            <w:rStyle w:val="Lienhypertexte"/>
            <w:noProof/>
          </w:rPr>
          <w:t>16.</w:t>
        </w:r>
        <w:r>
          <w:rPr>
            <w:noProof/>
            <w:kern w:val="2"/>
            <w:sz w:val="24"/>
            <w:szCs w:val="24"/>
            <w:lang w:eastAsia="fr-BE"/>
            <w14:ligatures w14:val="standardContextual"/>
          </w:rPr>
          <w:tab/>
        </w:r>
        <w:r w:rsidRPr="0027322A">
          <w:rPr>
            <w:rStyle w:val="Lienhypertexte"/>
            <w:noProof/>
          </w:rPr>
          <w:t>Plan Air Climat Énergie (PACE) 2030</w:t>
        </w:r>
        <w:r>
          <w:rPr>
            <w:noProof/>
            <w:webHidden/>
          </w:rPr>
          <w:tab/>
        </w:r>
        <w:r>
          <w:rPr>
            <w:noProof/>
            <w:webHidden/>
          </w:rPr>
          <w:fldChar w:fldCharType="begin"/>
        </w:r>
        <w:r>
          <w:rPr>
            <w:noProof/>
            <w:webHidden/>
          </w:rPr>
          <w:instrText xml:space="preserve"> PAGEREF _Toc233626020 \h </w:instrText>
        </w:r>
        <w:r>
          <w:rPr>
            <w:noProof/>
            <w:webHidden/>
          </w:rPr>
        </w:r>
        <w:r>
          <w:rPr>
            <w:noProof/>
            <w:webHidden/>
          </w:rPr>
          <w:fldChar w:fldCharType="separate"/>
        </w:r>
        <w:r w:rsidR="001E3978">
          <w:rPr>
            <w:noProof/>
            <w:webHidden/>
          </w:rPr>
          <w:t>36</w:t>
        </w:r>
        <w:r>
          <w:rPr>
            <w:noProof/>
            <w:webHidden/>
          </w:rPr>
          <w:fldChar w:fldCharType="end"/>
        </w:r>
      </w:hyperlink>
    </w:p>
    <w:p w14:paraId="7C10F5F9" w14:textId="1689B451" w:rsidR="00266B1F" w:rsidRDefault="00266B1F">
      <w:pPr>
        <w:pStyle w:val="TM3"/>
        <w:tabs>
          <w:tab w:val="right" w:leader="dot" w:pos="8630"/>
        </w:tabs>
        <w:rPr>
          <w:noProof/>
          <w:kern w:val="2"/>
          <w:sz w:val="24"/>
          <w:szCs w:val="24"/>
          <w:lang w:eastAsia="fr-BE"/>
          <w14:ligatures w14:val="standardContextual"/>
        </w:rPr>
      </w:pPr>
      <w:hyperlink w:anchor="_Toc233626021" w:history="1">
        <w:r w:rsidRPr="0027322A">
          <w:rPr>
            <w:rStyle w:val="Lienhypertexte"/>
            <w:noProof/>
          </w:rPr>
          <w:t>Quelle orientation pour les investissements ?</w:t>
        </w:r>
        <w:r>
          <w:rPr>
            <w:noProof/>
            <w:webHidden/>
          </w:rPr>
          <w:tab/>
        </w:r>
        <w:r>
          <w:rPr>
            <w:noProof/>
            <w:webHidden/>
          </w:rPr>
          <w:fldChar w:fldCharType="begin"/>
        </w:r>
        <w:r>
          <w:rPr>
            <w:noProof/>
            <w:webHidden/>
          </w:rPr>
          <w:instrText xml:space="preserve"> PAGEREF _Toc233626021 \h </w:instrText>
        </w:r>
        <w:r>
          <w:rPr>
            <w:noProof/>
            <w:webHidden/>
          </w:rPr>
        </w:r>
        <w:r>
          <w:rPr>
            <w:noProof/>
            <w:webHidden/>
          </w:rPr>
          <w:fldChar w:fldCharType="separate"/>
        </w:r>
        <w:r w:rsidR="001E3978">
          <w:rPr>
            <w:noProof/>
            <w:webHidden/>
          </w:rPr>
          <w:t>36</w:t>
        </w:r>
        <w:r>
          <w:rPr>
            <w:noProof/>
            <w:webHidden/>
          </w:rPr>
          <w:fldChar w:fldCharType="end"/>
        </w:r>
      </w:hyperlink>
    </w:p>
    <w:p w14:paraId="31B94735" w14:textId="49D36EE9" w:rsidR="00266B1F" w:rsidRDefault="00266B1F">
      <w:pPr>
        <w:pStyle w:val="TM2"/>
        <w:tabs>
          <w:tab w:val="left" w:pos="960"/>
          <w:tab w:val="right" w:leader="dot" w:pos="8630"/>
        </w:tabs>
        <w:rPr>
          <w:noProof/>
          <w:kern w:val="2"/>
          <w:sz w:val="24"/>
          <w:szCs w:val="24"/>
          <w:lang w:eastAsia="fr-BE"/>
          <w14:ligatures w14:val="standardContextual"/>
        </w:rPr>
      </w:pPr>
      <w:hyperlink w:anchor="_Toc233626022" w:history="1">
        <w:r w:rsidRPr="0027322A">
          <w:rPr>
            <w:rStyle w:val="Lienhypertexte"/>
            <w:noProof/>
          </w:rPr>
          <w:t>17.</w:t>
        </w:r>
        <w:r>
          <w:rPr>
            <w:noProof/>
            <w:kern w:val="2"/>
            <w:sz w:val="24"/>
            <w:szCs w:val="24"/>
            <w:lang w:eastAsia="fr-BE"/>
            <w14:ligatures w14:val="standardContextual"/>
          </w:rPr>
          <w:tab/>
        </w:r>
        <w:r w:rsidRPr="0027322A">
          <w:rPr>
            <w:rStyle w:val="Lienhypertexte"/>
            <w:noProof/>
          </w:rPr>
          <w:t>Biodiversité</w:t>
        </w:r>
        <w:r>
          <w:rPr>
            <w:noProof/>
            <w:webHidden/>
          </w:rPr>
          <w:tab/>
        </w:r>
        <w:r>
          <w:rPr>
            <w:noProof/>
            <w:webHidden/>
          </w:rPr>
          <w:fldChar w:fldCharType="begin"/>
        </w:r>
        <w:r>
          <w:rPr>
            <w:noProof/>
            <w:webHidden/>
          </w:rPr>
          <w:instrText xml:space="preserve"> PAGEREF _Toc233626022 \h </w:instrText>
        </w:r>
        <w:r>
          <w:rPr>
            <w:noProof/>
            <w:webHidden/>
          </w:rPr>
        </w:r>
        <w:r>
          <w:rPr>
            <w:noProof/>
            <w:webHidden/>
          </w:rPr>
          <w:fldChar w:fldCharType="separate"/>
        </w:r>
        <w:r w:rsidR="001E3978">
          <w:rPr>
            <w:noProof/>
            <w:webHidden/>
          </w:rPr>
          <w:t>36</w:t>
        </w:r>
        <w:r>
          <w:rPr>
            <w:noProof/>
            <w:webHidden/>
          </w:rPr>
          <w:fldChar w:fldCharType="end"/>
        </w:r>
      </w:hyperlink>
    </w:p>
    <w:p w14:paraId="2BED9425" w14:textId="3416953A" w:rsidR="00266B1F" w:rsidRDefault="00266B1F">
      <w:pPr>
        <w:pStyle w:val="TM3"/>
        <w:tabs>
          <w:tab w:val="right" w:leader="dot" w:pos="8630"/>
        </w:tabs>
        <w:rPr>
          <w:noProof/>
          <w:kern w:val="2"/>
          <w:sz w:val="24"/>
          <w:szCs w:val="24"/>
          <w:lang w:eastAsia="fr-BE"/>
          <w14:ligatures w14:val="standardContextual"/>
        </w:rPr>
      </w:pPr>
      <w:hyperlink w:anchor="_Toc233626023" w:history="1">
        <w:r w:rsidRPr="0027322A">
          <w:rPr>
            <w:rStyle w:val="Lienhypertexte"/>
            <w:noProof/>
          </w:rPr>
          <w:t>Quel objectif et quels leviers ?</w:t>
        </w:r>
        <w:r>
          <w:rPr>
            <w:noProof/>
            <w:webHidden/>
          </w:rPr>
          <w:tab/>
        </w:r>
        <w:r>
          <w:rPr>
            <w:noProof/>
            <w:webHidden/>
          </w:rPr>
          <w:fldChar w:fldCharType="begin"/>
        </w:r>
        <w:r>
          <w:rPr>
            <w:noProof/>
            <w:webHidden/>
          </w:rPr>
          <w:instrText xml:space="preserve"> PAGEREF _Toc233626023 \h </w:instrText>
        </w:r>
        <w:r>
          <w:rPr>
            <w:noProof/>
            <w:webHidden/>
          </w:rPr>
        </w:r>
        <w:r>
          <w:rPr>
            <w:noProof/>
            <w:webHidden/>
          </w:rPr>
          <w:fldChar w:fldCharType="separate"/>
        </w:r>
        <w:r w:rsidR="001E3978">
          <w:rPr>
            <w:noProof/>
            <w:webHidden/>
          </w:rPr>
          <w:t>36</w:t>
        </w:r>
        <w:r>
          <w:rPr>
            <w:noProof/>
            <w:webHidden/>
          </w:rPr>
          <w:fldChar w:fldCharType="end"/>
        </w:r>
      </w:hyperlink>
    </w:p>
    <w:p w14:paraId="54592BC1" w14:textId="61BC357F" w:rsidR="00266B1F" w:rsidRDefault="00266B1F">
      <w:pPr>
        <w:pStyle w:val="TM2"/>
        <w:tabs>
          <w:tab w:val="left" w:pos="960"/>
          <w:tab w:val="right" w:leader="dot" w:pos="8630"/>
        </w:tabs>
        <w:rPr>
          <w:noProof/>
          <w:kern w:val="2"/>
          <w:sz w:val="24"/>
          <w:szCs w:val="24"/>
          <w:lang w:eastAsia="fr-BE"/>
          <w14:ligatures w14:val="standardContextual"/>
        </w:rPr>
      </w:pPr>
      <w:hyperlink w:anchor="_Toc233626024" w:history="1">
        <w:r w:rsidRPr="0027322A">
          <w:rPr>
            <w:rStyle w:val="Lienhypertexte"/>
            <w:noProof/>
          </w:rPr>
          <w:t>18.</w:t>
        </w:r>
        <w:r>
          <w:rPr>
            <w:noProof/>
            <w:kern w:val="2"/>
            <w:sz w:val="24"/>
            <w:szCs w:val="24"/>
            <w:lang w:eastAsia="fr-BE"/>
            <w14:ligatures w14:val="standardContextual"/>
          </w:rPr>
          <w:tab/>
        </w:r>
        <w:r w:rsidRPr="0027322A">
          <w:rPr>
            <w:rStyle w:val="Lienhypertexte"/>
            <w:noProof/>
          </w:rPr>
          <w:t>Marchés publics de services financiers</w:t>
        </w:r>
        <w:r>
          <w:rPr>
            <w:noProof/>
            <w:webHidden/>
          </w:rPr>
          <w:tab/>
        </w:r>
        <w:r>
          <w:rPr>
            <w:noProof/>
            <w:webHidden/>
          </w:rPr>
          <w:fldChar w:fldCharType="begin"/>
        </w:r>
        <w:r>
          <w:rPr>
            <w:noProof/>
            <w:webHidden/>
          </w:rPr>
          <w:instrText xml:space="preserve"> PAGEREF _Toc233626024 \h </w:instrText>
        </w:r>
        <w:r>
          <w:rPr>
            <w:noProof/>
            <w:webHidden/>
          </w:rPr>
        </w:r>
        <w:r>
          <w:rPr>
            <w:noProof/>
            <w:webHidden/>
          </w:rPr>
          <w:fldChar w:fldCharType="separate"/>
        </w:r>
        <w:r w:rsidR="001E3978">
          <w:rPr>
            <w:noProof/>
            <w:webHidden/>
          </w:rPr>
          <w:t>37</w:t>
        </w:r>
        <w:r>
          <w:rPr>
            <w:noProof/>
            <w:webHidden/>
          </w:rPr>
          <w:fldChar w:fldCharType="end"/>
        </w:r>
      </w:hyperlink>
    </w:p>
    <w:p w14:paraId="7BF05C8F" w14:textId="6CF6B846" w:rsidR="00266B1F" w:rsidRDefault="00266B1F">
      <w:pPr>
        <w:pStyle w:val="TM2"/>
        <w:tabs>
          <w:tab w:val="left" w:pos="960"/>
          <w:tab w:val="right" w:leader="dot" w:pos="8630"/>
        </w:tabs>
        <w:rPr>
          <w:noProof/>
          <w:kern w:val="2"/>
          <w:sz w:val="24"/>
          <w:szCs w:val="24"/>
          <w:lang w:eastAsia="fr-BE"/>
          <w14:ligatures w14:val="standardContextual"/>
        </w:rPr>
      </w:pPr>
      <w:hyperlink w:anchor="_Toc233626025" w:history="1">
        <w:r w:rsidRPr="0027322A">
          <w:rPr>
            <w:rStyle w:val="Lienhypertexte"/>
            <w:noProof/>
            <w:lang w:val="en-US"/>
          </w:rPr>
          <w:t>19.</w:t>
        </w:r>
        <w:r>
          <w:rPr>
            <w:noProof/>
            <w:kern w:val="2"/>
            <w:sz w:val="24"/>
            <w:szCs w:val="24"/>
            <w:lang w:eastAsia="fr-BE"/>
            <w14:ligatures w14:val="standardContextual"/>
          </w:rPr>
          <w:tab/>
        </w:r>
        <w:r w:rsidRPr="0027322A">
          <w:rPr>
            <w:rStyle w:val="Lienhypertexte"/>
            <w:noProof/>
            <w:lang w:val="en-US"/>
          </w:rPr>
          <w:t>Emprunt durable (Sustainable Financing Framework)</w:t>
        </w:r>
        <w:r>
          <w:rPr>
            <w:noProof/>
            <w:webHidden/>
          </w:rPr>
          <w:tab/>
        </w:r>
        <w:r>
          <w:rPr>
            <w:noProof/>
            <w:webHidden/>
          </w:rPr>
          <w:fldChar w:fldCharType="begin"/>
        </w:r>
        <w:r>
          <w:rPr>
            <w:noProof/>
            <w:webHidden/>
          </w:rPr>
          <w:instrText xml:space="preserve"> PAGEREF _Toc233626025 \h </w:instrText>
        </w:r>
        <w:r>
          <w:rPr>
            <w:noProof/>
            <w:webHidden/>
          </w:rPr>
        </w:r>
        <w:r>
          <w:rPr>
            <w:noProof/>
            <w:webHidden/>
          </w:rPr>
          <w:fldChar w:fldCharType="separate"/>
        </w:r>
        <w:r w:rsidR="001E3978">
          <w:rPr>
            <w:noProof/>
            <w:webHidden/>
          </w:rPr>
          <w:t>38</w:t>
        </w:r>
        <w:r>
          <w:rPr>
            <w:noProof/>
            <w:webHidden/>
          </w:rPr>
          <w:fldChar w:fldCharType="end"/>
        </w:r>
      </w:hyperlink>
    </w:p>
    <w:p w14:paraId="4F1BC4CC" w14:textId="67ECFA80" w:rsidR="00266B1F" w:rsidRDefault="00266B1F">
      <w:pPr>
        <w:pStyle w:val="TM3"/>
        <w:tabs>
          <w:tab w:val="right" w:leader="dot" w:pos="8630"/>
        </w:tabs>
        <w:rPr>
          <w:noProof/>
          <w:kern w:val="2"/>
          <w:sz w:val="24"/>
          <w:szCs w:val="24"/>
          <w:lang w:eastAsia="fr-BE"/>
          <w14:ligatures w14:val="standardContextual"/>
        </w:rPr>
      </w:pPr>
      <w:hyperlink w:anchor="_Toc233626026" w:history="1">
        <w:r w:rsidRPr="0027322A">
          <w:rPr>
            <w:rStyle w:val="Lienhypertexte"/>
            <w:noProof/>
          </w:rPr>
          <w:t>Pourquoi structurer un cadre de financement durable ?</w:t>
        </w:r>
        <w:r>
          <w:rPr>
            <w:noProof/>
            <w:webHidden/>
          </w:rPr>
          <w:tab/>
        </w:r>
        <w:r>
          <w:rPr>
            <w:noProof/>
            <w:webHidden/>
          </w:rPr>
          <w:fldChar w:fldCharType="begin"/>
        </w:r>
        <w:r>
          <w:rPr>
            <w:noProof/>
            <w:webHidden/>
          </w:rPr>
          <w:instrText xml:space="preserve"> PAGEREF _Toc233626026 \h </w:instrText>
        </w:r>
        <w:r>
          <w:rPr>
            <w:noProof/>
            <w:webHidden/>
          </w:rPr>
        </w:r>
        <w:r>
          <w:rPr>
            <w:noProof/>
            <w:webHidden/>
          </w:rPr>
          <w:fldChar w:fldCharType="separate"/>
        </w:r>
        <w:r w:rsidR="001E3978">
          <w:rPr>
            <w:noProof/>
            <w:webHidden/>
          </w:rPr>
          <w:t>38</w:t>
        </w:r>
        <w:r>
          <w:rPr>
            <w:noProof/>
            <w:webHidden/>
          </w:rPr>
          <w:fldChar w:fldCharType="end"/>
        </w:r>
      </w:hyperlink>
    </w:p>
    <w:p w14:paraId="7759A0D8" w14:textId="4CBF940F" w:rsidR="00266B1F" w:rsidRDefault="00266B1F">
      <w:pPr>
        <w:pStyle w:val="TM2"/>
        <w:tabs>
          <w:tab w:val="left" w:pos="960"/>
          <w:tab w:val="right" w:leader="dot" w:pos="8630"/>
        </w:tabs>
        <w:rPr>
          <w:noProof/>
          <w:kern w:val="2"/>
          <w:sz w:val="24"/>
          <w:szCs w:val="24"/>
          <w:lang w:eastAsia="fr-BE"/>
          <w14:ligatures w14:val="standardContextual"/>
        </w:rPr>
      </w:pPr>
      <w:hyperlink w:anchor="_Toc233626027" w:history="1">
        <w:r w:rsidRPr="0027322A">
          <w:rPr>
            <w:rStyle w:val="Lienhypertexte"/>
            <w:noProof/>
          </w:rPr>
          <w:t>20.</w:t>
        </w:r>
        <w:r>
          <w:rPr>
            <w:noProof/>
            <w:kern w:val="2"/>
            <w:sz w:val="24"/>
            <w:szCs w:val="24"/>
            <w:lang w:eastAsia="fr-BE"/>
            <w14:ligatures w14:val="standardContextual"/>
          </w:rPr>
          <w:tab/>
        </w:r>
        <w:r w:rsidRPr="0027322A">
          <w:rPr>
            <w:rStyle w:val="Lienhypertexte"/>
            <w:noProof/>
          </w:rPr>
          <w:t>Urbanisme</w:t>
        </w:r>
        <w:r>
          <w:rPr>
            <w:noProof/>
            <w:webHidden/>
          </w:rPr>
          <w:tab/>
        </w:r>
        <w:r>
          <w:rPr>
            <w:noProof/>
            <w:webHidden/>
          </w:rPr>
          <w:fldChar w:fldCharType="begin"/>
        </w:r>
        <w:r>
          <w:rPr>
            <w:noProof/>
            <w:webHidden/>
          </w:rPr>
          <w:instrText xml:space="preserve"> PAGEREF _Toc233626027 \h </w:instrText>
        </w:r>
        <w:r>
          <w:rPr>
            <w:noProof/>
            <w:webHidden/>
          </w:rPr>
        </w:r>
        <w:r>
          <w:rPr>
            <w:noProof/>
            <w:webHidden/>
          </w:rPr>
          <w:fldChar w:fldCharType="separate"/>
        </w:r>
        <w:r w:rsidR="001E3978">
          <w:rPr>
            <w:noProof/>
            <w:webHidden/>
          </w:rPr>
          <w:t>39</w:t>
        </w:r>
        <w:r>
          <w:rPr>
            <w:noProof/>
            <w:webHidden/>
          </w:rPr>
          <w:fldChar w:fldCharType="end"/>
        </w:r>
      </w:hyperlink>
    </w:p>
    <w:p w14:paraId="447C7D66" w14:textId="4C358ED7" w:rsidR="00266B1F" w:rsidRDefault="00266B1F">
      <w:pPr>
        <w:pStyle w:val="TM1"/>
        <w:rPr>
          <w:b w:val="0"/>
          <w:bCs w:val="0"/>
        </w:rPr>
      </w:pPr>
      <w:hyperlink w:anchor="_Toc233626028" w:history="1">
        <w:r w:rsidRPr="0027322A">
          <w:rPr>
            <w:rStyle w:val="Lienhypertexte"/>
          </w:rPr>
          <w:t>II.</w:t>
        </w:r>
        <w:r>
          <w:rPr>
            <w:b w:val="0"/>
            <w:bCs w:val="0"/>
          </w:rPr>
          <w:tab/>
        </w:r>
        <w:r w:rsidRPr="0027322A">
          <w:rPr>
            <w:rStyle w:val="Lienhypertexte"/>
          </w:rPr>
          <w:t>Dispositions générales</w:t>
        </w:r>
        <w:r>
          <w:rPr>
            <w:webHidden/>
          </w:rPr>
          <w:tab/>
        </w:r>
        <w:r>
          <w:rPr>
            <w:webHidden/>
          </w:rPr>
          <w:fldChar w:fldCharType="begin"/>
        </w:r>
        <w:r>
          <w:rPr>
            <w:webHidden/>
          </w:rPr>
          <w:instrText xml:space="preserve"> PAGEREF _Toc233626028 \h </w:instrText>
        </w:r>
        <w:r>
          <w:rPr>
            <w:webHidden/>
          </w:rPr>
        </w:r>
        <w:r>
          <w:rPr>
            <w:webHidden/>
          </w:rPr>
          <w:fldChar w:fldCharType="separate"/>
        </w:r>
        <w:r w:rsidR="001E3978">
          <w:rPr>
            <w:webHidden/>
          </w:rPr>
          <w:t>42</w:t>
        </w:r>
        <w:r>
          <w:rPr>
            <w:webHidden/>
          </w:rPr>
          <w:fldChar w:fldCharType="end"/>
        </w:r>
      </w:hyperlink>
    </w:p>
    <w:p w14:paraId="76E38080" w14:textId="7B71D22C" w:rsidR="00266B1F" w:rsidRDefault="00266B1F">
      <w:pPr>
        <w:pStyle w:val="TM2"/>
        <w:tabs>
          <w:tab w:val="left" w:pos="720"/>
          <w:tab w:val="right" w:leader="dot" w:pos="8630"/>
        </w:tabs>
        <w:rPr>
          <w:noProof/>
          <w:kern w:val="2"/>
          <w:sz w:val="24"/>
          <w:szCs w:val="24"/>
          <w:lang w:eastAsia="fr-BE"/>
          <w14:ligatures w14:val="standardContextual"/>
        </w:rPr>
      </w:pPr>
      <w:hyperlink w:anchor="_Toc233626029" w:history="1">
        <w:r w:rsidRPr="0027322A">
          <w:rPr>
            <w:rStyle w:val="Lienhypertexte"/>
            <w:caps/>
            <w:noProof/>
          </w:rPr>
          <w:t>1.</w:t>
        </w:r>
        <w:r>
          <w:rPr>
            <w:noProof/>
            <w:kern w:val="2"/>
            <w:sz w:val="24"/>
            <w:szCs w:val="24"/>
            <w:lang w:eastAsia="fr-BE"/>
            <w14:ligatures w14:val="standardContextual"/>
          </w:rPr>
          <w:tab/>
        </w:r>
        <w:r w:rsidRPr="0027322A">
          <w:rPr>
            <w:rStyle w:val="Lienhypertexte"/>
            <w:noProof/>
          </w:rPr>
          <w:t>Calendrier légal</w:t>
        </w:r>
        <w:r>
          <w:rPr>
            <w:noProof/>
            <w:webHidden/>
          </w:rPr>
          <w:tab/>
        </w:r>
        <w:r>
          <w:rPr>
            <w:noProof/>
            <w:webHidden/>
          </w:rPr>
          <w:fldChar w:fldCharType="begin"/>
        </w:r>
        <w:r>
          <w:rPr>
            <w:noProof/>
            <w:webHidden/>
          </w:rPr>
          <w:instrText xml:space="preserve"> PAGEREF _Toc233626029 \h </w:instrText>
        </w:r>
        <w:r>
          <w:rPr>
            <w:noProof/>
            <w:webHidden/>
          </w:rPr>
        </w:r>
        <w:r>
          <w:rPr>
            <w:noProof/>
            <w:webHidden/>
          </w:rPr>
          <w:fldChar w:fldCharType="separate"/>
        </w:r>
        <w:r w:rsidR="001E3978">
          <w:rPr>
            <w:noProof/>
            <w:webHidden/>
          </w:rPr>
          <w:t>42</w:t>
        </w:r>
        <w:r>
          <w:rPr>
            <w:noProof/>
            <w:webHidden/>
          </w:rPr>
          <w:fldChar w:fldCharType="end"/>
        </w:r>
      </w:hyperlink>
    </w:p>
    <w:p w14:paraId="10C5B586" w14:textId="79D9F7D2" w:rsidR="00266B1F" w:rsidRDefault="00266B1F">
      <w:pPr>
        <w:pStyle w:val="TM3"/>
        <w:tabs>
          <w:tab w:val="left" w:pos="960"/>
          <w:tab w:val="right" w:leader="dot" w:pos="8630"/>
        </w:tabs>
        <w:rPr>
          <w:noProof/>
          <w:kern w:val="2"/>
          <w:sz w:val="24"/>
          <w:szCs w:val="24"/>
          <w:lang w:eastAsia="fr-BE"/>
          <w14:ligatures w14:val="standardContextual"/>
        </w:rPr>
      </w:pPr>
      <w:hyperlink w:anchor="_Toc233626030"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Quels sont les prescrits légaux concernant les dates de vote budgétaires et comptables (articles L1312-1 et L1312-2 du CDLD) ?</w:t>
        </w:r>
        <w:r>
          <w:rPr>
            <w:noProof/>
            <w:webHidden/>
          </w:rPr>
          <w:tab/>
        </w:r>
        <w:r>
          <w:rPr>
            <w:noProof/>
            <w:webHidden/>
          </w:rPr>
          <w:fldChar w:fldCharType="begin"/>
        </w:r>
        <w:r>
          <w:rPr>
            <w:noProof/>
            <w:webHidden/>
          </w:rPr>
          <w:instrText xml:space="preserve"> PAGEREF _Toc233626030 \h </w:instrText>
        </w:r>
        <w:r>
          <w:rPr>
            <w:noProof/>
            <w:webHidden/>
          </w:rPr>
        </w:r>
        <w:r>
          <w:rPr>
            <w:noProof/>
            <w:webHidden/>
          </w:rPr>
          <w:fldChar w:fldCharType="separate"/>
        </w:r>
        <w:r w:rsidR="001E3978">
          <w:rPr>
            <w:noProof/>
            <w:webHidden/>
          </w:rPr>
          <w:t>42</w:t>
        </w:r>
        <w:r>
          <w:rPr>
            <w:noProof/>
            <w:webHidden/>
          </w:rPr>
          <w:fldChar w:fldCharType="end"/>
        </w:r>
      </w:hyperlink>
    </w:p>
    <w:p w14:paraId="0BD19572" w14:textId="764D06A8" w:rsidR="00266B1F" w:rsidRDefault="00266B1F">
      <w:pPr>
        <w:pStyle w:val="TM3"/>
        <w:tabs>
          <w:tab w:val="left" w:pos="960"/>
          <w:tab w:val="right" w:leader="dot" w:pos="8630"/>
        </w:tabs>
        <w:rPr>
          <w:noProof/>
          <w:kern w:val="2"/>
          <w:sz w:val="24"/>
          <w:szCs w:val="24"/>
          <w:lang w:eastAsia="fr-BE"/>
          <w14:ligatures w14:val="standardContextual"/>
        </w:rPr>
      </w:pPr>
      <w:hyperlink w:anchor="_Toc233626031"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Quels sont les prescrits légaux concernant les dates de vote budgétaires et comptables en ce qui concerne les régies ordinaires (articles 11 et 30 de l’arrêté du Régent du 18 juin 1946 et L3132-1 du CDLD) ?</w:t>
        </w:r>
        <w:r>
          <w:rPr>
            <w:noProof/>
            <w:webHidden/>
          </w:rPr>
          <w:tab/>
        </w:r>
        <w:r>
          <w:rPr>
            <w:noProof/>
            <w:webHidden/>
          </w:rPr>
          <w:fldChar w:fldCharType="begin"/>
        </w:r>
        <w:r>
          <w:rPr>
            <w:noProof/>
            <w:webHidden/>
          </w:rPr>
          <w:instrText xml:space="preserve"> PAGEREF _Toc233626031 \h </w:instrText>
        </w:r>
        <w:r>
          <w:rPr>
            <w:noProof/>
            <w:webHidden/>
          </w:rPr>
        </w:r>
        <w:r>
          <w:rPr>
            <w:noProof/>
            <w:webHidden/>
          </w:rPr>
          <w:fldChar w:fldCharType="separate"/>
        </w:r>
        <w:r w:rsidR="001E3978">
          <w:rPr>
            <w:noProof/>
            <w:webHidden/>
          </w:rPr>
          <w:t>43</w:t>
        </w:r>
        <w:r>
          <w:rPr>
            <w:noProof/>
            <w:webHidden/>
          </w:rPr>
          <w:fldChar w:fldCharType="end"/>
        </w:r>
      </w:hyperlink>
    </w:p>
    <w:p w14:paraId="025EFFFF" w14:textId="59F79C3C" w:rsidR="00266B1F" w:rsidRDefault="00266B1F">
      <w:pPr>
        <w:pStyle w:val="TM3"/>
        <w:tabs>
          <w:tab w:val="left" w:pos="960"/>
          <w:tab w:val="right" w:leader="dot" w:pos="8630"/>
        </w:tabs>
        <w:rPr>
          <w:noProof/>
          <w:kern w:val="2"/>
          <w:sz w:val="24"/>
          <w:szCs w:val="24"/>
          <w:lang w:eastAsia="fr-BE"/>
          <w14:ligatures w14:val="standardContextual"/>
        </w:rPr>
      </w:pPr>
      <w:hyperlink w:anchor="_Toc233626032"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Quelles sont les obligations en matière de dialogue social et de transmission des documents budgétaires aux organisations syndicales représentatives</w:t>
        </w:r>
        <w:r>
          <w:rPr>
            <w:noProof/>
            <w:webHidden/>
          </w:rPr>
          <w:tab/>
        </w:r>
        <w:r>
          <w:rPr>
            <w:noProof/>
            <w:webHidden/>
          </w:rPr>
          <w:fldChar w:fldCharType="begin"/>
        </w:r>
        <w:r>
          <w:rPr>
            <w:noProof/>
            <w:webHidden/>
          </w:rPr>
          <w:instrText xml:space="preserve"> PAGEREF _Toc233626032 \h </w:instrText>
        </w:r>
        <w:r>
          <w:rPr>
            <w:noProof/>
            <w:webHidden/>
          </w:rPr>
        </w:r>
        <w:r>
          <w:rPr>
            <w:noProof/>
            <w:webHidden/>
          </w:rPr>
          <w:fldChar w:fldCharType="separate"/>
        </w:r>
        <w:r w:rsidR="001E3978">
          <w:rPr>
            <w:noProof/>
            <w:webHidden/>
          </w:rPr>
          <w:t>43</w:t>
        </w:r>
        <w:r>
          <w:rPr>
            <w:noProof/>
            <w:webHidden/>
          </w:rPr>
          <w:fldChar w:fldCharType="end"/>
        </w:r>
      </w:hyperlink>
    </w:p>
    <w:p w14:paraId="118F9B5A" w14:textId="054BF920" w:rsidR="00266B1F" w:rsidRDefault="00266B1F">
      <w:pPr>
        <w:pStyle w:val="TM3"/>
        <w:tabs>
          <w:tab w:val="left" w:pos="960"/>
          <w:tab w:val="right" w:leader="dot" w:pos="8630"/>
        </w:tabs>
        <w:rPr>
          <w:noProof/>
          <w:kern w:val="2"/>
          <w:sz w:val="24"/>
          <w:szCs w:val="24"/>
          <w:lang w:eastAsia="fr-BE"/>
          <w14:ligatures w14:val="standardContextual"/>
        </w:rPr>
      </w:pPr>
      <w:hyperlink w:anchor="_Toc233626033"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Quelles sont les règles de publication des budget, modifications budgétaires et comptes ?</w:t>
        </w:r>
        <w:r>
          <w:rPr>
            <w:noProof/>
            <w:webHidden/>
          </w:rPr>
          <w:tab/>
        </w:r>
        <w:r>
          <w:rPr>
            <w:noProof/>
            <w:webHidden/>
          </w:rPr>
          <w:fldChar w:fldCharType="begin"/>
        </w:r>
        <w:r>
          <w:rPr>
            <w:noProof/>
            <w:webHidden/>
          </w:rPr>
          <w:instrText xml:space="preserve"> PAGEREF _Toc233626033 \h </w:instrText>
        </w:r>
        <w:r>
          <w:rPr>
            <w:noProof/>
            <w:webHidden/>
          </w:rPr>
        </w:r>
        <w:r>
          <w:rPr>
            <w:noProof/>
            <w:webHidden/>
          </w:rPr>
          <w:fldChar w:fldCharType="separate"/>
        </w:r>
        <w:r w:rsidR="001E3978">
          <w:rPr>
            <w:noProof/>
            <w:webHidden/>
          </w:rPr>
          <w:t>43</w:t>
        </w:r>
        <w:r>
          <w:rPr>
            <w:noProof/>
            <w:webHidden/>
          </w:rPr>
          <w:fldChar w:fldCharType="end"/>
        </w:r>
      </w:hyperlink>
    </w:p>
    <w:p w14:paraId="4D478AA3" w14:textId="0DE150B8" w:rsidR="00266B1F" w:rsidRDefault="00266B1F">
      <w:pPr>
        <w:pStyle w:val="TM3"/>
        <w:tabs>
          <w:tab w:val="left" w:pos="960"/>
          <w:tab w:val="right" w:leader="dot" w:pos="8630"/>
        </w:tabs>
        <w:rPr>
          <w:noProof/>
          <w:kern w:val="2"/>
          <w:sz w:val="24"/>
          <w:szCs w:val="24"/>
          <w:lang w:eastAsia="fr-BE"/>
          <w14:ligatures w14:val="standardContextual"/>
        </w:rPr>
      </w:pPr>
      <w:hyperlink w:anchor="_Toc233626034"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Quelles sont les limites du vote séparé d’articles budgétaires ?</w:t>
        </w:r>
        <w:r>
          <w:rPr>
            <w:noProof/>
            <w:webHidden/>
          </w:rPr>
          <w:tab/>
        </w:r>
        <w:r>
          <w:rPr>
            <w:noProof/>
            <w:webHidden/>
          </w:rPr>
          <w:fldChar w:fldCharType="begin"/>
        </w:r>
        <w:r>
          <w:rPr>
            <w:noProof/>
            <w:webHidden/>
          </w:rPr>
          <w:instrText xml:space="preserve"> PAGEREF _Toc233626034 \h </w:instrText>
        </w:r>
        <w:r>
          <w:rPr>
            <w:noProof/>
            <w:webHidden/>
          </w:rPr>
        </w:r>
        <w:r>
          <w:rPr>
            <w:noProof/>
            <w:webHidden/>
          </w:rPr>
          <w:fldChar w:fldCharType="separate"/>
        </w:r>
        <w:r w:rsidR="001E3978">
          <w:rPr>
            <w:noProof/>
            <w:webHidden/>
          </w:rPr>
          <w:t>43</w:t>
        </w:r>
        <w:r>
          <w:rPr>
            <w:noProof/>
            <w:webHidden/>
          </w:rPr>
          <w:fldChar w:fldCharType="end"/>
        </w:r>
      </w:hyperlink>
    </w:p>
    <w:p w14:paraId="4C9E6FDF" w14:textId="60ABFE3F" w:rsidR="00266B1F" w:rsidRDefault="00266B1F">
      <w:pPr>
        <w:pStyle w:val="TM2"/>
        <w:tabs>
          <w:tab w:val="left" w:pos="720"/>
          <w:tab w:val="right" w:leader="dot" w:pos="8630"/>
        </w:tabs>
        <w:rPr>
          <w:noProof/>
          <w:kern w:val="2"/>
          <w:sz w:val="24"/>
          <w:szCs w:val="24"/>
          <w:lang w:eastAsia="fr-BE"/>
          <w14:ligatures w14:val="standardContextual"/>
        </w:rPr>
      </w:pPr>
      <w:hyperlink w:anchor="_Toc233626035" w:history="1">
        <w:r w:rsidRPr="0027322A">
          <w:rPr>
            <w:rStyle w:val="Lienhypertexte"/>
            <w:noProof/>
          </w:rPr>
          <w:t>2.</w:t>
        </w:r>
        <w:r>
          <w:rPr>
            <w:noProof/>
            <w:kern w:val="2"/>
            <w:sz w:val="24"/>
            <w:szCs w:val="24"/>
            <w:lang w:eastAsia="fr-BE"/>
            <w14:ligatures w14:val="standardContextual"/>
          </w:rPr>
          <w:tab/>
        </w:r>
        <w:r w:rsidRPr="0027322A">
          <w:rPr>
            <w:rStyle w:val="Lienhypertexte"/>
            <w:noProof/>
          </w:rPr>
          <w:t>Règles de fond et de forme</w:t>
        </w:r>
        <w:r>
          <w:rPr>
            <w:noProof/>
            <w:webHidden/>
          </w:rPr>
          <w:tab/>
        </w:r>
        <w:r>
          <w:rPr>
            <w:noProof/>
            <w:webHidden/>
          </w:rPr>
          <w:fldChar w:fldCharType="begin"/>
        </w:r>
        <w:r>
          <w:rPr>
            <w:noProof/>
            <w:webHidden/>
          </w:rPr>
          <w:instrText xml:space="preserve"> PAGEREF _Toc233626035 \h </w:instrText>
        </w:r>
        <w:r>
          <w:rPr>
            <w:noProof/>
            <w:webHidden/>
          </w:rPr>
        </w:r>
        <w:r>
          <w:rPr>
            <w:noProof/>
            <w:webHidden/>
          </w:rPr>
          <w:fldChar w:fldCharType="separate"/>
        </w:r>
        <w:r w:rsidR="001E3978">
          <w:rPr>
            <w:noProof/>
            <w:webHidden/>
          </w:rPr>
          <w:t>43</w:t>
        </w:r>
        <w:r>
          <w:rPr>
            <w:noProof/>
            <w:webHidden/>
          </w:rPr>
          <w:fldChar w:fldCharType="end"/>
        </w:r>
      </w:hyperlink>
    </w:p>
    <w:p w14:paraId="7536A3FC" w14:textId="249763B4" w:rsidR="00266B1F" w:rsidRDefault="00266B1F">
      <w:pPr>
        <w:pStyle w:val="TM3"/>
        <w:tabs>
          <w:tab w:val="left" w:pos="960"/>
          <w:tab w:val="right" w:leader="dot" w:pos="8630"/>
        </w:tabs>
        <w:rPr>
          <w:noProof/>
          <w:kern w:val="2"/>
          <w:sz w:val="24"/>
          <w:szCs w:val="24"/>
          <w:lang w:eastAsia="fr-BE"/>
          <w14:ligatures w14:val="standardContextual"/>
        </w:rPr>
      </w:pPr>
      <w:hyperlink w:anchor="_Toc233626036"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Qu’entend-on par « équilibre budgétaire » au niveau communal ?</w:t>
        </w:r>
        <w:r>
          <w:rPr>
            <w:noProof/>
            <w:webHidden/>
          </w:rPr>
          <w:tab/>
        </w:r>
        <w:r>
          <w:rPr>
            <w:noProof/>
            <w:webHidden/>
          </w:rPr>
          <w:fldChar w:fldCharType="begin"/>
        </w:r>
        <w:r>
          <w:rPr>
            <w:noProof/>
            <w:webHidden/>
          </w:rPr>
          <w:instrText xml:space="preserve"> PAGEREF _Toc233626036 \h </w:instrText>
        </w:r>
        <w:r>
          <w:rPr>
            <w:noProof/>
            <w:webHidden/>
          </w:rPr>
        </w:r>
        <w:r>
          <w:rPr>
            <w:noProof/>
            <w:webHidden/>
          </w:rPr>
          <w:fldChar w:fldCharType="separate"/>
        </w:r>
        <w:r w:rsidR="001E3978">
          <w:rPr>
            <w:noProof/>
            <w:webHidden/>
          </w:rPr>
          <w:t>43</w:t>
        </w:r>
        <w:r>
          <w:rPr>
            <w:noProof/>
            <w:webHidden/>
          </w:rPr>
          <w:fldChar w:fldCharType="end"/>
        </w:r>
      </w:hyperlink>
    </w:p>
    <w:p w14:paraId="4C3E02EA" w14:textId="383E6B62" w:rsidR="00266B1F" w:rsidRDefault="00266B1F">
      <w:pPr>
        <w:pStyle w:val="TM3"/>
        <w:tabs>
          <w:tab w:val="left" w:pos="960"/>
          <w:tab w:val="right" w:leader="dot" w:pos="8630"/>
        </w:tabs>
        <w:rPr>
          <w:noProof/>
          <w:kern w:val="2"/>
          <w:sz w:val="24"/>
          <w:szCs w:val="24"/>
          <w:lang w:eastAsia="fr-BE"/>
          <w14:ligatures w14:val="standardContextual"/>
        </w:rPr>
      </w:pPr>
      <w:hyperlink w:anchor="_Toc233626037"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Qui doit présenter un Plan de convergence et dans quel délai ?</w:t>
        </w:r>
        <w:r>
          <w:rPr>
            <w:noProof/>
            <w:webHidden/>
          </w:rPr>
          <w:tab/>
        </w:r>
        <w:r>
          <w:rPr>
            <w:noProof/>
            <w:webHidden/>
          </w:rPr>
          <w:fldChar w:fldCharType="begin"/>
        </w:r>
        <w:r>
          <w:rPr>
            <w:noProof/>
            <w:webHidden/>
          </w:rPr>
          <w:instrText xml:space="preserve"> PAGEREF _Toc233626037 \h </w:instrText>
        </w:r>
        <w:r>
          <w:rPr>
            <w:noProof/>
            <w:webHidden/>
          </w:rPr>
        </w:r>
        <w:r>
          <w:rPr>
            <w:noProof/>
            <w:webHidden/>
          </w:rPr>
          <w:fldChar w:fldCharType="separate"/>
        </w:r>
        <w:r w:rsidR="001E3978">
          <w:rPr>
            <w:noProof/>
            <w:webHidden/>
          </w:rPr>
          <w:t>44</w:t>
        </w:r>
        <w:r>
          <w:rPr>
            <w:noProof/>
            <w:webHidden/>
          </w:rPr>
          <w:fldChar w:fldCharType="end"/>
        </w:r>
      </w:hyperlink>
    </w:p>
    <w:p w14:paraId="0202BB54" w14:textId="19E091FB" w:rsidR="00266B1F" w:rsidRDefault="00266B1F">
      <w:pPr>
        <w:pStyle w:val="TM3"/>
        <w:tabs>
          <w:tab w:val="left" w:pos="960"/>
          <w:tab w:val="right" w:leader="dot" w:pos="8630"/>
        </w:tabs>
        <w:rPr>
          <w:noProof/>
          <w:kern w:val="2"/>
          <w:sz w:val="24"/>
          <w:szCs w:val="24"/>
          <w:lang w:eastAsia="fr-BE"/>
          <w14:ligatures w14:val="standardContextual"/>
        </w:rPr>
      </w:pPr>
      <w:hyperlink w:anchor="_Toc233626038"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L’approbation d’un crédit budgétaire suffit-elle pour réaliser une opération ?</w:t>
        </w:r>
        <w:r>
          <w:rPr>
            <w:noProof/>
            <w:webHidden/>
          </w:rPr>
          <w:tab/>
        </w:r>
        <w:r>
          <w:rPr>
            <w:noProof/>
            <w:webHidden/>
          </w:rPr>
          <w:fldChar w:fldCharType="begin"/>
        </w:r>
        <w:r>
          <w:rPr>
            <w:noProof/>
            <w:webHidden/>
          </w:rPr>
          <w:instrText xml:space="preserve"> PAGEREF _Toc233626038 \h </w:instrText>
        </w:r>
        <w:r>
          <w:rPr>
            <w:noProof/>
            <w:webHidden/>
          </w:rPr>
        </w:r>
        <w:r>
          <w:rPr>
            <w:noProof/>
            <w:webHidden/>
          </w:rPr>
          <w:fldChar w:fldCharType="separate"/>
        </w:r>
        <w:r w:rsidR="001E3978">
          <w:rPr>
            <w:noProof/>
            <w:webHidden/>
          </w:rPr>
          <w:t>44</w:t>
        </w:r>
        <w:r>
          <w:rPr>
            <w:noProof/>
            <w:webHidden/>
          </w:rPr>
          <w:fldChar w:fldCharType="end"/>
        </w:r>
      </w:hyperlink>
    </w:p>
    <w:p w14:paraId="3DD943B5" w14:textId="41249D20" w:rsidR="00266B1F" w:rsidRDefault="00266B1F">
      <w:pPr>
        <w:pStyle w:val="TM3"/>
        <w:tabs>
          <w:tab w:val="left" w:pos="960"/>
          <w:tab w:val="right" w:leader="dot" w:pos="8630"/>
        </w:tabs>
        <w:rPr>
          <w:noProof/>
          <w:kern w:val="2"/>
          <w:sz w:val="24"/>
          <w:szCs w:val="24"/>
          <w:lang w:eastAsia="fr-BE"/>
          <w14:ligatures w14:val="standardContextual"/>
        </w:rPr>
      </w:pPr>
      <w:hyperlink w:anchor="_Toc233626039"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Qu’exige la classification fonctionnelle et économique ?</w:t>
        </w:r>
        <w:r>
          <w:rPr>
            <w:noProof/>
            <w:webHidden/>
          </w:rPr>
          <w:tab/>
        </w:r>
        <w:r>
          <w:rPr>
            <w:noProof/>
            <w:webHidden/>
          </w:rPr>
          <w:fldChar w:fldCharType="begin"/>
        </w:r>
        <w:r>
          <w:rPr>
            <w:noProof/>
            <w:webHidden/>
          </w:rPr>
          <w:instrText xml:space="preserve"> PAGEREF _Toc233626039 \h </w:instrText>
        </w:r>
        <w:r>
          <w:rPr>
            <w:noProof/>
            <w:webHidden/>
          </w:rPr>
        </w:r>
        <w:r>
          <w:rPr>
            <w:noProof/>
            <w:webHidden/>
          </w:rPr>
          <w:fldChar w:fldCharType="separate"/>
        </w:r>
        <w:r w:rsidR="001E3978">
          <w:rPr>
            <w:noProof/>
            <w:webHidden/>
          </w:rPr>
          <w:t>44</w:t>
        </w:r>
        <w:r>
          <w:rPr>
            <w:noProof/>
            <w:webHidden/>
          </w:rPr>
          <w:fldChar w:fldCharType="end"/>
        </w:r>
      </w:hyperlink>
    </w:p>
    <w:p w14:paraId="53074774" w14:textId="5F324276" w:rsidR="00266B1F" w:rsidRDefault="00266B1F">
      <w:pPr>
        <w:pStyle w:val="TM3"/>
        <w:tabs>
          <w:tab w:val="left" w:pos="960"/>
          <w:tab w:val="right" w:leader="dot" w:pos="8630"/>
        </w:tabs>
        <w:rPr>
          <w:noProof/>
          <w:kern w:val="2"/>
          <w:sz w:val="24"/>
          <w:szCs w:val="24"/>
          <w:lang w:eastAsia="fr-BE"/>
          <w14:ligatures w14:val="standardContextual"/>
        </w:rPr>
      </w:pPr>
      <w:hyperlink w:anchor="_Toc233626040"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Qu’est-ce que le rapport de synergie commune–CPAS et est-il toujours obligatoire ?</w:t>
        </w:r>
        <w:r>
          <w:rPr>
            <w:noProof/>
            <w:webHidden/>
          </w:rPr>
          <w:tab/>
        </w:r>
        <w:r>
          <w:rPr>
            <w:noProof/>
            <w:webHidden/>
          </w:rPr>
          <w:fldChar w:fldCharType="begin"/>
        </w:r>
        <w:r>
          <w:rPr>
            <w:noProof/>
            <w:webHidden/>
          </w:rPr>
          <w:instrText xml:space="preserve"> PAGEREF _Toc233626040 \h </w:instrText>
        </w:r>
        <w:r>
          <w:rPr>
            <w:noProof/>
            <w:webHidden/>
          </w:rPr>
        </w:r>
        <w:r>
          <w:rPr>
            <w:noProof/>
            <w:webHidden/>
          </w:rPr>
          <w:fldChar w:fldCharType="separate"/>
        </w:r>
        <w:r w:rsidR="001E3978">
          <w:rPr>
            <w:noProof/>
            <w:webHidden/>
          </w:rPr>
          <w:t>44</w:t>
        </w:r>
        <w:r>
          <w:rPr>
            <w:noProof/>
            <w:webHidden/>
          </w:rPr>
          <w:fldChar w:fldCharType="end"/>
        </w:r>
      </w:hyperlink>
    </w:p>
    <w:p w14:paraId="594D0FAC" w14:textId="181D2335" w:rsidR="00266B1F" w:rsidRDefault="00266B1F">
      <w:pPr>
        <w:pStyle w:val="TM3"/>
        <w:tabs>
          <w:tab w:val="left" w:pos="960"/>
          <w:tab w:val="right" w:leader="dot" w:pos="8630"/>
        </w:tabs>
        <w:rPr>
          <w:noProof/>
          <w:kern w:val="2"/>
          <w:sz w:val="24"/>
          <w:szCs w:val="24"/>
          <w:lang w:eastAsia="fr-BE"/>
          <w14:ligatures w14:val="standardContextual"/>
        </w:rPr>
      </w:pPr>
      <w:hyperlink w:anchor="_Toc233626041" w:history="1">
        <w:r w:rsidRPr="0027322A">
          <w:rPr>
            <w:rStyle w:val="Lienhypertexte"/>
            <w:smallCaps/>
            <w:noProof/>
          </w:rPr>
          <w:t>F.</w:t>
        </w:r>
        <w:r>
          <w:rPr>
            <w:noProof/>
            <w:kern w:val="2"/>
            <w:sz w:val="24"/>
            <w:szCs w:val="24"/>
            <w:lang w:eastAsia="fr-BE"/>
            <w14:ligatures w14:val="standardContextual"/>
          </w:rPr>
          <w:tab/>
        </w:r>
        <w:r w:rsidRPr="0027322A">
          <w:rPr>
            <w:rStyle w:val="Lienhypertexte"/>
            <w:noProof/>
          </w:rPr>
          <w:t>À quoi sert la commission article 12 (RGCC) et qui la compose ?</w:t>
        </w:r>
        <w:r>
          <w:rPr>
            <w:noProof/>
            <w:webHidden/>
          </w:rPr>
          <w:tab/>
        </w:r>
        <w:r>
          <w:rPr>
            <w:noProof/>
            <w:webHidden/>
          </w:rPr>
          <w:fldChar w:fldCharType="begin"/>
        </w:r>
        <w:r>
          <w:rPr>
            <w:noProof/>
            <w:webHidden/>
          </w:rPr>
          <w:instrText xml:space="preserve"> PAGEREF _Toc233626041 \h </w:instrText>
        </w:r>
        <w:r>
          <w:rPr>
            <w:noProof/>
            <w:webHidden/>
          </w:rPr>
        </w:r>
        <w:r>
          <w:rPr>
            <w:noProof/>
            <w:webHidden/>
          </w:rPr>
          <w:fldChar w:fldCharType="separate"/>
        </w:r>
        <w:r w:rsidR="001E3978">
          <w:rPr>
            <w:noProof/>
            <w:webHidden/>
          </w:rPr>
          <w:t>44</w:t>
        </w:r>
        <w:r>
          <w:rPr>
            <w:noProof/>
            <w:webHidden/>
          </w:rPr>
          <w:fldChar w:fldCharType="end"/>
        </w:r>
      </w:hyperlink>
    </w:p>
    <w:p w14:paraId="7C5F0DDA" w14:textId="140DA033" w:rsidR="00266B1F" w:rsidRDefault="00266B1F">
      <w:pPr>
        <w:pStyle w:val="TM3"/>
        <w:tabs>
          <w:tab w:val="left" w:pos="960"/>
          <w:tab w:val="right" w:leader="dot" w:pos="8630"/>
        </w:tabs>
        <w:rPr>
          <w:noProof/>
          <w:kern w:val="2"/>
          <w:sz w:val="24"/>
          <w:szCs w:val="24"/>
          <w:lang w:eastAsia="fr-BE"/>
          <w14:ligatures w14:val="standardContextual"/>
        </w:rPr>
      </w:pPr>
      <w:hyperlink w:anchor="_Toc233626042" w:history="1">
        <w:r w:rsidRPr="0027322A">
          <w:rPr>
            <w:rStyle w:val="Lienhypertexte"/>
            <w:smallCaps/>
            <w:noProof/>
          </w:rPr>
          <w:t>G.</w:t>
        </w:r>
        <w:r>
          <w:rPr>
            <w:noProof/>
            <w:kern w:val="2"/>
            <w:sz w:val="24"/>
            <w:szCs w:val="24"/>
            <w:lang w:eastAsia="fr-BE"/>
            <w14:ligatures w14:val="standardContextual"/>
          </w:rPr>
          <w:tab/>
        </w:r>
        <w:r w:rsidRPr="0027322A">
          <w:rPr>
            <w:rStyle w:val="Lienhypertexte"/>
            <w:noProof/>
          </w:rPr>
          <w:t>Quel est le contenu du rapport synthétisant le projet de budget (art. L1122-23 CDLD) ?</w:t>
        </w:r>
        <w:r>
          <w:rPr>
            <w:noProof/>
            <w:webHidden/>
          </w:rPr>
          <w:tab/>
        </w:r>
        <w:r>
          <w:rPr>
            <w:noProof/>
            <w:webHidden/>
          </w:rPr>
          <w:fldChar w:fldCharType="begin"/>
        </w:r>
        <w:r>
          <w:rPr>
            <w:noProof/>
            <w:webHidden/>
          </w:rPr>
          <w:instrText xml:space="preserve"> PAGEREF _Toc233626042 \h </w:instrText>
        </w:r>
        <w:r>
          <w:rPr>
            <w:noProof/>
            <w:webHidden/>
          </w:rPr>
        </w:r>
        <w:r>
          <w:rPr>
            <w:noProof/>
            <w:webHidden/>
          </w:rPr>
          <w:fldChar w:fldCharType="separate"/>
        </w:r>
        <w:r w:rsidR="001E3978">
          <w:rPr>
            <w:noProof/>
            <w:webHidden/>
          </w:rPr>
          <w:t>45</w:t>
        </w:r>
        <w:r>
          <w:rPr>
            <w:noProof/>
            <w:webHidden/>
          </w:rPr>
          <w:fldChar w:fldCharType="end"/>
        </w:r>
      </w:hyperlink>
    </w:p>
    <w:p w14:paraId="65A35243" w14:textId="24CF2A7A" w:rsidR="00266B1F" w:rsidRDefault="00266B1F">
      <w:pPr>
        <w:pStyle w:val="TM3"/>
        <w:tabs>
          <w:tab w:val="left" w:pos="960"/>
          <w:tab w:val="right" w:leader="dot" w:pos="8630"/>
        </w:tabs>
        <w:rPr>
          <w:noProof/>
          <w:kern w:val="2"/>
          <w:sz w:val="24"/>
          <w:szCs w:val="24"/>
          <w:lang w:eastAsia="fr-BE"/>
          <w14:ligatures w14:val="standardContextual"/>
        </w:rPr>
      </w:pPr>
      <w:hyperlink w:anchor="_Toc233626043" w:history="1">
        <w:r w:rsidRPr="0027322A">
          <w:rPr>
            <w:rStyle w:val="Lienhypertexte"/>
            <w:smallCaps/>
            <w:noProof/>
          </w:rPr>
          <w:t>H.</w:t>
        </w:r>
        <w:r>
          <w:rPr>
            <w:noProof/>
            <w:kern w:val="2"/>
            <w:sz w:val="24"/>
            <w:szCs w:val="24"/>
            <w:lang w:eastAsia="fr-BE"/>
            <w14:ligatures w14:val="standardContextual"/>
          </w:rPr>
          <w:tab/>
        </w:r>
        <w:r w:rsidRPr="0027322A">
          <w:rPr>
            <w:rStyle w:val="Lienhypertexte"/>
            <w:noProof/>
          </w:rPr>
          <w:t>Comment fonctionne le numéro de projet extraordinaire et que prévoir en cas d’ajustements ?</w:t>
        </w:r>
        <w:r>
          <w:rPr>
            <w:noProof/>
            <w:webHidden/>
          </w:rPr>
          <w:tab/>
        </w:r>
        <w:r>
          <w:rPr>
            <w:noProof/>
            <w:webHidden/>
          </w:rPr>
          <w:fldChar w:fldCharType="begin"/>
        </w:r>
        <w:r>
          <w:rPr>
            <w:noProof/>
            <w:webHidden/>
          </w:rPr>
          <w:instrText xml:space="preserve"> PAGEREF _Toc233626043 \h </w:instrText>
        </w:r>
        <w:r>
          <w:rPr>
            <w:noProof/>
            <w:webHidden/>
          </w:rPr>
        </w:r>
        <w:r>
          <w:rPr>
            <w:noProof/>
            <w:webHidden/>
          </w:rPr>
          <w:fldChar w:fldCharType="separate"/>
        </w:r>
        <w:r w:rsidR="001E3978">
          <w:rPr>
            <w:noProof/>
            <w:webHidden/>
          </w:rPr>
          <w:t>45</w:t>
        </w:r>
        <w:r>
          <w:rPr>
            <w:noProof/>
            <w:webHidden/>
          </w:rPr>
          <w:fldChar w:fldCharType="end"/>
        </w:r>
      </w:hyperlink>
    </w:p>
    <w:p w14:paraId="4597CE19" w14:textId="3F77D457" w:rsidR="00266B1F" w:rsidRDefault="00266B1F">
      <w:pPr>
        <w:pStyle w:val="TM2"/>
        <w:tabs>
          <w:tab w:val="left" w:pos="720"/>
          <w:tab w:val="right" w:leader="dot" w:pos="8630"/>
        </w:tabs>
        <w:rPr>
          <w:noProof/>
          <w:kern w:val="2"/>
          <w:sz w:val="24"/>
          <w:szCs w:val="24"/>
          <w:lang w:eastAsia="fr-BE"/>
          <w14:ligatures w14:val="standardContextual"/>
        </w:rPr>
      </w:pPr>
      <w:hyperlink w:anchor="_Toc233626044" w:history="1">
        <w:r w:rsidRPr="0027322A">
          <w:rPr>
            <w:rStyle w:val="Lienhypertexte"/>
            <w:noProof/>
          </w:rPr>
          <w:t>3.</w:t>
        </w:r>
        <w:r>
          <w:rPr>
            <w:noProof/>
            <w:kern w:val="2"/>
            <w:sz w:val="24"/>
            <w:szCs w:val="24"/>
            <w:lang w:eastAsia="fr-BE"/>
            <w14:ligatures w14:val="standardContextual"/>
          </w:rPr>
          <w:tab/>
        </w:r>
        <w:r w:rsidRPr="0027322A">
          <w:rPr>
            <w:rStyle w:val="Lienhypertexte"/>
            <w:noProof/>
          </w:rPr>
          <w:t>Présentation budgétaire</w:t>
        </w:r>
        <w:r>
          <w:rPr>
            <w:noProof/>
            <w:webHidden/>
          </w:rPr>
          <w:tab/>
        </w:r>
        <w:r>
          <w:rPr>
            <w:noProof/>
            <w:webHidden/>
          </w:rPr>
          <w:fldChar w:fldCharType="begin"/>
        </w:r>
        <w:r>
          <w:rPr>
            <w:noProof/>
            <w:webHidden/>
          </w:rPr>
          <w:instrText xml:space="preserve"> PAGEREF _Toc233626044 \h </w:instrText>
        </w:r>
        <w:r>
          <w:rPr>
            <w:noProof/>
            <w:webHidden/>
          </w:rPr>
        </w:r>
        <w:r>
          <w:rPr>
            <w:noProof/>
            <w:webHidden/>
          </w:rPr>
          <w:fldChar w:fldCharType="separate"/>
        </w:r>
        <w:r w:rsidR="001E3978">
          <w:rPr>
            <w:noProof/>
            <w:webHidden/>
          </w:rPr>
          <w:t>45</w:t>
        </w:r>
        <w:r>
          <w:rPr>
            <w:noProof/>
            <w:webHidden/>
          </w:rPr>
          <w:fldChar w:fldCharType="end"/>
        </w:r>
      </w:hyperlink>
    </w:p>
    <w:p w14:paraId="6BCA754A" w14:textId="420206E8" w:rsidR="00266B1F" w:rsidRDefault="00266B1F">
      <w:pPr>
        <w:pStyle w:val="TM3"/>
        <w:tabs>
          <w:tab w:val="left" w:pos="960"/>
          <w:tab w:val="right" w:leader="dot" w:pos="8630"/>
        </w:tabs>
        <w:rPr>
          <w:noProof/>
          <w:kern w:val="2"/>
          <w:sz w:val="24"/>
          <w:szCs w:val="24"/>
          <w:lang w:eastAsia="fr-BE"/>
          <w14:ligatures w14:val="standardContextual"/>
        </w:rPr>
      </w:pPr>
      <w:hyperlink w:anchor="_Toc233626045"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Forme</w:t>
        </w:r>
        <w:r>
          <w:rPr>
            <w:noProof/>
            <w:webHidden/>
          </w:rPr>
          <w:tab/>
        </w:r>
        <w:r>
          <w:rPr>
            <w:noProof/>
            <w:webHidden/>
          </w:rPr>
          <w:fldChar w:fldCharType="begin"/>
        </w:r>
        <w:r>
          <w:rPr>
            <w:noProof/>
            <w:webHidden/>
          </w:rPr>
          <w:instrText xml:space="preserve"> PAGEREF _Toc233626045 \h </w:instrText>
        </w:r>
        <w:r>
          <w:rPr>
            <w:noProof/>
            <w:webHidden/>
          </w:rPr>
        </w:r>
        <w:r>
          <w:rPr>
            <w:noProof/>
            <w:webHidden/>
          </w:rPr>
          <w:fldChar w:fldCharType="separate"/>
        </w:r>
        <w:r w:rsidR="001E3978">
          <w:rPr>
            <w:noProof/>
            <w:webHidden/>
          </w:rPr>
          <w:t>45</w:t>
        </w:r>
        <w:r>
          <w:rPr>
            <w:noProof/>
            <w:webHidden/>
          </w:rPr>
          <w:fldChar w:fldCharType="end"/>
        </w:r>
      </w:hyperlink>
    </w:p>
    <w:p w14:paraId="51027A6A" w14:textId="5A7A400D" w:rsidR="00266B1F" w:rsidRDefault="00266B1F">
      <w:pPr>
        <w:pStyle w:val="TM3"/>
        <w:tabs>
          <w:tab w:val="left" w:pos="960"/>
          <w:tab w:val="right" w:leader="dot" w:pos="8630"/>
        </w:tabs>
        <w:rPr>
          <w:noProof/>
          <w:kern w:val="2"/>
          <w:sz w:val="24"/>
          <w:szCs w:val="24"/>
          <w:lang w:eastAsia="fr-BE"/>
          <w14:ligatures w14:val="standardContextual"/>
        </w:rPr>
      </w:pPr>
      <w:hyperlink w:anchor="_Toc233626046"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Tableau de synthèse</w:t>
        </w:r>
        <w:r>
          <w:rPr>
            <w:noProof/>
            <w:webHidden/>
          </w:rPr>
          <w:tab/>
        </w:r>
        <w:r>
          <w:rPr>
            <w:noProof/>
            <w:webHidden/>
          </w:rPr>
          <w:fldChar w:fldCharType="begin"/>
        </w:r>
        <w:r>
          <w:rPr>
            <w:noProof/>
            <w:webHidden/>
          </w:rPr>
          <w:instrText xml:space="preserve"> PAGEREF _Toc233626046 \h </w:instrText>
        </w:r>
        <w:r>
          <w:rPr>
            <w:noProof/>
            <w:webHidden/>
          </w:rPr>
        </w:r>
        <w:r>
          <w:rPr>
            <w:noProof/>
            <w:webHidden/>
          </w:rPr>
          <w:fldChar w:fldCharType="separate"/>
        </w:r>
        <w:r w:rsidR="001E3978">
          <w:rPr>
            <w:noProof/>
            <w:webHidden/>
          </w:rPr>
          <w:t>46</w:t>
        </w:r>
        <w:r>
          <w:rPr>
            <w:noProof/>
            <w:webHidden/>
          </w:rPr>
          <w:fldChar w:fldCharType="end"/>
        </w:r>
      </w:hyperlink>
    </w:p>
    <w:p w14:paraId="671F08F3" w14:textId="2EC72DD0" w:rsidR="00266B1F" w:rsidRDefault="00266B1F">
      <w:pPr>
        <w:pStyle w:val="TM2"/>
        <w:tabs>
          <w:tab w:val="left" w:pos="720"/>
          <w:tab w:val="right" w:leader="dot" w:pos="8630"/>
        </w:tabs>
        <w:rPr>
          <w:noProof/>
          <w:kern w:val="2"/>
          <w:sz w:val="24"/>
          <w:szCs w:val="24"/>
          <w:lang w:eastAsia="fr-BE"/>
          <w14:ligatures w14:val="standardContextual"/>
        </w:rPr>
      </w:pPr>
      <w:hyperlink w:anchor="_Toc233626047" w:history="1">
        <w:r w:rsidRPr="0027322A">
          <w:rPr>
            <w:rStyle w:val="Lienhypertexte"/>
            <w:noProof/>
          </w:rPr>
          <w:t>4.</w:t>
        </w:r>
        <w:r>
          <w:rPr>
            <w:noProof/>
            <w:kern w:val="2"/>
            <w:sz w:val="24"/>
            <w:szCs w:val="24"/>
            <w:lang w:eastAsia="fr-BE"/>
            <w14:ligatures w14:val="standardContextual"/>
          </w:rPr>
          <w:tab/>
        </w:r>
        <w:r w:rsidRPr="0027322A">
          <w:rPr>
            <w:rStyle w:val="Lienhypertexte"/>
            <w:noProof/>
          </w:rPr>
          <w:t>Annexes et pièces justificatives</w:t>
        </w:r>
        <w:r>
          <w:rPr>
            <w:noProof/>
            <w:webHidden/>
          </w:rPr>
          <w:tab/>
        </w:r>
        <w:r>
          <w:rPr>
            <w:noProof/>
            <w:webHidden/>
          </w:rPr>
          <w:fldChar w:fldCharType="begin"/>
        </w:r>
        <w:r>
          <w:rPr>
            <w:noProof/>
            <w:webHidden/>
          </w:rPr>
          <w:instrText xml:space="preserve"> PAGEREF _Toc233626047 \h </w:instrText>
        </w:r>
        <w:r>
          <w:rPr>
            <w:noProof/>
            <w:webHidden/>
          </w:rPr>
        </w:r>
        <w:r>
          <w:rPr>
            <w:noProof/>
            <w:webHidden/>
          </w:rPr>
          <w:fldChar w:fldCharType="separate"/>
        </w:r>
        <w:r w:rsidR="001E3978">
          <w:rPr>
            <w:noProof/>
            <w:webHidden/>
          </w:rPr>
          <w:t>47</w:t>
        </w:r>
        <w:r>
          <w:rPr>
            <w:noProof/>
            <w:webHidden/>
          </w:rPr>
          <w:fldChar w:fldCharType="end"/>
        </w:r>
      </w:hyperlink>
    </w:p>
    <w:p w14:paraId="2CA74751" w14:textId="5806DA0B" w:rsidR="00266B1F" w:rsidRDefault="00266B1F">
      <w:pPr>
        <w:pStyle w:val="TM3"/>
        <w:tabs>
          <w:tab w:val="left" w:pos="960"/>
          <w:tab w:val="right" w:leader="dot" w:pos="8630"/>
        </w:tabs>
        <w:rPr>
          <w:noProof/>
          <w:kern w:val="2"/>
          <w:sz w:val="24"/>
          <w:szCs w:val="24"/>
          <w:lang w:eastAsia="fr-BE"/>
          <w14:ligatures w14:val="standardContextual"/>
        </w:rPr>
      </w:pPr>
      <w:hyperlink w:anchor="_Toc233626048"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Les documents budgétaires sont-ils exécutoires avant approbation ?</w:t>
        </w:r>
        <w:r>
          <w:rPr>
            <w:noProof/>
            <w:webHidden/>
          </w:rPr>
          <w:tab/>
        </w:r>
        <w:r>
          <w:rPr>
            <w:noProof/>
            <w:webHidden/>
          </w:rPr>
          <w:fldChar w:fldCharType="begin"/>
        </w:r>
        <w:r>
          <w:rPr>
            <w:noProof/>
            <w:webHidden/>
          </w:rPr>
          <w:instrText xml:space="preserve"> PAGEREF _Toc233626048 \h </w:instrText>
        </w:r>
        <w:r>
          <w:rPr>
            <w:noProof/>
            <w:webHidden/>
          </w:rPr>
        </w:r>
        <w:r>
          <w:rPr>
            <w:noProof/>
            <w:webHidden/>
          </w:rPr>
          <w:fldChar w:fldCharType="separate"/>
        </w:r>
        <w:r w:rsidR="001E3978">
          <w:rPr>
            <w:noProof/>
            <w:webHidden/>
          </w:rPr>
          <w:t>51</w:t>
        </w:r>
        <w:r>
          <w:rPr>
            <w:noProof/>
            <w:webHidden/>
          </w:rPr>
          <w:fldChar w:fldCharType="end"/>
        </w:r>
      </w:hyperlink>
    </w:p>
    <w:p w14:paraId="2867BDA0" w14:textId="6A6A1BB8" w:rsidR="00266B1F" w:rsidRDefault="00266B1F">
      <w:pPr>
        <w:pStyle w:val="TM3"/>
        <w:tabs>
          <w:tab w:val="left" w:pos="960"/>
          <w:tab w:val="right" w:leader="dot" w:pos="8630"/>
        </w:tabs>
        <w:rPr>
          <w:noProof/>
          <w:kern w:val="2"/>
          <w:sz w:val="24"/>
          <w:szCs w:val="24"/>
          <w:lang w:eastAsia="fr-BE"/>
          <w14:ligatures w14:val="standardContextual"/>
        </w:rPr>
      </w:pPr>
      <w:hyperlink w:anchor="_Toc233626049"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Quelles annexes et pièces justificatives doivent accompagner le budget ?</w:t>
        </w:r>
        <w:r>
          <w:rPr>
            <w:noProof/>
            <w:webHidden/>
          </w:rPr>
          <w:tab/>
        </w:r>
        <w:r>
          <w:rPr>
            <w:noProof/>
            <w:webHidden/>
          </w:rPr>
          <w:fldChar w:fldCharType="begin"/>
        </w:r>
        <w:r>
          <w:rPr>
            <w:noProof/>
            <w:webHidden/>
          </w:rPr>
          <w:instrText xml:space="preserve"> PAGEREF _Toc233626049 \h </w:instrText>
        </w:r>
        <w:r>
          <w:rPr>
            <w:noProof/>
            <w:webHidden/>
          </w:rPr>
        </w:r>
        <w:r>
          <w:rPr>
            <w:noProof/>
            <w:webHidden/>
          </w:rPr>
          <w:fldChar w:fldCharType="separate"/>
        </w:r>
        <w:r w:rsidR="001E3978">
          <w:rPr>
            <w:noProof/>
            <w:webHidden/>
          </w:rPr>
          <w:t>51</w:t>
        </w:r>
        <w:r>
          <w:rPr>
            <w:noProof/>
            <w:webHidden/>
          </w:rPr>
          <w:fldChar w:fldCharType="end"/>
        </w:r>
      </w:hyperlink>
    </w:p>
    <w:p w14:paraId="2EE27CBE" w14:textId="05B7053A" w:rsidR="00266B1F" w:rsidRDefault="00266B1F">
      <w:pPr>
        <w:pStyle w:val="TM3"/>
        <w:tabs>
          <w:tab w:val="left" w:pos="960"/>
          <w:tab w:val="right" w:leader="dot" w:pos="8630"/>
        </w:tabs>
        <w:rPr>
          <w:noProof/>
          <w:kern w:val="2"/>
          <w:sz w:val="24"/>
          <w:szCs w:val="24"/>
          <w:lang w:eastAsia="fr-BE"/>
          <w14:ligatures w14:val="standardContextual"/>
        </w:rPr>
      </w:pPr>
      <w:hyperlink w:anchor="_Toc233626050"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Peut-on s’appuyer sur des modèles et sur l’application eComptes ?</w:t>
        </w:r>
        <w:r>
          <w:rPr>
            <w:noProof/>
            <w:webHidden/>
          </w:rPr>
          <w:tab/>
        </w:r>
        <w:r>
          <w:rPr>
            <w:noProof/>
            <w:webHidden/>
          </w:rPr>
          <w:fldChar w:fldCharType="begin"/>
        </w:r>
        <w:r>
          <w:rPr>
            <w:noProof/>
            <w:webHidden/>
          </w:rPr>
          <w:instrText xml:space="preserve"> PAGEREF _Toc233626050 \h </w:instrText>
        </w:r>
        <w:r>
          <w:rPr>
            <w:noProof/>
            <w:webHidden/>
          </w:rPr>
        </w:r>
        <w:r>
          <w:rPr>
            <w:noProof/>
            <w:webHidden/>
          </w:rPr>
          <w:fldChar w:fldCharType="separate"/>
        </w:r>
        <w:r w:rsidR="001E3978">
          <w:rPr>
            <w:noProof/>
            <w:webHidden/>
          </w:rPr>
          <w:t>51</w:t>
        </w:r>
        <w:r>
          <w:rPr>
            <w:noProof/>
            <w:webHidden/>
          </w:rPr>
          <w:fldChar w:fldCharType="end"/>
        </w:r>
      </w:hyperlink>
    </w:p>
    <w:p w14:paraId="41D841CA" w14:textId="74D29126" w:rsidR="00266B1F" w:rsidRDefault="00266B1F">
      <w:pPr>
        <w:pStyle w:val="TM3"/>
        <w:tabs>
          <w:tab w:val="left" w:pos="960"/>
          <w:tab w:val="right" w:leader="dot" w:pos="8630"/>
        </w:tabs>
        <w:rPr>
          <w:noProof/>
          <w:kern w:val="2"/>
          <w:sz w:val="24"/>
          <w:szCs w:val="24"/>
          <w:lang w:eastAsia="fr-BE"/>
          <w14:ligatures w14:val="standardContextual"/>
        </w:rPr>
      </w:pPr>
      <w:hyperlink w:anchor="_Toc233626051"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Quelles sont les règles de transmission aux conseillers communaux ?</w:t>
        </w:r>
        <w:r>
          <w:rPr>
            <w:noProof/>
            <w:webHidden/>
          </w:rPr>
          <w:tab/>
        </w:r>
        <w:r>
          <w:rPr>
            <w:noProof/>
            <w:webHidden/>
          </w:rPr>
          <w:fldChar w:fldCharType="begin"/>
        </w:r>
        <w:r>
          <w:rPr>
            <w:noProof/>
            <w:webHidden/>
          </w:rPr>
          <w:instrText xml:space="preserve"> PAGEREF _Toc233626051 \h </w:instrText>
        </w:r>
        <w:r>
          <w:rPr>
            <w:noProof/>
            <w:webHidden/>
          </w:rPr>
        </w:r>
        <w:r>
          <w:rPr>
            <w:noProof/>
            <w:webHidden/>
          </w:rPr>
          <w:fldChar w:fldCharType="separate"/>
        </w:r>
        <w:r w:rsidR="001E3978">
          <w:rPr>
            <w:noProof/>
            <w:webHidden/>
          </w:rPr>
          <w:t>52</w:t>
        </w:r>
        <w:r>
          <w:rPr>
            <w:noProof/>
            <w:webHidden/>
          </w:rPr>
          <w:fldChar w:fldCharType="end"/>
        </w:r>
      </w:hyperlink>
    </w:p>
    <w:p w14:paraId="2060C823" w14:textId="149EE1BC" w:rsidR="00266B1F" w:rsidRDefault="00266B1F">
      <w:pPr>
        <w:pStyle w:val="TM3"/>
        <w:tabs>
          <w:tab w:val="left" w:pos="960"/>
          <w:tab w:val="right" w:leader="dot" w:pos="8630"/>
        </w:tabs>
        <w:rPr>
          <w:noProof/>
          <w:kern w:val="2"/>
          <w:sz w:val="24"/>
          <w:szCs w:val="24"/>
          <w:lang w:eastAsia="fr-BE"/>
          <w14:ligatures w14:val="standardContextual"/>
        </w:rPr>
      </w:pPr>
      <w:hyperlink w:anchor="_Toc233626052"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Que se passe-t-il en cas d’absence d’une ou plusieurs annexes ?</w:t>
        </w:r>
        <w:r>
          <w:rPr>
            <w:noProof/>
            <w:webHidden/>
          </w:rPr>
          <w:tab/>
        </w:r>
        <w:r>
          <w:rPr>
            <w:noProof/>
            <w:webHidden/>
          </w:rPr>
          <w:fldChar w:fldCharType="begin"/>
        </w:r>
        <w:r>
          <w:rPr>
            <w:noProof/>
            <w:webHidden/>
          </w:rPr>
          <w:instrText xml:space="preserve"> PAGEREF _Toc233626052 \h </w:instrText>
        </w:r>
        <w:r>
          <w:rPr>
            <w:noProof/>
            <w:webHidden/>
          </w:rPr>
        </w:r>
        <w:r>
          <w:rPr>
            <w:noProof/>
            <w:webHidden/>
          </w:rPr>
          <w:fldChar w:fldCharType="separate"/>
        </w:r>
        <w:r w:rsidR="001E3978">
          <w:rPr>
            <w:noProof/>
            <w:webHidden/>
          </w:rPr>
          <w:t>52</w:t>
        </w:r>
        <w:r>
          <w:rPr>
            <w:noProof/>
            <w:webHidden/>
          </w:rPr>
          <w:fldChar w:fldCharType="end"/>
        </w:r>
      </w:hyperlink>
    </w:p>
    <w:p w14:paraId="3BEAB3D1" w14:textId="682F701F" w:rsidR="00266B1F" w:rsidRDefault="00266B1F">
      <w:pPr>
        <w:pStyle w:val="TM2"/>
        <w:tabs>
          <w:tab w:val="left" w:pos="720"/>
          <w:tab w:val="right" w:leader="dot" w:pos="8630"/>
        </w:tabs>
        <w:rPr>
          <w:noProof/>
          <w:kern w:val="2"/>
          <w:sz w:val="24"/>
          <w:szCs w:val="24"/>
          <w:lang w:eastAsia="fr-BE"/>
          <w14:ligatures w14:val="standardContextual"/>
        </w:rPr>
      </w:pPr>
      <w:hyperlink w:anchor="_Toc233626053" w:history="1">
        <w:r w:rsidRPr="0027322A">
          <w:rPr>
            <w:rStyle w:val="Lienhypertexte"/>
            <w:noProof/>
          </w:rPr>
          <w:t>5.</w:t>
        </w:r>
        <w:r>
          <w:rPr>
            <w:noProof/>
            <w:kern w:val="2"/>
            <w:sz w:val="24"/>
            <w:szCs w:val="24"/>
            <w:lang w:eastAsia="fr-BE"/>
            <w14:ligatures w14:val="standardContextual"/>
          </w:rPr>
          <w:tab/>
        </w:r>
        <w:r w:rsidRPr="0027322A">
          <w:rPr>
            <w:rStyle w:val="Lienhypertexte"/>
            <w:noProof/>
          </w:rPr>
          <w:t>Crédits provisoires</w:t>
        </w:r>
        <w:r>
          <w:rPr>
            <w:noProof/>
            <w:webHidden/>
          </w:rPr>
          <w:tab/>
        </w:r>
        <w:r>
          <w:rPr>
            <w:noProof/>
            <w:webHidden/>
          </w:rPr>
          <w:fldChar w:fldCharType="begin"/>
        </w:r>
        <w:r>
          <w:rPr>
            <w:noProof/>
            <w:webHidden/>
          </w:rPr>
          <w:instrText xml:space="preserve"> PAGEREF _Toc233626053 \h </w:instrText>
        </w:r>
        <w:r>
          <w:rPr>
            <w:noProof/>
            <w:webHidden/>
          </w:rPr>
        </w:r>
        <w:r>
          <w:rPr>
            <w:noProof/>
            <w:webHidden/>
          </w:rPr>
          <w:fldChar w:fldCharType="separate"/>
        </w:r>
        <w:r w:rsidR="001E3978">
          <w:rPr>
            <w:noProof/>
            <w:webHidden/>
          </w:rPr>
          <w:t>52</w:t>
        </w:r>
        <w:r>
          <w:rPr>
            <w:noProof/>
            <w:webHidden/>
          </w:rPr>
          <w:fldChar w:fldCharType="end"/>
        </w:r>
      </w:hyperlink>
    </w:p>
    <w:p w14:paraId="36012F3E" w14:textId="70F4B369" w:rsidR="00266B1F" w:rsidRDefault="00266B1F">
      <w:pPr>
        <w:pStyle w:val="TM3"/>
        <w:tabs>
          <w:tab w:val="left" w:pos="960"/>
          <w:tab w:val="right" w:leader="dot" w:pos="8630"/>
        </w:tabs>
        <w:rPr>
          <w:noProof/>
          <w:kern w:val="2"/>
          <w:sz w:val="24"/>
          <w:szCs w:val="24"/>
          <w:lang w:eastAsia="fr-BE"/>
          <w14:ligatures w14:val="standardContextual"/>
        </w:rPr>
      </w:pPr>
      <w:hyperlink w:anchor="_Toc233626054"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Qu’est-ce qu’un crédit provisoire et quelle est la base légale ?</w:t>
        </w:r>
        <w:r>
          <w:rPr>
            <w:noProof/>
            <w:webHidden/>
          </w:rPr>
          <w:tab/>
        </w:r>
        <w:r>
          <w:rPr>
            <w:noProof/>
            <w:webHidden/>
          </w:rPr>
          <w:fldChar w:fldCharType="begin"/>
        </w:r>
        <w:r>
          <w:rPr>
            <w:noProof/>
            <w:webHidden/>
          </w:rPr>
          <w:instrText xml:space="preserve"> PAGEREF _Toc233626054 \h </w:instrText>
        </w:r>
        <w:r>
          <w:rPr>
            <w:noProof/>
            <w:webHidden/>
          </w:rPr>
        </w:r>
        <w:r>
          <w:rPr>
            <w:noProof/>
            <w:webHidden/>
          </w:rPr>
          <w:fldChar w:fldCharType="separate"/>
        </w:r>
        <w:r w:rsidR="001E3978">
          <w:rPr>
            <w:noProof/>
            <w:webHidden/>
          </w:rPr>
          <w:t>52</w:t>
        </w:r>
        <w:r>
          <w:rPr>
            <w:noProof/>
            <w:webHidden/>
          </w:rPr>
          <w:fldChar w:fldCharType="end"/>
        </w:r>
      </w:hyperlink>
    </w:p>
    <w:p w14:paraId="667E40F4" w14:textId="1B24DCD4" w:rsidR="00266B1F" w:rsidRDefault="00266B1F">
      <w:pPr>
        <w:pStyle w:val="TM3"/>
        <w:tabs>
          <w:tab w:val="left" w:pos="960"/>
          <w:tab w:val="right" w:leader="dot" w:pos="8630"/>
        </w:tabs>
        <w:rPr>
          <w:noProof/>
          <w:kern w:val="2"/>
          <w:sz w:val="24"/>
          <w:szCs w:val="24"/>
          <w:lang w:eastAsia="fr-BE"/>
          <w14:ligatures w14:val="standardContextual"/>
        </w:rPr>
      </w:pPr>
      <w:hyperlink w:anchor="_Toc233626055"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Qui arrête les crédits provisoires si le budget n’est pas encore voté ?</w:t>
        </w:r>
        <w:r>
          <w:rPr>
            <w:noProof/>
            <w:webHidden/>
          </w:rPr>
          <w:tab/>
        </w:r>
        <w:r>
          <w:rPr>
            <w:noProof/>
            <w:webHidden/>
          </w:rPr>
          <w:fldChar w:fldCharType="begin"/>
        </w:r>
        <w:r>
          <w:rPr>
            <w:noProof/>
            <w:webHidden/>
          </w:rPr>
          <w:instrText xml:space="preserve"> PAGEREF _Toc233626055 \h </w:instrText>
        </w:r>
        <w:r>
          <w:rPr>
            <w:noProof/>
            <w:webHidden/>
          </w:rPr>
        </w:r>
        <w:r>
          <w:rPr>
            <w:noProof/>
            <w:webHidden/>
          </w:rPr>
          <w:fldChar w:fldCharType="separate"/>
        </w:r>
        <w:r w:rsidR="001E3978">
          <w:rPr>
            <w:noProof/>
            <w:webHidden/>
          </w:rPr>
          <w:t>52</w:t>
        </w:r>
        <w:r>
          <w:rPr>
            <w:noProof/>
            <w:webHidden/>
          </w:rPr>
          <w:fldChar w:fldCharType="end"/>
        </w:r>
      </w:hyperlink>
    </w:p>
    <w:p w14:paraId="148EABE8" w14:textId="3DC1CF77" w:rsidR="00266B1F" w:rsidRDefault="00266B1F">
      <w:pPr>
        <w:pStyle w:val="TM3"/>
        <w:tabs>
          <w:tab w:val="left" w:pos="960"/>
          <w:tab w:val="right" w:leader="dot" w:pos="8630"/>
        </w:tabs>
        <w:rPr>
          <w:noProof/>
          <w:kern w:val="2"/>
          <w:sz w:val="24"/>
          <w:szCs w:val="24"/>
          <w:lang w:eastAsia="fr-BE"/>
          <w14:ligatures w14:val="standardContextual"/>
        </w:rPr>
      </w:pPr>
      <w:hyperlink w:anchor="_Toc233626056"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Quel est le plafond mensuel autorisé ?</w:t>
        </w:r>
        <w:r>
          <w:rPr>
            <w:noProof/>
            <w:webHidden/>
          </w:rPr>
          <w:tab/>
        </w:r>
        <w:r>
          <w:rPr>
            <w:noProof/>
            <w:webHidden/>
          </w:rPr>
          <w:fldChar w:fldCharType="begin"/>
        </w:r>
        <w:r>
          <w:rPr>
            <w:noProof/>
            <w:webHidden/>
          </w:rPr>
          <w:instrText xml:space="preserve"> PAGEREF _Toc233626056 \h </w:instrText>
        </w:r>
        <w:r>
          <w:rPr>
            <w:noProof/>
            <w:webHidden/>
          </w:rPr>
        </w:r>
        <w:r>
          <w:rPr>
            <w:noProof/>
            <w:webHidden/>
          </w:rPr>
          <w:fldChar w:fldCharType="separate"/>
        </w:r>
        <w:r w:rsidR="001E3978">
          <w:rPr>
            <w:noProof/>
            <w:webHidden/>
          </w:rPr>
          <w:t>52</w:t>
        </w:r>
        <w:r>
          <w:rPr>
            <w:noProof/>
            <w:webHidden/>
          </w:rPr>
          <w:fldChar w:fldCharType="end"/>
        </w:r>
      </w:hyperlink>
    </w:p>
    <w:p w14:paraId="40659FE6" w14:textId="0528357E" w:rsidR="00266B1F" w:rsidRDefault="00266B1F">
      <w:pPr>
        <w:pStyle w:val="TM3"/>
        <w:tabs>
          <w:tab w:val="left" w:pos="960"/>
          <w:tab w:val="right" w:leader="dot" w:pos="8630"/>
        </w:tabs>
        <w:rPr>
          <w:noProof/>
          <w:kern w:val="2"/>
          <w:sz w:val="24"/>
          <w:szCs w:val="24"/>
          <w:lang w:eastAsia="fr-BE"/>
          <w14:ligatures w14:val="standardContextual"/>
        </w:rPr>
      </w:pPr>
      <w:hyperlink w:anchor="_Toc233626057"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Quelles dépenses échappent à la limite d’un douzième ?</w:t>
        </w:r>
        <w:r>
          <w:rPr>
            <w:noProof/>
            <w:webHidden/>
          </w:rPr>
          <w:tab/>
        </w:r>
        <w:r>
          <w:rPr>
            <w:noProof/>
            <w:webHidden/>
          </w:rPr>
          <w:fldChar w:fldCharType="begin"/>
        </w:r>
        <w:r>
          <w:rPr>
            <w:noProof/>
            <w:webHidden/>
          </w:rPr>
          <w:instrText xml:space="preserve"> PAGEREF _Toc233626057 \h </w:instrText>
        </w:r>
        <w:r>
          <w:rPr>
            <w:noProof/>
            <w:webHidden/>
          </w:rPr>
        </w:r>
        <w:r>
          <w:rPr>
            <w:noProof/>
            <w:webHidden/>
          </w:rPr>
          <w:fldChar w:fldCharType="separate"/>
        </w:r>
        <w:r w:rsidR="001E3978">
          <w:rPr>
            <w:noProof/>
            <w:webHidden/>
          </w:rPr>
          <w:t>52</w:t>
        </w:r>
        <w:r>
          <w:rPr>
            <w:noProof/>
            <w:webHidden/>
          </w:rPr>
          <w:fldChar w:fldCharType="end"/>
        </w:r>
      </w:hyperlink>
    </w:p>
    <w:p w14:paraId="15B41260" w14:textId="6E3D5174" w:rsidR="00266B1F" w:rsidRDefault="00266B1F">
      <w:pPr>
        <w:pStyle w:val="TM3"/>
        <w:tabs>
          <w:tab w:val="left" w:pos="960"/>
          <w:tab w:val="right" w:leader="dot" w:pos="8630"/>
        </w:tabs>
        <w:rPr>
          <w:noProof/>
          <w:kern w:val="2"/>
          <w:sz w:val="24"/>
          <w:szCs w:val="24"/>
          <w:lang w:eastAsia="fr-BE"/>
          <w14:ligatures w14:val="standardContextual"/>
        </w:rPr>
      </w:pPr>
      <w:hyperlink w:anchor="_Toc233626058"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Les douzièmes provisoires portent-ils sur toutes les dépenses ?</w:t>
        </w:r>
        <w:r>
          <w:rPr>
            <w:noProof/>
            <w:webHidden/>
          </w:rPr>
          <w:tab/>
        </w:r>
        <w:r>
          <w:rPr>
            <w:noProof/>
            <w:webHidden/>
          </w:rPr>
          <w:fldChar w:fldCharType="begin"/>
        </w:r>
        <w:r>
          <w:rPr>
            <w:noProof/>
            <w:webHidden/>
          </w:rPr>
          <w:instrText xml:space="preserve"> PAGEREF _Toc233626058 \h </w:instrText>
        </w:r>
        <w:r>
          <w:rPr>
            <w:noProof/>
            <w:webHidden/>
          </w:rPr>
        </w:r>
        <w:r>
          <w:rPr>
            <w:noProof/>
            <w:webHidden/>
          </w:rPr>
          <w:fldChar w:fldCharType="separate"/>
        </w:r>
        <w:r w:rsidR="001E3978">
          <w:rPr>
            <w:noProof/>
            <w:webHidden/>
          </w:rPr>
          <w:t>53</w:t>
        </w:r>
        <w:r>
          <w:rPr>
            <w:noProof/>
            <w:webHidden/>
          </w:rPr>
          <w:fldChar w:fldCharType="end"/>
        </w:r>
      </w:hyperlink>
    </w:p>
    <w:p w14:paraId="38319BDB" w14:textId="34C76C96" w:rsidR="00266B1F" w:rsidRDefault="00266B1F">
      <w:pPr>
        <w:pStyle w:val="TM3"/>
        <w:tabs>
          <w:tab w:val="left" w:pos="960"/>
          <w:tab w:val="right" w:leader="dot" w:pos="8630"/>
        </w:tabs>
        <w:rPr>
          <w:noProof/>
          <w:kern w:val="2"/>
          <w:sz w:val="24"/>
          <w:szCs w:val="24"/>
          <w:lang w:eastAsia="fr-BE"/>
          <w14:ligatures w14:val="standardContextual"/>
        </w:rPr>
      </w:pPr>
      <w:hyperlink w:anchor="_Toc233626059" w:history="1">
        <w:r w:rsidRPr="0027322A">
          <w:rPr>
            <w:rStyle w:val="Lienhypertexte"/>
            <w:smallCaps/>
            <w:noProof/>
          </w:rPr>
          <w:t>F.</w:t>
        </w:r>
        <w:r>
          <w:rPr>
            <w:noProof/>
            <w:kern w:val="2"/>
            <w:sz w:val="24"/>
            <w:szCs w:val="24"/>
            <w:lang w:eastAsia="fr-BE"/>
            <w14:ligatures w14:val="standardContextual"/>
          </w:rPr>
          <w:tab/>
        </w:r>
        <w:r w:rsidRPr="0027322A">
          <w:rPr>
            <w:rStyle w:val="Lienhypertexte"/>
            <w:noProof/>
          </w:rPr>
          <w:t>Peut-on voter plusieurs douzièmes en une seule délibération ?</w:t>
        </w:r>
        <w:r>
          <w:rPr>
            <w:noProof/>
            <w:webHidden/>
          </w:rPr>
          <w:tab/>
        </w:r>
        <w:r>
          <w:rPr>
            <w:noProof/>
            <w:webHidden/>
          </w:rPr>
          <w:fldChar w:fldCharType="begin"/>
        </w:r>
        <w:r>
          <w:rPr>
            <w:noProof/>
            <w:webHidden/>
          </w:rPr>
          <w:instrText xml:space="preserve"> PAGEREF _Toc233626059 \h </w:instrText>
        </w:r>
        <w:r>
          <w:rPr>
            <w:noProof/>
            <w:webHidden/>
          </w:rPr>
        </w:r>
        <w:r>
          <w:rPr>
            <w:noProof/>
            <w:webHidden/>
          </w:rPr>
          <w:fldChar w:fldCharType="separate"/>
        </w:r>
        <w:r w:rsidR="001E3978">
          <w:rPr>
            <w:noProof/>
            <w:webHidden/>
          </w:rPr>
          <w:t>53</w:t>
        </w:r>
        <w:r>
          <w:rPr>
            <w:noProof/>
            <w:webHidden/>
          </w:rPr>
          <w:fldChar w:fldCharType="end"/>
        </w:r>
      </w:hyperlink>
    </w:p>
    <w:p w14:paraId="6234F620" w14:textId="72471A9D" w:rsidR="00266B1F" w:rsidRDefault="00266B1F">
      <w:pPr>
        <w:pStyle w:val="TM3"/>
        <w:tabs>
          <w:tab w:val="left" w:pos="960"/>
          <w:tab w:val="right" w:leader="dot" w:pos="8630"/>
        </w:tabs>
        <w:rPr>
          <w:noProof/>
          <w:kern w:val="2"/>
          <w:sz w:val="24"/>
          <w:szCs w:val="24"/>
          <w:lang w:eastAsia="fr-BE"/>
          <w14:ligatures w14:val="standardContextual"/>
        </w:rPr>
      </w:pPr>
      <w:hyperlink w:anchor="_Toc233626060" w:history="1">
        <w:r w:rsidRPr="0027322A">
          <w:rPr>
            <w:rStyle w:val="Lienhypertexte"/>
            <w:smallCaps/>
            <w:noProof/>
          </w:rPr>
          <w:t>G.</w:t>
        </w:r>
        <w:r>
          <w:rPr>
            <w:noProof/>
            <w:kern w:val="2"/>
            <w:sz w:val="24"/>
            <w:szCs w:val="24"/>
            <w:lang w:eastAsia="fr-BE"/>
            <w14:ligatures w14:val="standardContextual"/>
          </w:rPr>
          <w:tab/>
        </w:r>
        <w:r w:rsidRPr="0027322A">
          <w:rPr>
            <w:rStyle w:val="Lienhypertexte"/>
            <w:noProof/>
          </w:rPr>
          <w:t>Les délibérations relatives aux douzièmes provisoires sont-elles soumises à une tutelle particulière ?</w:t>
        </w:r>
        <w:r>
          <w:rPr>
            <w:noProof/>
            <w:webHidden/>
          </w:rPr>
          <w:tab/>
        </w:r>
        <w:r>
          <w:rPr>
            <w:noProof/>
            <w:webHidden/>
          </w:rPr>
          <w:fldChar w:fldCharType="begin"/>
        </w:r>
        <w:r>
          <w:rPr>
            <w:noProof/>
            <w:webHidden/>
          </w:rPr>
          <w:instrText xml:space="preserve"> PAGEREF _Toc233626060 \h </w:instrText>
        </w:r>
        <w:r>
          <w:rPr>
            <w:noProof/>
            <w:webHidden/>
          </w:rPr>
        </w:r>
        <w:r>
          <w:rPr>
            <w:noProof/>
            <w:webHidden/>
          </w:rPr>
          <w:fldChar w:fldCharType="separate"/>
        </w:r>
        <w:r w:rsidR="001E3978">
          <w:rPr>
            <w:noProof/>
            <w:webHidden/>
          </w:rPr>
          <w:t>53</w:t>
        </w:r>
        <w:r>
          <w:rPr>
            <w:noProof/>
            <w:webHidden/>
          </w:rPr>
          <w:fldChar w:fldCharType="end"/>
        </w:r>
      </w:hyperlink>
    </w:p>
    <w:p w14:paraId="24D3141A" w14:textId="7D627942" w:rsidR="00266B1F" w:rsidRDefault="00266B1F">
      <w:pPr>
        <w:pStyle w:val="TM3"/>
        <w:tabs>
          <w:tab w:val="left" w:pos="960"/>
          <w:tab w:val="right" w:leader="dot" w:pos="8630"/>
        </w:tabs>
        <w:rPr>
          <w:noProof/>
          <w:kern w:val="2"/>
          <w:sz w:val="24"/>
          <w:szCs w:val="24"/>
          <w:lang w:eastAsia="fr-BE"/>
          <w14:ligatures w14:val="standardContextual"/>
        </w:rPr>
      </w:pPr>
      <w:hyperlink w:anchor="_Toc233626061" w:history="1">
        <w:r w:rsidRPr="0027322A">
          <w:rPr>
            <w:rStyle w:val="Lienhypertexte"/>
            <w:smallCaps/>
            <w:noProof/>
          </w:rPr>
          <w:t>H.</w:t>
        </w:r>
        <w:r>
          <w:rPr>
            <w:noProof/>
            <w:kern w:val="2"/>
            <w:sz w:val="24"/>
            <w:szCs w:val="24"/>
            <w:lang w:eastAsia="fr-BE"/>
            <w14:ligatures w14:val="standardContextual"/>
          </w:rPr>
          <w:tab/>
        </w:r>
        <w:r w:rsidRPr="0027322A">
          <w:rPr>
            <w:rStyle w:val="Lienhypertexte"/>
            <w:noProof/>
          </w:rPr>
          <w:t>Existe-t-il un modèle de délibération ?</w:t>
        </w:r>
        <w:r>
          <w:rPr>
            <w:noProof/>
            <w:webHidden/>
          </w:rPr>
          <w:tab/>
        </w:r>
        <w:r>
          <w:rPr>
            <w:noProof/>
            <w:webHidden/>
          </w:rPr>
          <w:fldChar w:fldCharType="begin"/>
        </w:r>
        <w:r>
          <w:rPr>
            <w:noProof/>
            <w:webHidden/>
          </w:rPr>
          <w:instrText xml:space="preserve"> PAGEREF _Toc233626061 \h </w:instrText>
        </w:r>
        <w:r>
          <w:rPr>
            <w:noProof/>
            <w:webHidden/>
          </w:rPr>
        </w:r>
        <w:r>
          <w:rPr>
            <w:noProof/>
            <w:webHidden/>
          </w:rPr>
          <w:fldChar w:fldCharType="separate"/>
        </w:r>
        <w:r w:rsidR="001E3978">
          <w:rPr>
            <w:noProof/>
            <w:webHidden/>
          </w:rPr>
          <w:t>53</w:t>
        </w:r>
        <w:r>
          <w:rPr>
            <w:noProof/>
            <w:webHidden/>
          </w:rPr>
          <w:fldChar w:fldCharType="end"/>
        </w:r>
      </w:hyperlink>
    </w:p>
    <w:p w14:paraId="50B6E131" w14:textId="42504926" w:rsidR="00266B1F" w:rsidRDefault="00266B1F">
      <w:pPr>
        <w:pStyle w:val="TM2"/>
        <w:tabs>
          <w:tab w:val="left" w:pos="720"/>
          <w:tab w:val="right" w:leader="dot" w:pos="8630"/>
        </w:tabs>
        <w:rPr>
          <w:noProof/>
          <w:kern w:val="2"/>
          <w:sz w:val="24"/>
          <w:szCs w:val="24"/>
          <w:lang w:eastAsia="fr-BE"/>
          <w14:ligatures w14:val="standardContextual"/>
        </w:rPr>
      </w:pPr>
      <w:hyperlink w:anchor="_Toc233626062" w:history="1">
        <w:r w:rsidRPr="0027322A">
          <w:rPr>
            <w:rStyle w:val="Lienhypertexte"/>
            <w:noProof/>
          </w:rPr>
          <w:t>6.</w:t>
        </w:r>
        <w:r>
          <w:rPr>
            <w:noProof/>
            <w:kern w:val="2"/>
            <w:sz w:val="24"/>
            <w:szCs w:val="24"/>
            <w:lang w:eastAsia="fr-BE"/>
            <w14:ligatures w14:val="standardContextual"/>
          </w:rPr>
          <w:tab/>
        </w:r>
        <w:r w:rsidRPr="0027322A">
          <w:rPr>
            <w:rStyle w:val="Lienhypertexte"/>
            <w:noProof/>
          </w:rPr>
          <w:t>Report du résultat du compte</w:t>
        </w:r>
        <w:r>
          <w:rPr>
            <w:noProof/>
            <w:webHidden/>
          </w:rPr>
          <w:tab/>
        </w:r>
        <w:r>
          <w:rPr>
            <w:noProof/>
            <w:webHidden/>
          </w:rPr>
          <w:fldChar w:fldCharType="begin"/>
        </w:r>
        <w:r>
          <w:rPr>
            <w:noProof/>
            <w:webHidden/>
          </w:rPr>
          <w:instrText xml:space="preserve"> PAGEREF _Toc233626062 \h </w:instrText>
        </w:r>
        <w:r>
          <w:rPr>
            <w:noProof/>
            <w:webHidden/>
          </w:rPr>
        </w:r>
        <w:r>
          <w:rPr>
            <w:noProof/>
            <w:webHidden/>
          </w:rPr>
          <w:fldChar w:fldCharType="separate"/>
        </w:r>
        <w:r w:rsidR="001E3978">
          <w:rPr>
            <w:noProof/>
            <w:webHidden/>
          </w:rPr>
          <w:t>53</w:t>
        </w:r>
        <w:r>
          <w:rPr>
            <w:noProof/>
            <w:webHidden/>
          </w:rPr>
          <w:fldChar w:fldCharType="end"/>
        </w:r>
      </w:hyperlink>
    </w:p>
    <w:p w14:paraId="12E9F40A" w14:textId="7F2A7ED8" w:rsidR="00266B1F" w:rsidRDefault="00266B1F">
      <w:pPr>
        <w:pStyle w:val="TM2"/>
        <w:tabs>
          <w:tab w:val="left" w:pos="720"/>
          <w:tab w:val="right" w:leader="dot" w:pos="8630"/>
        </w:tabs>
        <w:rPr>
          <w:noProof/>
          <w:kern w:val="2"/>
          <w:sz w:val="24"/>
          <w:szCs w:val="24"/>
          <w:lang w:eastAsia="fr-BE"/>
          <w14:ligatures w14:val="standardContextual"/>
        </w:rPr>
      </w:pPr>
      <w:hyperlink w:anchor="_Toc233626063" w:history="1">
        <w:r w:rsidRPr="0027322A">
          <w:rPr>
            <w:rStyle w:val="Lienhypertexte"/>
            <w:noProof/>
          </w:rPr>
          <w:t>7.</w:t>
        </w:r>
        <w:r>
          <w:rPr>
            <w:noProof/>
            <w:kern w:val="2"/>
            <w:sz w:val="24"/>
            <w:szCs w:val="24"/>
            <w:lang w:eastAsia="fr-BE"/>
            <w14:ligatures w14:val="standardContextual"/>
          </w:rPr>
          <w:tab/>
        </w:r>
        <w:r w:rsidRPr="0027322A">
          <w:rPr>
            <w:rStyle w:val="Lienhypertexte"/>
            <w:noProof/>
          </w:rPr>
          <w:t>Modifications budgétaires</w:t>
        </w:r>
        <w:r>
          <w:rPr>
            <w:noProof/>
            <w:webHidden/>
          </w:rPr>
          <w:tab/>
        </w:r>
        <w:r>
          <w:rPr>
            <w:noProof/>
            <w:webHidden/>
          </w:rPr>
          <w:fldChar w:fldCharType="begin"/>
        </w:r>
        <w:r>
          <w:rPr>
            <w:noProof/>
            <w:webHidden/>
          </w:rPr>
          <w:instrText xml:space="preserve"> PAGEREF _Toc233626063 \h </w:instrText>
        </w:r>
        <w:r>
          <w:rPr>
            <w:noProof/>
            <w:webHidden/>
          </w:rPr>
        </w:r>
        <w:r>
          <w:rPr>
            <w:noProof/>
            <w:webHidden/>
          </w:rPr>
          <w:fldChar w:fldCharType="separate"/>
        </w:r>
        <w:r w:rsidR="001E3978">
          <w:rPr>
            <w:noProof/>
            <w:webHidden/>
          </w:rPr>
          <w:t>53</w:t>
        </w:r>
        <w:r>
          <w:rPr>
            <w:noProof/>
            <w:webHidden/>
          </w:rPr>
          <w:fldChar w:fldCharType="end"/>
        </w:r>
      </w:hyperlink>
    </w:p>
    <w:p w14:paraId="3443D1F1" w14:textId="6E18A1C0" w:rsidR="00266B1F" w:rsidRDefault="00266B1F">
      <w:pPr>
        <w:pStyle w:val="TM3"/>
        <w:tabs>
          <w:tab w:val="right" w:leader="dot" w:pos="8630"/>
        </w:tabs>
        <w:rPr>
          <w:noProof/>
          <w:kern w:val="2"/>
          <w:sz w:val="24"/>
          <w:szCs w:val="24"/>
          <w:lang w:eastAsia="fr-BE"/>
          <w14:ligatures w14:val="standardContextual"/>
        </w:rPr>
      </w:pPr>
      <w:hyperlink w:anchor="_Toc233626064" w:history="1">
        <w:r w:rsidRPr="0027322A">
          <w:rPr>
            <w:rStyle w:val="Lienhypertexte"/>
            <w:noProof/>
          </w:rPr>
          <w:t>Quelles sont les règles applicables aux modifications budgétaires ?</w:t>
        </w:r>
        <w:r>
          <w:rPr>
            <w:noProof/>
            <w:webHidden/>
          </w:rPr>
          <w:tab/>
        </w:r>
        <w:r>
          <w:rPr>
            <w:noProof/>
            <w:webHidden/>
          </w:rPr>
          <w:fldChar w:fldCharType="begin"/>
        </w:r>
        <w:r>
          <w:rPr>
            <w:noProof/>
            <w:webHidden/>
          </w:rPr>
          <w:instrText xml:space="preserve"> PAGEREF _Toc233626064 \h </w:instrText>
        </w:r>
        <w:r>
          <w:rPr>
            <w:noProof/>
            <w:webHidden/>
          </w:rPr>
        </w:r>
        <w:r>
          <w:rPr>
            <w:noProof/>
            <w:webHidden/>
          </w:rPr>
          <w:fldChar w:fldCharType="separate"/>
        </w:r>
        <w:r w:rsidR="001E3978">
          <w:rPr>
            <w:noProof/>
            <w:webHidden/>
          </w:rPr>
          <w:t>53</w:t>
        </w:r>
        <w:r>
          <w:rPr>
            <w:noProof/>
            <w:webHidden/>
          </w:rPr>
          <w:fldChar w:fldCharType="end"/>
        </w:r>
      </w:hyperlink>
    </w:p>
    <w:p w14:paraId="28D9C7C5" w14:textId="6B65013F" w:rsidR="00266B1F" w:rsidRDefault="00266B1F">
      <w:pPr>
        <w:pStyle w:val="TM2"/>
        <w:tabs>
          <w:tab w:val="left" w:pos="720"/>
          <w:tab w:val="right" w:leader="dot" w:pos="8630"/>
        </w:tabs>
        <w:rPr>
          <w:noProof/>
          <w:kern w:val="2"/>
          <w:sz w:val="24"/>
          <w:szCs w:val="24"/>
          <w:lang w:eastAsia="fr-BE"/>
          <w14:ligatures w14:val="standardContextual"/>
        </w:rPr>
      </w:pPr>
      <w:hyperlink w:anchor="_Toc233626065" w:history="1">
        <w:r w:rsidRPr="0027322A">
          <w:rPr>
            <w:rStyle w:val="Lienhypertexte"/>
            <w:noProof/>
          </w:rPr>
          <w:t>8.</w:t>
        </w:r>
        <w:r>
          <w:rPr>
            <w:noProof/>
            <w:kern w:val="2"/>
            <w:sz w:val="24"/>
            <w:szCs w:val="24"/>
            <w:lang w:eastAsia="fr-BE"/>
            <w14:ligatures w14:val="standardContextual"/>
          </w:rPr>
          <w:tab/>
        </w:r>
        <w:r w:rsidRPr="0027322A">
          <w:rPr>
            <w:rStyle w:val="Lienhypertexte"/>
            <w:noProof/>
          </w:rPr>
          <w:t>Engagements des dépenses</w:t>
        </w:r>
        <w:r>
          <w:rPr>
            <w:noProof/>
            <w:webHidden/>
          </w:rPr>
          <w:tab/>
        </w:r>
        <w:r>
          <w:rPr>
            <w:noProof/>
            <w:webHidden/>
          </w:rPr>
          <w:fldChar w:fldCharType="begin"/>
        </w:r>
        <w:r>
          <w:rPr>
            <w:noProof/>
            <w:webHidden/>
          </w:rPr>
          <w:instrText xml:space="preserve"> PAGEREF _Toc233626065 \h </w:instrText>
        </w:r>
        <w:r>
          <w:rPr>
            <w:noProof/>
            <w:webHidden/>
          </w:rPr>
        </w:r>
        <w:r>
          <w:rPr>
            <w:noProof/>
            <w:webHidden/>
          </w:rPr>
          <w:fldChar w:fldCharType="separate"/>
        </w:r>
        <w:r w:rsidR="001E3978">
          <w:rPr>
            <w:noProof/>
            <w:webHidden/>
          </w:rPr>
          <w:t>54</w:t>
        </w:r>
        <w:r>
          <w:rPr>
            <w:noProof/>
            <w:webHidden/>
          </w:rPr>
          <w:fldChar w:fldCharType="end"/>
        </w:r>
      </w:hyperlink>
    </w:p>
    <w:p w14:paraId="45D19367" w14:textId="662866CB" w:rsidR="00266B1F" w:rsidRDefault="00266B1F">
      <w:pPr>
        <w:pStyle w:val="TM3"/>
        <w:tabs>
          <w:tab w:val="left" w:pos="960"/>
          <w:tab w:val="right" w:leader="dot" w:pos="8630"/>
        </w:tabs>
        <w:rPr>
          <w:noProof/>
          <w:kern w:val="2"/>
          <w:sz w:val="24"/>
          <w:szCs w:val="24"/>
          <w:lang w:eastAsia="fr-BE"/>
          <w14:ligatures w14:val="standardContextual"/>
        </w:rPr>
      </w:pPr>
      <w:hyperlink w:anchor="_Toc233626066"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Que peut-on imputer aux exercices antérieurs ?</w:t>
        </w:r>
        <w:r>
          <w:rPr>
            <w:noProof/>
            <w:webHidden/>
          </w:rPr>
          <w:tab/>
        </w:r>
        <w:r>
          <w:rPr>
            <w:noProof/>
            <w:webHidden/>
          </w:rPr>
          <w:fldChar w:fldCharType="begin"/>
        </w:r>
        <w:r>
          <w:rPr>
            <w:noProof/>
            <w:webHidden/>
          </w:rPr>
          <w:instrText xml:space="preserve"> PAGEREF _Toc233626066 \h </w:instrText>
        </w:r>
        <w:r>
          <w:rPr>
            <w:noProof/>
            <w:webHidden/>
          </w:rPr>
        </w:r>
        <w:r>
          <w:rPr>
            <w:noProof/>
            <w:webHidden/>
          </w:rPr>
          <w:fldChar w:fldCharType="separate"/>
        </w:r>
        <w:r w:rsidR="001E3978">
          <w:rPr>
            <w:noProof/>
            <w:webHidden/>
          </w:rPr>
          <w:t>54</w:t>
        </w:r>
        <w:r>
          <w:rPr>
            <w:noProof/>
            <w:webHidden/>
          </w:rPr>
          <w:fldChar w:fldCharType="end"/>
        </w:r>
      </w:hyperlink>
    </w:p>
    <w:p w14:paraId="1410B129" w14:textId="0B7DF7E1" w:rsidR="00266B1F" w:rsidRDefault="00266B1F">
      <w:pPr>
        <w:pStyle w:val="TM3"/>
        <w:tabs>
          <w:tab w:val="left" w:pos="960"/>
          <w:tab w:val="right" w:leader="dot" w:pos="8630"/>
        </w:tabs>
        <w:rPr>
          <w:noProof/>
          <w:kern w:val="2"/>
          <w:sz w:val="24"/>
          <w:szCs w:val="24"/>
          <w:lang w:eastAsia="fr-BE"/>
          <w14:ligatures w14:val="standardContextual"/>
        </w:rPr>
      </w:pPr>
      <w:hyperlink w:anchor="_Toc233626067"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Peut-on engager un crédit avant son approbation ?</w:t>
        </w:r>
        <w:r>
          <w:rPr>
            <w:noProof/>
            <w:webHidden/>
          </w:rPr>
          <w:tab/>
        </w:r>
        <w:r>
          <w:rPr>
            <w:noProof/>
            <w:webHidden/>
          </w:rPr>
          <w:fldChar w:fldCharType="begin"/>
        </w:r>
        <w:r>
          <w:rPr>
            <w:noProof/>
            <w:webHidden/>
          </w:rPr>
          <w:instrText xml:space="preserve"> PAGEREF _Toc233626067 \h </w:instrText>
        </w:r>
        <w:r>
          <w:rPr>
            <w:noProof/>
            <w:webHidden/>
          </w:rPr>
        </w:r>
        <w:r>
          <w:rPr>
            <w:noProof/>
            <w:webHidden/>
          </w:rPr>
          <w:fldChar w:fldCharType="separate"/>
        </w:r>
        <w:r w:rsidR="001E3978">
          <w:rPr>
            <w:noProof/>
            <w:webHidden/>
          </w:rPr>
          <w:t>54</w:t>
        </w:r>
        <w:r>
          <w:rPr>
            <w:noProof/>
            <w:webHidden/>
          </w:rPr>
          <w:fldChar w:fldCharType="end"/>
        </w:r>
      </w:hyperlink>
    </w:p>
    <w:p w14:paraId="5F692418" w14:textId="2EF02851" w:rsidR="00266B1F" w:rsidRDefault="00266B1F">
      <w:pPr>
        <w:pStyle w:val="TM3"/>
        <w:tabs>
          <w:tab w:val="left" w:pos="960"/>
          <w:tab w:val="right" w:leader="dot" w:pos="8630"/>
        </w:tabs>
        <w:rPr>
          <w:noProof/>
          <w:kern w:val="2"/>
          <w:sz w:val="24"/>
          <w:szCs w:val="24"/>
          <w:lang w:eastAsia="fr-BE"/>
          <w14:ligatures w14:val="standardContextual"/>
        </w:rPr>
      </w:pPr>
      <w:hyperlink w:anchor="_Toc233626068"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Comment traiter les factures reçues après le 31 décembre ?</w:t>
        </w:r>
        <w:r>
          <w:rPr>
            <w:noProof/>
            <w:webHidden/>
          </w:rPr>
          <w:tab/>
        </w:r>
        <w:r>
          <w:rPr>
            <w:noProof/>
            <w:webHidden/>
          </w:rPr>
          <w:fldChar w:fldCharType="begin"/>
        </w:r>
        <w:r>
          <w:rPr>
            <w:noProof/>
            <w:webHidden/>
          </w:rPr>
          <w:instrText xml:space="preserve"> PAGEREF _Toc233626068 \h </w:instrText>
        </w:r>
        <w:r>
          <w:rPr>
            <w:noProof/>
            <w:webHidden/>
          </w:rPr>
        </w:r>
        <w:r>
          <w:rPr>
            <w:noProof/>
            <w:webHidden/>
          </w:rPr>
          <w:fldChar w:fldCharType="separate"/>
        </w:r>
        <w:r w:rsidR="001E3978">
          <w:rPr>
            <w:noProof/>
            <w:webHidden/>
          </w:rPr>
          <w:t>54</w:t>
        </w:r>
        <w:r>
          <w:rPr>
            <w:noProof/>
            <w:webHidden/>
          </w:rPr>
          <w:fldChar w:fldCharType="end"/>
        </w:r>
      </w:hyperlink>
    </w:p>
    <w:p w14:paraId="5F9AA161" w14:textId="24978401" w:rsidR="00266B1F" w:rsidRDefault="00266B1F">
      <w:pPr>
        <w:pStyle w:val="TM3"/>
        <w:tabs>
          <w:tab w:val="left" w:pos="960"/>
          <w:tab w:val="right" w:leader="dot" w:pos="8630"/>
        </w:tabs>
        <w:rPr>
          <w:noProof/>
          <w:kern w:val="2"/>
          <w:sz w:val="24"/>
          <w:szCs w:val="24"/>
          <w:lang w:eastAsia="fr-BE"/>
          <w14:ligatures w14:val="standardContextual"/>
        </w:rPr>
      </w:pPr>
      <w:hyperlink w:anchor="_Toc233626069"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Quand le directeur financier peut-il payer des engagements reportés ?</w:t>
        </w:r>
        <w:r>
          <w:rPr>
            <w:noProof/>
            <w:webHidden/>
          </w:rPr>
          <w:tab/>
        </w:r>
        <w:r>
          <w:rPr>
            <w:noProof/>
            <w:webHidden/>
          </w:rPr>
          <w:fldChar w:fldCharType="begin"/>
        </w:r>
        <w:r>
          <w:rPr>
            <w:noProof/>
            <w:webHidden/>
          </w:rPr>
          <w:instrText xml:space="preserve"> PAGEREF _Toc233626069 \h </w:instrText>
        </w:r>
        <w:r>
          <w:rPr>
            <w:noProof/>
            <w:webHidden/>
          </w:rPr>
        </w:r>
        <w:r>
          <w:rPr>
            <w:noProof/>
            <w:webHidden/>
          </w:rPr>
          <w:fldChar w:fldCharType="separate"/>
        </w:r>
        <w:r w:rsidR="001E3978">
          <w:rPr>
            <w:noProof/>
            <w:webHidden/>
          </w:rPr>
          <w:t>54</w:t>
        </w:r>
        <w:r>
          <w:rPr>
            <w:noProof/>
            <w:webHidden/>
          </w:rPr>
          <w:fldChar w:fldCharType="end"/>
        </w:r>
      </w:hyperlink>
    </w:p>
    <w:p w14:paraId="4A2DFF52" w14:textId="6CA629B0" w:rsidR="00266B1F" w:rsidRDefault="00266B1F">
      <w:pPr>
        <w:pStyle w:val="TM3"/>
        <w:tabs>
          <w:tab w:val="left" w:pos="960"/>
          <w:tab w:val="right" w:leader="dot" w:pos="8630"/>
        </w:tabs>
        <w:rPr>
          <w:noProof/>
          <w:kern w:val="2"/>
          <w:sz w:val="24"/>
          <w:szCs w:val="24"/>
          <w:lang w:eastAsia="fr-BE"/>
          <w14:ligatures w14:val="standardContextual"/>
        </w:rPr>
      </w:pPr>
      <w:hyperlink w:anchor="_Toc233626070"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À quelle date enregistrer l’engagement d’un marché public (service extraordinaire) ?</w:t>
        </w:r>
        <w:r>
          <w:rPr>
            <w:noProof/>
            <w:webHidden/>
          </w:rPr>
          <w:tab/>
        </w:r>
        <w:r>
          <w:rPr>
            <w:noProof/>
            <w:webHidden/>
          </w:rPr>
          <w:fldChar w:fldCharType="begin"/>
        </w:r>
        <w:r>
          <w:rPr>
            <w:noProof/>
            <w:webHidden/>
          </w:rPr>
          <w:instrText xml:space="preserve"> PAGEREF _Toc233626070 \h </w:instrText>
        </w:r>
        <w:r>
          <w:rPr>
            <w:noProof/>
            <w:webHidden/>
          </w:rPr>
        </w:r>
        <w:r>
          <w:rPr>
            <w:noProof/>
            <w:webHidden/>
          </w:rPr>
          <w:fldChar w:fldCharType="separate"/>
        </w:r>
        <w:r w:rsidR="001E3978">
          <w:rPr>
            <w:noProof/>
            <w:webHidden/>
          </w:rPr>
          <w:t>54</w:t>
        </w:r>
        <w:r>
          <w:rPr>
            <w:noProof/>
            <w:webHidden/>
          </w:rPr>
          <w:fldChar w:fldCharType="end"/>
        </w:r>
      </w:hyperlink>
    </w:p>
    <w:p w14:paraId="61A8DB02" w14:textId="5D760036" w:rsidR="00266B1F" w:rsidRDefault="00266B1F">
      <w:pPr>
        <w:pStyle w:val="TM3"/>
        <w:tabs>
          <w:tab w:val="left" w:pos="960"/>
          <w:tab w:val="right" w:leader="dot" w:pos="8630"/>
        </w:tabs>
        <w:rPr>
          <w:noProof/>
          <w:kern w:val="2"/>
          <w:sz w:val="24"/>
          <w:szCs w:val="24"/>
          <w:lang w:eastAsia="fr-BE"/>
          <w14:ligatures w14:val="standardContextual"/>
        </w:rPr>
      </w:pPr>
      <w:hyperlink w:anchor="_Toc233626071" w:history="1">
        <w:r w:rsidRPr="0027322A">
          <w:rPr>
            <w:rStyle w:val="Lienhypertexte"/>
            <w:smallCaps/>
            <w:noProof/>
          </w:rPr>
          <w:t>F.</w:t>
        </w:r>
        <w:r>
          <w:rPr>
            <w:noProof/>
            <w:kern w:val="2"/>
            <w:sz w:val="24"/>
            <w:szCs w:val="24"/>
            <w:lang w:eastAsia="fr-BE"/>
            <w14:ligatures w14:val="standardContextual"/>
          </w:rPr>
          <w:tab/>
        </w:r>
        <w:r w:rsidRPr="0027322A">
          <w:rPr>
            <w:rStyle w:val="Lienhypertexte"/>
            <w:noProof/>
          </w:rPr>
          <w:t>Peut-on engager dès le vote du budget N des dépenses extraordinaires réinscrites de N-1 ?</w:t>
        </w:r>
        <w:r>
          <w:rPr>
            <w:noProof/>
            <w:webHidden/>
          </w:rPr>
          <w:tab/>
        </w:r>
        <w:r>
          <w:rPr>
            <w:noProof/>
            <w:webHidden/>
          </w:rPr>
          <w:fldChar w:fldCharType="begin"/>
        </w:r>
        <w:r>
          <w:rPr>
            <w:noProof/>
            <w:webHidden/>
          </w:rPr>
          <w:instrText xml:space="preserve"> PAGEREF _Toc233626071 \h </w:instrText>
        </w:r>
        <w:r>
          <w:rPr>
            <w:noProof/>
            <w:webHidden/>
          </w:rPr>
        </w:r>
        <w:r>
          <w:rPr>
            <w:noProof/>
            <w:webHidden/>
          </w:rPr>
          <w:fldChar w:fldCharType="separate"/>
        </w:r>
        <w:r w:rsidR="001E3978">
          <w:rPr>
            <w:noProof/>
            <w:webHidden/>
          </w:rPr>
          <w:t>54</w:t>
        </w:r>
        <w:r>
          <w:rPr>
            <w:noProof/>
            <w:webHidden/>
          </w:rPr>
          <w:fldChar w:fldCharType="end"/>
        </w:r>
      </w:hyperlink>
    </w:p>
    <w:p w14:paraId="25E6BCFC" w14:textId="0D2E86CB" w:rsidR="00266B1F" w:rsidRDefault="00266B1F">
      <w:pPr>
        <w:pStyle w:val="TM3"/>
        <w:tabs>
          <w:tab w:val="left" w:pos="960"/>
          <w:tab w:val="right" w:leader="dot" w:pos="8630"/>
        </w:tabs>
        <w:rPr>
          <w:noProof/>
          <w:kern w:val="2"/>
          <w:sz w:val="24"/>
          <w:szCs w:val="24"/>
          <w:lang w:eastAsia="fr-BE"/>
          <w14:ligatures w14:val="standardContextual"/>
        </w:rPr>
      </w:pPr>
      <w:hyperlink w:anchor="_Toc233626072" w:history="1">
        <w:r w:rsidRPr="0027322A">
          <w:rPr>
            <w:rStyle w:val="Lienhypertexte"/>
            <w:smallCaps/>
            <w:noProof/>
          </w:rPr>
          <w:t>G.</w:t>
        </w:r>
        <w:r>
          <w:rPr>
            <w:noProof/>
            <w:kern w:val="2"/>
            <w:sz w:val="24"/>
            <w:szCs w:val="24"/>
            <w:lang w:eastAsia="fr-BE"/>
            <w14:ligatures w14:val="standardContextual"/>
          </w:rPr>
          <w:tab/>
        </w:r>
        <w:r w:rsidRPr="0027322A">
          <w:rPr>
            <w:rStyle w:val="Lienhypertexte"/>
            <w:noProof/>
          </w:rPr>
          <w:t>Quelles règles pour les dépenses justifiées par simple facture acceptée (art. 56 RGCC) ?</w:t>
        </w:r>
        <w:r>
          <w:rPr>
            <w:noProof/>
            <w:webHidden/>
          </w:rPr>
          <w:tab/>
        </w:r>
        <w:r>
          <w:rPr>
            <w:noProof/>
            <w:webHidden/>
          </w:rPr>
          <w:fldChar w:fldCharType="begin"/>
        </w:r>
        <w:r>
          <w:rPr>
            <w:noProof/>
            <w:webHidden/>
          </w:rPr>
          <w:instrText xml:space="preserve"> PAGEREF _Toc233626072 \h </w:instrText>
        </w:r>
        <w:r>
          <w:rPr>
            <w:noProof/>
            <w:webHidden/>
          </w:rPr>
        </w:r>
        <w:r>
          <w:rPr>
            <w:noProof/>
            <w:webHidden/>
          </w:rPr>
          <w:fldChar w:fldCharType="separate"/>
        </w:r>
        <w:r w:rsidR="001E3978">
          <w:rPr>
            <w:noProof/>
            <w:webHidden/>
          </w:rPr>
          <w:t>55</w:t>
        </w:r>
        <w:r>
          <w:rPr>
            <w:noProof/>
            <w:webHidden/>
          </w:rPr>
          <w:fldChar w:fldCharType="end"/>
        </w:r>
      </w:hyperlink>
    </w:p>
    <w:p w14:paraId="1FECE08C" w14:textId="0AE34B7F" w:rsidR="00266B1F" w:rsidRDefault="00266B1F">
      <w:pPr>
        <w:pStyle w:val="TM2"/>
        <w:tabs>
          <w:tab w:val="left" w:pos="720"/>
          <w:tab w:val="right" w:leader="dot" w:pos="8630"/>
        </w:tabs>
        <w:rPr>
          <w:noProof/>
          <w:kern w:val="2"/>
          <w:sz w:val="24"/>
          <w:szCs w:val="24"/>
          <w:lang w:eastAsia="fr-BE"/>
          <w14:ligatures w14:val="standardContextual"/>
        </w:rPr>
      </w:pPr>
      <w:hyperlink w:anchor="_Toc233626073" w:history="1">
        <w:r w:rsidRPr="0027322A">
          <w:rPr>
            <w:rStyle w:val="Lienhypertexte"/>
            <w:noProof/>
          </w:rPr>
          <w:t>9.</w:t>
        </w:r>
        <w:r>
          <w:rPr>
            <w:noProof/>
            <w:kern w:val="2"/>
            <w:sz w:val="24"/>
            <w:szCs w:val="24"/>
            <w:lang w:eastAsia="fr-BE"/>
            <w14:ligatures w14:val="standardContextual"/>
          </w:rPr>
          <w:tab/>
        </w:r>
        <w:r w:rsidRPr="0027322A">
          <w:rPr>
            <w:rStyle w:val="Lienhypertexte"/>
            <w:noProof/>
          </w:rPr>
          <w:t>Précompte immobilier : enrôlement &amp; prévision</w:t>
        </w:r>
        <w:r>
          <w:rPr>
            <w:noProof/>
            <w:webHidden/>
          </w:rPr>
          <w:tab/>
        </w:r>
        <w:r>
          <w:rPr>
            <w:noProof/>
            <w:webHidden/>
          </w:rPr>
          <w:fldChar w:fldCharType="begin"/>
        </w:r>
        <w:r>
          <w:rPr>
            <w:noProof/>
            <w:webHidden/>
          </w:rPr>
          <w:instrText xml:space="preserve"> PAGEREF _Toc233626073 \h </w:instrText>
        </w:r>
        <w:r>
          <w:rPr>
            <w:noProof/>
            <w:webHidden/>
          </w:rPr>
        </w:r>
        <w:r>
          <w:rPr>
            <w:noProof/>
            <w:webHidden/>
          </w:rPr>
          <w:fldChar w:fldCharType="separate"/>
        </w:r>
        <w:r w:rsidR="001E3978">
          <w:rPr>
            <w:noProof/>
            <w:webHidden/>
          </w:rPr>
          <w:t>55</w:t>
        </w:r>
        <w:r>
          <w:rPr>
            <w:noProof/>
            <w:webHidden/>
          </w:rPr>
          <w:fldChar w:fldCharType="end"/>
        </w:r>
      </w:hyperlink>
    </w:p>
    <w:p w14:paraId="5D6F1BE5" w14:textId="7D503309" w:rsidR="00266B1F" w:rsidRDefault="00266B1F">
      <w:pPr>
        <w:pStyle w:val="TM3"/>
        <w:tabs>
          <w:tab w:val="right" w:leader="dot" w:pos="8630"/>
        </w:tabs>
        <w:rPr>
          <w:noProof/>
          <w:kern w:val="2"/>
          <w:sz w:val="24"/>
          <w:szCs w:val="24"/>
          <w:lang w:eastAsia="fr-BE"/>
          <w14:ligatures w14:val="standardContextual"/>
        </w:rPr>
      </w:pPr>
      <w:hyperlink w:anchor="_Toc233626074" w:history="1">
        <w:r w:rsidRPr="0027322A">
          <w:rPr>
            <w:rStyle w:val="Lienhypertexte"/>
            <w:noProof/>
          </w:rPr>
          <w:t>L’enrôlement</w:t>
        </w:r>
        <w:r>
          <w:rPr>
            <w:noProof/>
            <w:webHidden/>
          </w:rPr>
          <w:tab/>
        </w:r>
        <w:r>
          <w:rPr>
            <w:noProof/>
            <w:webHidden/>
          </w:rPr>
          <w:fldChar w:fldCharType="begin"/>
        </w:r>
        <w:r>
          <w:rPr>
            <w:noProof/>
            <w:webHidden/>
          </w:rPr>
          <w:instrText xml:space="preserve"> PAGEREF _Toc233626074 \h </w:instrText>
        </w:r>
        <w:r>
          <w:rPr>
            <w:noProof/>
            <w:webHidden/>
          </w:rPr>
        </w:r>
        <w:r>
          <w:rPr>
            <w:noProof/>
            <w:webHidden/>
          </w:rPr>
          <w:fldChar w:fldCharType="separate"/>
        </w:r>
        <w:r w:rsidR="001E3978">
          <w:rPr>
            <w:noProof/>
            <w:webHidden/>
          </w:rPr>
          <w:t>55</w:t>
        </w:r>
        <w:r>
          <w:rPr>
            <w:noProof/>
            <w:webHidden/>
          </w:rPr>
          <w:fldChar w:fldCharType="end"/>
        </w:r>
      </w:hyperlink>
    </w:p>
    <w:p w14:paraId="0A8E1382" w14:textId="39101DC6" w:rsidR="00266B1F" w:rsidRDefault="00266B1F">
      <w:pPr>
        <w:pStyle w:val="TM2"/>
        <w:tabs>
          <w:tab w:val="left" w:pos="960"/>
          <w:tab w:val="right" w:leader="dot" w:pos="8630"/>
        </w:tabs>
        <w:rPr>
          <w:noProof/>
          <w:kern w:val="2"/>
          <w:sz w:val="24"/>
          <w:szCs w:val="24"/>
          <w:lang w:eastAsia="fr-BE"/>
          <w14:ligatures w14:val="standardContextual"/>
        </w:rPr>
      </w:pPr>
      <w:hyperlink w:anchor="_Toc233626075" w:history="1">
        <w:r w:rsidRPr="0027322A">
          <w:rPr>
            <w:rStyle w:val="Lienhypertexte"/>
            <w:noProof/>
          </w:rPr>
          <w:t>10.</w:t>
        </w:r>
        <w:r>
          <w:rPr>
            <w:noProof/>
            <w:kern w:val="2"/>
            <w:sz w:val="24"/>
            <w:szCs w:val="24"/>
            <w:lang w:eastAsia="fr-BE"/>
            <w14:ligatures w14:val="standardContextual"/>
          </w:rPr>
          <w:tab/>
        </w:r>
        <w:r w:rsidRPr="0027322A">
          <w:rPr>
            <w:rStyle w:val="Lienhypertexte"/>
            <w:noProof/>
          </w:rPr>
          <w:t>La prévision budgétaire PI</w:t>
        </w:r>
        <w:r>
          <w:rPr>
            <w:noProof/>
            <w:webHidden/>
          </w:rPr>
          <w:tab/>
        </w:r>
        <w:r>
          <w:rPr>
            <w:noProof/>
            <w:webHidden/>
          </w:rPr>
          <w:fldChar w:fldCharType="begin"/>
        </w:r>
        <w:r>
          <w:rPr>
            <w:noProof/>
            <w:webHidden/>
          </w:rPr>
          <w:instrText xml:space="preserve"> PAGEREF _Toc233626075 \h </w:instrText>
        </w:r>
        <w:r>
          <w:rPr>
            <w:noProof/>
            <w:webHidden/>
          </w:rPr>
        </w:r>
        <w:r>
          <w:rPr>
            <w:noProof/>
            <w:webHidden/>
          </w:rPr>
          <w:fldChar w:fldCharType="separate"/>
        </w:r>
        <w:r w:rsidR="001E3978">
          <w:rPr>
            <w:noProof/>
            <w:webHidden/>
          </w:rPr>
          <w:t>56</w:t>
        </w:r>
        <w:r>
          <w:rPr>
            <w:noProof/>
            <w:webHidden/>
          </w:rPr>
          <w:fldChar w:fldCharType="end"/>
        </w:r>
      </w:hyperlink>
    </w:p>
    <w:p w14:paraId="078F2A9C" w14:textId="1E76183C" w:rsidR="00266B1F" w:rsidRDefault="00266B1F">
      <w:pPr>
        <w:pStyle w:val="TM3"/>
        <w:tabs>
          <w:tab w:val="left" w:pos="960"/>
          <w:tab w:val="right" w:leader="dot" w:pos="8630"/>
        </w:tabs>
        <w:rPr>
          <w:noProof/>
          <w:kern w:val="2"/>
          <w:sz w:val="24"/>
          <w:szCs w:val="24"/>
          <w:lang w:eastAsia="fr-BE"/>
          <w14:ligatures w14:val="standardContextual"/>
        </w:rPr>
      </w:pPr>
      <w:hyperlink w:anchor="_Toc233626076"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Sur quoi repose le modèle de prévision transmis par l’administration ?</w:t>
        </w:r>
        <w:r>
          <w:rPr>
            <w:noProof/>
            <w:webHidden/>
          </w:rPr>
          <w:tab/>
        </w:r>
        <w:r>
          <w:rPr>
            <w:noProof/>
            <w:webHidden/>
          </w:rPr>
          <w:fldChar w:fldCharType="begin"/>
        </w:r>
        <w:r>
          <w:rPr>
            <w:noProof/>
            <w:webHidden/>
          </w:rPr>
          <w:instrText xml:space="preserve"> PAGEREF _Toc233626076 \h </w:instrText>
        </w:r>
        <w:r>
          <w:rPr>
            <w:noProof/>
            <w:webHidden/>
          </w:rPr>
        </w:r>
        <w:r>
          <w:rPr>
            <w:noProof/>
            <w:webHidden/>
          </w:rPr>
          <w:fldChar w:fldCharType="separate"/>
        </w:r>
        <w:r w:rsidR="001E3978">
          <w:rPr>
            <w:noProof/>
            <w:webHidden/>
          </w:rPr>
          <w:t>56</w:t>
        </w:r>
        <w:r>
          <w:rPr>
            <w:noProof/>
            <w:webHidden/>
          </w:rPr>
          <w:fldChar w:fldCharType="end"/>
        </w:r>
      </w:hyperlink>
    </w:p>
    <w:p w14:paraId="1A6267FC" w14:textId="2D5ECC37" w:rsidR="00266B1F" w:rsidRDefault="00266B1F">
      <w:pPr>
        <w:pStyle w:val="TM3"/>
        <w:tabs>
          <w:tab w:val="left" w:pos="960"/>
          <w:tab w:val="right" w:leader="dot" w:pos="8630"/>
        </w:tabs>
        <w:rPr>
          <w:noProof/>
          <w:kern w:val="2"/>
          <w:sz w:val="24"/>
          <w:szCs w:val="24"/>
          <w:lang w:eastAsia="fr-BE"/>
          <w14:ligatures w14:val="standardContextual"/>
        </w:rPr>
      </w:pPr>
      <w:hyperlink w:anchor="_Toc233626077"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Comment est calculé le taux moyen de perception ?</w:t>
        </w:r>
        <w:r>
          <w:rPr>
            <w:noProof/>
            <w:webHidden/>
          </w:rPr>
          <w:tab/>
        </w:r>
        <w:r>
          <w:rPr>
            <w:noProof/>
            <w:webHidden/>
          </w:rPr>
          <w:fldChar w:fldCharType="begin"/>
        </w:r>
        <w:r>
          <w:rPr>
            <w:noProof/>
            <w:webHidden/>
          </w:rPr>
          <w:instrText xml:space="preserve"> PAGEREF _Toc233626077 \h </w:instrText>
        </w:r>
        <w:r>
          <w:rPr>
            <w:noProof/>
            <w:webHidden/>
          </w:rPr>
        </w:r>
        <w:r>
          <w:rPr>
            <w:noProof/>
            <w:webHidden/>
          </w:rPr>
          <w:fldChar w:fldCharType="separate"/>
        </w:r>
        <w:r w:rsidR="001E3978">
          <w:rPr>
            <w:noProof/>
            <w:webHidden/>
          </w:rPr>
          <w:t>56</w:t>
        </w:r>
        <w:r>
          <w:rPr>
            <w:noProof/>
            <w:webHidden/>
          </w:rPr>
          <w:fldChar w:fldCharType="end"/>
        </w:r>
      </w:hyperlink>
    </w:p>
    <w:p w14:paraId="4C3BE2B2" w14:textId="600B1656" w:rsidR="00266B1F" w:rsidRDefault="00266B1F">
      <w:pPr>
        <w:pStyle w:val="TM3"/>
        <w:tabs>
          <w:tab w:val="left" w:pos="960"/>
          <w:tab w:val="right" w:leader="dot" w:pos="8630"/>
        </w:tabs>
        <w:rPr>
          <w:noProof/>
          <w:kern w:val="2"/>
          <w:sz w:val="24"/>
          <w:szCs w:val="24"/>
          <w:lang w:eastAsia="fr-BE"/>
          <w14:ligatures w14:val="standardContextual"/>
        </w:rPr>
      </w:pPr>
      <w:hyperlink w:anchor="_Toc233626078"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Quand une inscription budgétaire supérieure peut-elle être autorisée ?</w:t>
        </w:r>
        <w:r>
          <w:rPr>
            <w:noProof/>
            <w:webHidden/>
          </w:rPr>
          <w:tab/>
        </w:r>
        <w:r>
          <w:rPr>
            <w:noProof/>
            <w:webHidden/>
          </w:rPr>
          <w:fldChar w:fldCharType="begin"/>
        </w:r>
        <w:r>
          <w:rPr>
            <w:noProof/>
            <w:webHidden/>
          </w:rPr>
          <w:instrText xml:space="preserve"> PAGEREF _Toc233626078 \h </w:instrText>
        </w:r>
        <w:r>
          <w:rPr>
            <w:noProof/>
            <w:webHidden/>
          </w:rPr>
        </w:r>
        <w:r>
          <w:rPr>
            <w:noProof/>
            <w:webHidden/>
          </w:rPr>
          <w:fldChar w:fldCharType="separate"/>
        </w:r>
        <w:r w:rsidR="001E3978">
          <w:rPr>
            <w:noProof/>
            <w:webHidden/>
          </w:rPr>
          <w:t>56</w:t>
        </w:r>
        <w:r>
          <w:rPr>
            <w:noProof/>
            <w:webHidden/>
          </w:rPr>
          <w:fldChar w:fldCharType="end"/>
        </w:r>
      </w:hyperlink>
    </w:p>
    <w:p w14:paraId="3074B0B0" w14:textId="479AC41A" w:rsidR="00266B1F" w:rsidRDefault="00266B1F">
      <w:pPr>
        <w:pStyle w:val="TM3"/>
        <w:tabs>
          <w:tab w:val="left" w:pos="960"/>
          <w:tab w:val="right" w:leader="dot" w:pos="8630"/>
        </w:tabs>
        <w:rPr>
          <w:noProof/>
          <w:kern w:val="2"/>
          <w:sz w:val="24"/>
          <w:szCs w:val="24"/>
          <w:lang w:eastAsia="fr-BE"/>
          <w14:ligatures w14:val="standardContextual"/>
        </w:rPr>
      </w:pPr>
      <w:hyperlink w:anchor="_Toc233626079"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Et en l’absence de justification probante ?</w:t>
        </w:r>
        <w:r>
          <w:rPr>
            <w:noProof/>
            <w:webHidden/>
          </w:rPr>
          <w:tab/>
        </w:r>
        <w:r>
          <w:rPr>
            <w:noProof/>
            <w:webHidden/>
          </w:rPr>
          <w:fldChar w:fldCharType="begin"/>
        </w:r>
        <w:r>
          <w:rPr>
            <w:noProof/>
            <w:webHidden/>
          </w:rPr>
          <w:instrText xml:space="preserve"> PAGEREF _Toc233626079 \h </w:instrText>
        </w:r>
        <w:r>
          <w:rPr>
            <w:noProof/>
            <w:webHidden/>
          </w:rPr>
        </w:r>
        <w:r>
          <w:rPr>
            <w:noProof/>
            <w:webHidden/>
          </w:rPr>
          <w:fldChar w:fldCharType="separate"/>
        </w:r>
        <w:r w:rsidR="001E3978">
          <w:rPr>
            <w:noProof/>
            <w:webHidden/>
          </w:rPr>
          <w:t>56</w:t>
        </w:r>
        <w:r>
          <w:rPr>
            <w:noProof/>
            <w:webHidden/>
          </w:rPr>
          <w:fldChar w:fldCharType="end"/>
        </w:r>
      </w:hyperlink>
    </w:p>
    <w:p w14:paraId="07AB2A9B" w14:textId="24AD9E76" w:rsidR="00266B1F" w:rsidRDefault="00266B1F">
      <w:pPr>
        <w:pStyle w:val="TM2"/>
        <w:tabs>
          <w:tab w:val="left" w:pos="960"/>
          <w:tab w:val="right" w:leader="dot" w:pos="8630"/>
        </w:tabs>
        <w:rPr>
          <w:noProof/>
          <w:kern w:val="2"/>
          <w:sz w:val="24"/>
          <w:szCs w:val="24"/>
          <w:lang w:eastAsia="fr-BE"/>
          <w14:ligatures w14:val="standardContextual"/>
        </w:rPr>
      </w:pPr>
      <w:hyperlink w:anchor="_Toc233626080" w:history="1">
        <w:r w:rsidRPr="0027322A">
          <w:rPr>
            <w:rStyle w:val="Lienhypertexte"/>
            <w:noProof/>
          </w:rPr>
          <w:t>11.</w:t>
        </w:r>
        <w:r>
          <w:rPr>
            <w:noProof/>
            <w:kern w:val="2"/>
            <w:sz w:val="24"/>
            <w:szCs w:val="24"/>
            <w:lang w:eastAsia="fr-BE"/>
            <w14:ligatures w14:val="standardContextual"/>
          </w:rPr>
          <w:tab/>
        </w:r>
        <w:r w:rsidRPr="0027322A">
          <w:rPr>
            <w:rStyle w:val="Lienhypertexte"/>
            <w:noProof/>
          </w:rPr>
          <w:t>Additionnels à l’IPP</w:t>
        </w:r>
        <w:r>
          <w:rPr>
            <w:noProof/>
            <w:webHidden/>
          </w:rPr>
          <w:tab/>
        </w:r>
        <w:r>
          <w:rPr>
            <w:noProof/>
            <w:webHidden/>
          </w:rPr>
          <w:fldChar w:fldCharType="begin"/>
        </w:r>
        <w:r>
          <w:rPr>
            <w:noProof/>
            <w:webHidden/>
          </w:rPr>
          <w:instrText xml:space="preserve"> PAGEREF _Toc233626080 \h </w:instrText>
        </w:r>
        <w:r>
          <w:rPr>
            <w:noProof/>
            <w:webHidden/>
          </w:rPr>
        </w:r>
        <w:r>
          <w:rPr>
            <w:noProof/>
            <w:webHidden/>
          </w:rPr>
          <w:fldChar w:fldCharType="separate"/>
        </w:r>
        <w:r w:rsidR="001E3978">
          <w:rPr>
            <w:noProof/>
            <w:webHidden/>
          </w:rPr>
          <w:t>56</w:t>
        </w:r>
        <w:r>
          <w:rPr>
            <w:noProof/>
            <w:webHidden/>
          </w:rPr>
          <w:fldChar w:fldCharType="end"/>
        </w:r>
      </w:hyperlink>
    </w:p>
    <w:p w14:paraId="4C8E278B" w14:textId="541104DB" w:rsidR="00266B1F" w:rsidRDefault="00266B1F">
      <w:pPr>
        <w:pStyle w:val="TM3"/>
        <w:tabs>
          <w:tab w:val="left" w:pos="960"/>
          <w:tab w:val="right" w:leader="dot" w:pos="8630"/>
        </w:tabs>
        <w:rPr>
          <w:noProof/>
          <w:kern w:val="2"/>
          <w:sz w:val="24"/>
          <w:szCs w:val="24"/>
          <w:lang w:eastAsia="fr-BE"/>
          <w14:ligatures w14:val="standardContextual"/>
        </w:rPr>
      </w:pPr>
      <w:hyperlink w:anchor="_Toc233626081"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Comment comptabiliser les avances sur les additionnels IPP ?</w:t>
        </w:r>
        <w:r>
          <w:rPr>
            <w:noProof/>
            <w:webHidden/>
          </w:rPr>
          <w:tab/>
        </w:r>
        <w:r>
          <w:rPr>
            <w:noProof/>
            <w:webHidden/>
          </w:rPr>
          <w:fldChar w:fldCharType="begin"/>
        </w:r>
        <w:r>
          <w:rPr>
            <w:noProof/>
            <w:webHidden/>
          </w:rPr>
          <w:instrText xml:space="preserve"> PAGEREF _Toc233626081 \h </w:instrText>
        </w:r>
        <w:r>
          <w:rPr>
            <w:noProof/>
            <w:webHidden/>
          </w:rPr>
        </w:r>
        <w:r>
          <w:rPr>
            <w:noProof/>
            <w:webHidden/>
          </w:rPr>
          <w:fldChar w:fldCharType="separate"/>
        </w:r>
        <w:r w:rsidR="001E3978">
          <w:rPr>
            <w:noProof/>
            <w:webHidden/>
          </w:rPr>
          <w:t>56</w:t>
        </w:r>
        <w:r>
          <w:rPr>
            <w:noProof/>
            <w:webHidden/>
          </w:rPr>
          <w:fldChar w:fldCharType="end"/>
        </w:r>
      </w:hyperlink>
    </w:p>
    <w:p w14:paraId="048FD1EC" w14:textId="4F797CD2" w:rsidR="00266B1F" w:rsidRDefault="00266B1F">
      <w:pPr>
        <w:pStyle w:val="TM3"/>
        <w:tabs>
          <w:tab w:val="left" w:pos="960"/>
          <w:tab w:val="right" w:leader="dot" w:pos="8630"/>
        </w:tabs>
        <w:rPr>
          <w:noProof/>
          <w:kern w:val="2"/>
          <w:sz w:val="24"/>
          <w:szCs w:val="24"/>
          <w:lang w:eastAsia="fr-BE"/>
          <w14:ligatures w14:val="standardContextual"/>
        </w:rPr>
      </w:pPr>
      <w:hyperlink w:anchor="_Toc233626082"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Quand intégrer la réestimation IPP ?</w:t>
        </w:r>
        <w:r>
          <w:rPr>
            <w:noProof/>
            <w:webHidden/>
          </w:rPr>
          <w:tab/>
        </w:r>
        <w:r>
          <w:rPr>
            <w:noProof/>
            <w:webHidden/>
          </w:rPr>
          <w:fldChar w:fldCharType="begin"/>
        </w:r>
        <w:r>
          <w:rPr>
            <w:noProof/>
            <w:webHidden/>
          </w:rPr>
          <w:instrText xml:space="preserve"> PAGEREF _Toc233626082 \h </w:instrText>
        </w:r>
        <w:r>
          <w:rPr>
            <w:noProof/>
            <w:webHidden/>
          </w:rPr>
        </w:r>
        <w:r>
          <w:rPr>
            <w:noProof/>
            <w:webHidden/>
          </w:rPr>
          <w:fldChar w:fldCharType="separate"/>
        </w:r>
        <w:r w:rsidR="001E3978">
          <w:rPr>
            <w:noProof/>
            <w:webHidden/>
          </w:rPr>
          <w:t>56</w:t>
        </w:r>
        <w:r>
          <w:rPr>
            <w:noProof/>
            <w:webHidden/>
          </w:rPr>
          <w:fldChar w:fldCharType="end"/>
        </w:r>
      </w:hyperlink>
    </w:p>
    <w:p w14:paraId="1C74F6B8" w14:textId="2AA1BA03" w:rsidR="00266B1F" w:rsidRDefault="00266B1F">
      <w:pPr>
        <w:pStyle w:val="TM3"/>
        <w:tabs>
          <w:tab w:val="left" w:pos="960"/>
          <w:tab w:val="right" w:leader="dot" w:pos="8630"/>
        </w:tabs>
        <w:rPr>
          <w:noProof/>
          <w:kern w:val="2"/>
          <w:sz w:val="24"/>
          <w:szCs w:val="24"/>
          <w:lang w:eastAsia="fr-BE"/>
          <w14:ligatures w14:val="standardContextual"/>
        </w:rPr>
      </w:pPr>
      <w:hyperlink w:anchor="_Toc233626083"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Astuce pratique</w:t>
        </w:r>
        <w:r>
          <w:rPr>
            <w:noProof/>
            <w:webHidden/>
          </w:rPr>
          <w:tab/>
        </w:r>
        <w:r>
          <w:rPr>
            <w:noProof/>
            <w:webHidden/>
          </w:rPr>
          <w:fldChar w:fldCharType="begin"/>
        </w:r>
        <w:r>
          <w:rPr>
            <w:noProof/>
            <w:webHidden/>
          </w:rPr>
          <w:instrText xml:space="preserve"> PAGEREF _Toc233626083 \h </w:instrText>
        </w:r>
        <w:r>
          <w:rPr>
            <w:noProof/>
            <w:webHidden/>
          </w:rPr>
        </w:r>
        <w:r>
          <w:rPr>
            <w:noProof/>
            <w:webHidden/>
          </w:rPr>
          <w:fldChar w:fldCharType="separate"/>
        </w:r>
        <w:r w:rsidR="001E3978">
          <w:rPr>
            <w:noProof/>
            <w:webHidden/>
          </w:rPr>
          <w:t>56</w:t>
        </w:r>
        <w:r>
          <w:rPr>
            <w:noProof/>
            <w:webHidden/>
          </w:rPr>
          <w:fldChar w:fldCharType="end"/>
        </w:r>
      </w:hyperlink>
    </w:p>
    <w:p w14:paraId="4E29BC39" w14:textId="0D8BD9C9" w:rsidR="00266B1F" w:rsidRDefault="00266B1F">
      <w:pPr>
        <w:pStyle w:val="TM2"/>
        <w:tabs>
          <w:tab w:val="left" w:pos="960"/>
          <w:tab w:val="right" w:leader="dot" w:pos="8630"/>
        </w:tabs>
        <w:rPr>
          <w:noProof/>
          <w:kern w:val="2"/>
          <w:sz w:val="24"/>
          <w:szCs w:val="24"/>
          <w:lang w:eastAsia="fr-BE"/>
          <w14:ligatures w14:val="standardContextual"/>
        </w:rPr>
      </w:pPr>
      <w:hyperlink w:anchor="_Toc233626084" w:history="1">
        <w:r w:rsidRPr="0027322A">
          <w:rPr>
            <w:rStyle w:val="Lienhypertexte"/>
            <w:noProof/>
          </w:rPr>
          <w:t>12.</w:t>
        </w:r>
        <w:r>
          <w:rPr>
            <w:noProof/>
            <w:kern w:val="2"/>
            <w:sz w:val="24"/>
            <w:szCs w:val="24"/>
            <w:lang w:eastAsia="fr-BE"/>
            <w14:ligatures w14:val="standardContextual"/>
          </w:rPr>
          <w:tab/>
        </w:r>
        <w:r w:rsidRPr="0027322A">
          <w:rPr>
            <w:rStyle w:val="Lienhypertexte"/>
            <w:noProof/>
          </w:rPr>
          <w:t>Perception des recettes</w:t>
        </w:r>
        <w:r>
          <w:rPr>
            <w:noProof/>
            <w:webHidden/>
          </w:rPr>
          <w:tab/>
        </w:r>
        <w:r>
          <w:rPr>
            <w:noProof/>
            <w:webHidden/>
          </w:rPr>
          <w:fldChar w:fldCharType="begin"/>
        </w:r>
        <w:r>
          <w:rPr>
            <w:noProof/>
            <w:webHidden/>
          </w:rPr>
          <w:instrText xml:space="preserve"> PAGEREF _Toc233626084 \h </w:instrText>
        </w:r>
        <w:r>
          <w:rPr>
            <w:noProof/>
            <w:webHidden/>
          </w:rPr>
        </w:r>
        <w:r>
          <w:rPr>
            <w:noProof/>
            <w:webHidden/>
          </w:rPr>
          <w:fldChar w:fldCharType="separate"/>
        </w:r>
        <w:r w:rsidR="001E3978">
          <w:rPr>
            <w:noProof/>
            <w:webHidden/>
          </w:rPr>
          <w:t>57</w:t>
        </w:r>
        <w:r>
          <w:rPr>
            <w:noProof/>
            <w:webHidden/>
          </w:rPr>
          <w:fldChar w:fldCharType="end"/>
        </w:r>
      </w:hyperlink>
    </w:p>
    <w:p w14:paraId="3226A635" w14:textId="1F85F1AC" w:rsidR="00266B1F" w:rsidRDefault="00266B1F">
      <w:pPr>
        <w:pStyle w:val="TM3"/>
        <w:tabs>
          <w:tab w:val="left" w:pos="960"/>
          <w:tab w:val="right" w:leader="dot" w:pos="8630"/>
        </w:tabs>
        <w:rPr>
          <w:noProof/>
          <w:kern w:val="2"/>
          <w:sz w:val="24"/>
          <w:szCs w:val="24"/>
          <w:lang w:eastAsia="fr-BE"/>
          <w14:ligatures w14:val="standardContextual"/>
        </w:rPr>
      </w:pPr>
      <w:hyperlink w:anchor="_Toc233626085"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À quel exercice comptabiliser les droits établis dans les rôles ?</w:t>
        </w:r>
        <w:r>
          <w:rPr>
            <w:noProof/>
            <w:webHidden/>
          </w:rPr>
          <w:tab/>
        </w:r>
        <w:r>
          <w:rPr>
            <w:noProof/>
            <w:webHidden/>
          </w:rPr>
          <w:fldChar w:fldCharType="begin"/>
        </w:r>
        <w:r>
          <w:rPr>
            <w:noProof/>
            <w:webHidden/>
          </w:rPr>
          <w:instrText xml:space="preserve"> PAGEREF _Toc233626085 \h </w:instrText>
        </w:r>
        <w:r>
          <w:rPr>
            <w:noProof/>
            <w:webHidden/>
          </w:rPr>
        </w:r>
        <w:r>
          <w:rPr>
            <w:noProof/>
            <w:webHidden/>
          </w:rPr>
          <w:fldChar w:fldCharType="separate"/>
        </w:r>
        <w:r w:rsidR="001E3978">
          <w:rPr>
            <w:noProof/>
            <w:webHidden/>
          </w:rPr>
          <w:t>57</w:t>
        </w:r>
        <w:r>
          <w:rPr>
            <w:noProof/>
            <w:webHidden/>
          </w:rPr>
          <w:fldChar w:fldCharType="end"/>
        </w:r>
      </w:hyperlink>
    </w:p>
    <w:p w14:paraId="0FC30E62" w14:textId="20BD1718" w:rsidR="00266B1F" w:rsidRDefault="00266B1F">
      <w:pPr>
        <w:pStyle w:val="TM3"/>
        <w:tabs>
          <w:tab w:val="left" w:pos="960"/>
          <w:tab w:val="right" w:leader="dot" w:pos="8630"/>
        </w:tabs>
        <w:rPr>
          <w:noProof/>
          <w:kern w:val="2"/>
          <w:sz w:val="24"/>
          <w:szCs w:val="24"/>
          <w:lang w:eastAsia="fr-BE"/>
          <w14:ligatures w14:val="standardContextual"/>
        </w:rPr>
      </w:pPr>
      <w:hyperlink w:anchor="_Toc233626086"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Comment reprendre au budget N des recettes liées à des rôles N-1 rendus exécutoires entre le 1er janvier et le 30 juin N ?</w:t>
        </w:r>
        <w:r>
          <w:rPr>
            <w:noProof/>
            <w:webHidden/>
          </w:rPr>
          <w:tab/>
        </w:r>
        <w:r>
          <w:rPr>
            <w:noProof/>
            <w:webHidden/>
          </w:rPr>
          <w:fldChar w:fldCharType="begin"/>
        </w:r>
        <w:r>
          <w:rPr>
            <w:noProof/>
            <w:webHidden/>
          </w:rPr>
          <w:instrText xml:space="preserve"> PAGEREF _Toc233626086 \h </w:instrText>
        </w:r>
        <w:r>
          <w:rPr>
            <w:noProof/>
            <w:webHidden/>
          </w:rPr>
        </w:r>
        <w:r>
          <w:rPr>
            <w:noProof/>
            <w:webHidden/>
          </w:rPr>
          <w:fldChar w:fldCharType="separate"/>
        </w:r>
        <w:r w:rsidR="001E3978">
          <w:rPr>
            <w:noProof/>
            <w:webHidden/>
          </w:rPr>
          <w:t>57</w:t>
        </w:r>
        <w:r>
          <w:rPr>
            <w:noProof/>
            <w:webHidden/>
          </w:rPr>
          <w:fldChar w:fldCharType="end"/>
        </w:r>
      </w:hyperlink>
    </w:p>
    <w:p w14:paraId="490B71E2" w14:textId="52FEF7BB" w:rsidR="00266B1F" w:rsidRDefault="00266B1F">
      <w:pPr>
        <w:pStyle w:val="TM2"/>
        <w:tabs>
          <w:tab w:val="left" w:pos="960"/>
          <w:tab w:val="right" w:leader="dot" w:pos="8630"/>
        </w:tabs>
        <w:rPr>
          <w:noProof/>
          <w:kern w:val="2"/>
          <w:sz w:val="24"/>
          <w:szCs w:val="24"/>
          <w:lang w:eastAsia="fr-BE"/>
          <w14:ligatures w14:val="standardContextual"/>
        </w:rPr>
      </w:pPr>
      <w:hyperlink w:anchor="_Toc233626087" w:history="1">
        <w:r w:rsidRPr="0027322A">
          <w:rPr>
            <w:rStyle w:val="Lienhypertexte"/>
            <w:noProof/>
          </w:rPr>
          <w:t>13.</w:t>
        </w:r>
        <w:r>
          <w:rPr>
            <w:noProof/>
            <w:kern w:val="2"/>
            <w:sz w:val="24"/>
            <w:szCs w:val="24"/>
            <w:lang w:eastAsia="fr-BE"/>
            <w14:ligatures w14:val="standardContextual"/>
          </w:rPr>
          <w:tab/>
        </w:r>
        <w:r w:rsidRPr="0027322A">
          <w:rPr>
            <w:rStyle w:val="Lienhypertexte"/>
            <w:noProof/>
          </w:rPr>
          <w:t>Réévaluation annuelle des biens du patrimoine immobilier</w:t>
        </w:r>
        <w:r>
          <w:rPr>
            <w:noProof/>
            <w:webHidden/>
          </w:rPr>
          <w:tab/>
        </w:r>
        <w:r>
          <w:rPr>
            <w:noProof/>
            <w:webHidden/>
          </w:rPr>
          <w:fldChar w:fldCharType="begin"/>
        </w:r>
        <w:r>
          <w:rPr>
            <w:noProof/>
            <w:webHidden/>
          </w:rPr>
          <w:instrText xml:space="preserve"> PAGEREF _Toc233626087 \h </w:instrText>
        </w:r>
        <w:r>
          <w:rPr>
            <w:noProof/>
            <w:webHidden/>
          </w:rPr>
        </w:r>
        <w:r>
          <w:rPr>
            <w:noProof/>
            <w:webHidden/>
          </w:rPr>
          <w:fldChar w:fldCharType="separate"/>
        </w:r>
        <w:r w:rsidR="001E3978">
          <w:rPr>
            <w:noProof/>
            <w:webHidden/>
          </w:rPr>
          <w:t>57</w:t>
        </w:r>
        <w:r>
          <w:rPr>
            <w:noProof/>
            <w:webHidden/>
          </w:rPr>
          <w:fldChar w:fldCharType="end"/>
        </w:r>
      </w:hyperlink>
    </w:p>
    <w:p w14:paraId="571CD25A" w14:textId="3C041472" w:rsidR="00266B1F" w:rsidRDefault="00266B1F">
      <w:pPr>
        <w:pStyle w:val="TM2"/>
        <w:tabs>
          <w:tab w:val="left" w:pos="960"/>
          <w:tab w:val="right" w:leader="dot" w:pos="8630"/>
        </w:tabs>
        <w:rPr>
          <w:noProof/>
          <w:kern w:val="2"/>
          <w:sz w:val="24"/>
          <w:szCs w:val="24"/>
          <w:lang w:eastAsia="fr-BE"/>
          <w14:ligatures w14:val="standardContextual"/>
        </w:rPr>
      </w:pPr>
      <w:hyperlink w:anchor="_Toc233626088" w:history="1">
        <w:r w:rsidRPr="0027322A">
          <w:rPr>
            <w:rStyle w:val="Lienhypertexte"/>
            <w:noProof/>
          </w:rPr>
          <w:t>14.</w:t>
        </w:r>
        <w:r>
          <w:rPr>
            <w:noProof/>
            <w:kern w:val="2"/>
            <w:sz w:val="24"/>
            <w:szCs w:val="24"/>
            <w:lang w:eastAsia="fr-BE"/>
            <w14:ligatures w14:val="standardContextual"/>
          </w:rPr>
          <w:tab/>
        </w:r>
        <w:r w:rsidRPr="0027322A">
          <w:rPr>
            <w:rStyle w:val="Lienhypertexte"/>
            <w:noProof/>
          </w:rPr>
          <w:t>Placements</w:t>
        </w:r>
        <w:r>
          <w:rPr>
            <w:noProof/>
            <w:webHidden/>
          </w:rPr>
          <w:tab/>
        </w:r>
        <w:r>
          <w:rPr>
            <w:noProof/>
            <w:webHidden/>
          </w:rPr>
          <w:fldChar w:fldCharType="begin"/>
        </w:r>
        <w:r>
          <w:rPr>
            <w:noProof/>
            <w:webHidden/>
          </w:rPr>
          <w:instrText xml:space="preserve"> PAGEREF _Toc233626088 \h </w:instrText>
        </w:r>
        <w:r>
          <w:rPr>
            <w:noProof/>
            <w:webHidden/>
          </w:rPr>
        </w:r>
        <w:r>
          <w:rPr>
            <w:noProof/>
            <w:webHidden/>
          </w:rPr>
          <w:fldChar w:fldCharType="separate"/>
        </w:r>
        <w:r w:rsidR="001E3978">
          <w:rPr>
            <w:noProof/>
            <w:webHidden/>
          </w:rPr>
          <w:t>57</w:t>
        </w:r>
        <w:r>
          <w:rPr>
            <w:noProof/>
            <w:webHidden/>
          </w:rPr>
          <w:fldChar w:fldCharType="end"/>
        </w:r>
      </w:hyperlink>
    </w:p>
    <w:p w14:paraId="07BEAC14" w14:textId="7120BC0C" w:rsidR="00266B1F" w:rsidRDefault="00266B1F">
      <w:pPr>
        <w:pStyle w:val="TM3"/>
        <w:tabs>
          <w:tab w:val="left" w:pos="960"/>
          <w:tab w:val="right" w:leader="dot" w:pos="8630"/>
        </w:tabs>
        <w:rPr>
          <w:noProof/>
          <w:kern w:val="2"/>
          <w:sz w:val="24"/>
          <w:szCs w:val="24"/>
          <w:lang w:eastAsia="fr-BE"/>
          <w14:ligatures w14:val="standardContextual"/>
        </w:rPr>
      </w:pPr>
      <w:hyperlink w:anchor="_Toc233626089"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Quels sont les principes généraux applicables aux placements communaux ?</w:t>
        </w:r>
        <w:r>
          <w:rPr>
            <w:noProof/>
            <w:webHidden/>
          </w:rPr>
          <w:tab/>
        </w:r>
        <w:r>
          <w:rPr>
            <w:noProof/>
            <w:webHidden/>
          </w:rPr>
          <w:fldChar w:fldCharType="begin"/>
        </w:r>
        <w:r>
          <w:rPr>
            <w:noProof/>
            <w:webHidden/>
          </w:rPr>
          <w:instrText xml:space="preserve"> PAGEREF _Toc233626089 \h </w:instrText>
        </w:r>
        <w:r>
          <w:rPr>
            <w:noProof/>
            <w:webHidden/>
          </w:rPr>
        </w:r>
        <w:r>
          <w:rPr>
            <w:noProof/>
            <w:webHidden/>
          </w:rPr>
          <w:fldChar w:fldCharType="separate"/>
        </w:r>
        <w:r w:rsidR="001E3978">
          <w:rPr>
            <w:noProof/>
            <w:webHidden/>
          </w:rPr>
          <w:t>57</w:t>
        </w:r>
        <w:r>
          <w:rPr>
            <w:noProof/>
            <w:webHidden/>
          </w:rPr>
          <w:fldChar w:fldCharType="end"/>
        </w:r>
      </w:hyperlink>
    </w:p>
    <w:p w14:paraId="38DC2587" w14:textId="5F9588BC" w:rsidR="00266B1F" w:rsidRDefault="00266B1F">
      <w:pPr>
        <w:pStyle w:val="TM3"/>
        <w:tabs>
          <w:tab w:val="left" w:pos="960"/>
          <w:tab w:val="right" w:leader="dot" w:pos="8630"/>
        </w:tabs>
        <w:rPr>
          <w:noProof/>
          <w:kern w:val="2"/>
          <w:sz w:val="24"/>
          <w:szCs w:val="24"/>
          <w:lang w:eastAsia="fr-BE"/>
          <w14:ligatures w14:val="standardContextual"/>
        </w:rPr>
      </w:pPr>
      <w:hyperlink w:anchor="_Toc233626090"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Quels instruments de placement sont acceptés ?</w:t>
        </w:r>
        <w:r>
          <w:rPr>
            <w:noProof/>
            <w:webHidden/>
          </w:rPr>
          <w:tab/>
        </w:r>
        <w:r>
          <w:rPr>
            <w:noProof/>
            <w:webHidden/>
          </w:rPr>
          <w:fldChar w:fldCharType="begin"/>
        </w:r>
        <w:r>
          <w:rPr>
            <w:noProof/>
            <w:webHidden/>
          </w:rPr>
          <w:instrText xml:space="preserve"> PAGEREF _Toc233626090 \h </w:instrText>
        </w:r>
        <w:r>
          <w:rPr>
            <w:noProof/>
            <w:webHidden/>
          </w:rPr>
        </w:r>
        <w:r>
          <w:rPr>
            <w:noProof/>
            <w:webHidden/>
          </w:rPr>
          <w:fldChar w:fldCharType="separate"/>
        </w:r>
        <w:r w:rsidR="001E3978">
          <w:rPr>
            <w:noProof/>
            <w:webHidden/>
          </w:rPr>
          <w:t>57</w:t>
        </w:r>
        <w:r>
          <w:rPr>
            <w:noProof/>
            <w:webHidden/>
          </w:rPr>
          <w:fldChar w:fldCharType="end"/>
        </w:r>
      </w:hyperlink>
    </w:p>
    <w:p w14:paraId="7098709A" w14:textId="7D3C3D63" w:rsidR="00266B1F" w:rsidRDefault="00266B1F">
      <w:pPr>
        <w:pStyle w:val="TM3"/>
        <w:tabs>
          <w:tab w:val="left" w:pos="960"/>
          <w:tab w:val="right" w:leader="dot" w:pos="8630"/>
        </w:tabs>
        <w:rPr>
          <w:noProof/>
          <w:kern w:val="2"/>
          <w:sz w:val="24"/>
          <w:szCs w:val="24"/>
          <w:lang w:eastAsia="fr-BE"/>
          <w14:ligatures w14:val="standardContextual"/>
        </w:rPr>
      </w:pPr>
      <w:hyperlink w:anchor="_Toc233626091"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Quelles vérifications opérer sur les organismes financiers ?</w:t>
        </w:r>
        <w:r>
          <w:rPr>
            <w:noProof/>
            <w:webHidden/>
          </w:rPr>
          <w:tab/>
        </w:r>
        <w:r>
          <w:rPr>
            <w:noProof/>
            <w:webHidden/>
          </w:rPr>
          <w:fldChar w:fldCharType="begin"/>
        </w:r>
        <w:r>
          <w:rPr>
            <w:noProof/>
            <w:webHidden/>
          </w:rPr>
          <w:instrText xml:space="preserve"> PAGEREF _Toc233626091 \h </w:instrText>
        </w:r>
        <w:r>
          <w:rPr>
            <w:noProof/>
            <w:webHidden/>
          </w:rPr>
        </w:r>
        <w:r>
          <w:rPr>
            <w:noProof/>
            <w:webHidden/>
          </w:rPr>
          <w:fldChar w:fldCharType="separate"/>
        </w:r>
        <w:r w:rsidR="001E3978">
          <w:rPr>
            <w:noProof/>
            <w:webHidden/>
          </w:rPr>
          <w:t>57</w:t>
        </w:r>
        <w:r>
          <w:rPr>
            <w:noProof/>
            <w:webHidden/>
          </w:rPr>
          <w:fldChar w:fldCharType="end"/>
        </w:r>
      </w:hyperlink>
    </w:p>
    <w:p w14:paraId="2324A581" w14:textId="65EA0AB5" w:rsidR="00266B1F" w:rsidRDefault="00266B1F">
      <w:pPr>
        <w:pStyle w:val="TM3"/>
        <w:tabs>
          <w:tab w:val="left" w:pos="960"/>
          <w:tab w:val="right" w:leader="dot" w:pos="8630"/>
        </w:tabs>
        <w:rPr>
          <w:noProof/>
          <w:kern w:val="2"/>
          <w:sz w:val="24"/>
          <w:szCs w:val="24"/>
          <w:lang w:eastAsia="fr-BE"/>
          <w14:ligatures w14:val="standardContextual"/>
        </w:rPr>
      </w:pPr>
      <w:hyperlink w:anchor="_Toc233626092"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Peut-on privilégier des placements éthiques (ESG) ?</w:t>
        </w:r>
        <w:r>
          <w:rPr>
            <w:noProof/>
            <w:webHidden/>
          </w:rPr>
          <w:tab/>
        </w:r>
        <w:r>
          <w:rPr>
            <w:noProof/>
            <w:webHidden/>
          </w:rPr>
          <w:fldChar w:fldCharType="begin"/>
        </w:r>
        <w:r>
          <w:rPr>
            <w:noProof/>
            <w:webHidden/>
          </w:rPr>
          <w:instrText xml:space="preserve"> PAGEREF _Toc233626092 \h </w:instrText>
        </w:r>
        <w:r>
          <w:rPr>
            <w:noProof/>
            <w:webHidden/>
          </w:rPr>
        </w:r>
        <w:r>
          <w:rPr>
            <w:noProof/>
            <w:webHidden/>
          </w:rPr>
          <w:fldChar w:fldCharType="separate"/>
        </w:r>
        <w:r w:rsidR="001E3978">
          <w:rPr>
            <w:noProof/>
            <w:webHidden/>
          </w:rPr>
          <w:t>57</w:t>
        </w:r>
        <w:r>
          <w:rPr>
            <w:noProof/>
            <w:webHidden/>
          </w:rPr>
          <w:fldChar w:fldCharType="end"/>
        </w:r>
      </w:hyperlink>
    </w:p>
    <w:p w14:paraId="4FEE0C85" w14:textId="30EA4C88" w:rsidR="00266B1F" w:rsidRDefault="00266B1F">
      <w:pPr>
        <w:pStyle w:val="TM3"/>
        <w:tabs>
          <w:tab w:val="left" w:pos="960"/>
          <w:tab w:val="right" w:leader="dot" w:pos="8630"/>
        </w:tabs>
        <w:rPr>
          <w:noProof/>
          <w:kern w:val="2"/>
          <w:sz w:val="24"/>
          <w:szCs w:val="24"/>
          <w:lang w:eastAsia="fr-BE"/>
          <w14:ligatures w14:val="standardContextual"/>
        </w:rPr>
      </w:pPr>
      <w:hyperlink w:anchor="_Toc233626093"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La spéculation avec des fonds publics est-elle autorisée ?</w:t>
        </w:r>
        <w:r>
          <w:rPr>
            <w:noProof/>
            <w:webHidden/>
          </w:rPr>
          <w:tab/>
        </w:r>
        <w:r>
          <w:rPr>
            <w:noProof/>
            <w:webHidden/>
          </w:rPr>
          <w:fldChar w:fldCharType="begin"/>
        </w:r>
        <w:r>
          <w:rPr>
            <w:noProof/>
            <w:webHidden/>
          </w:rPr>
          <w:instrText xml:space="preserve"> PAGEREF _Toc233626093 \h </w:instrText>
        </w:r>
        <w:r>
          <w:rPr>
            <w:noProof/>
            <w:webHidden/>
          </w:rPr>
        </w:r>
        <w:r>
          <w:rPr>
            <w:noProof/>
            <w:webHidden/>
          </w:rPr>
          <w:fldChar w:fldCharType="separate"/>
        </w:r>
        <w:r w:rsidR="001E3978">
          <w:rPr>
            <w:noProof/>
            <w:webHidden/>
          </w:rPr>
          <w:t>58</w:t>
        </w:r>
        <w:r>
          <w:rPr>
            <w:noProof/>
            <w:webHidden/>
          </w:rPr>
          <w:fldChar w:fldCharType="end"/>
        </w:r>
      </w:hyperlink>
    </w:p>
    <w:p w14:paraId="7A632F2B" w14:textId="7927D2A3" w:rsidR="00266B1F" w:rsidRDefault="00266B1F">
      <w:pPr>
        <w:pStyle w:val="TM2"/>
        <w:tabs>
          <w:tab w:val="left" w:pos="960"/>
          <w:tab w:val="right" w:leader="dot" w:pos="8630"/>
        </w:tabs>
        <w:rPr>
          <w:noProof/>
          <w:kern w:val="2"/>
          <w:sz w:val="24"/>
          <w:szCs w:val="24"/>
          <w:lang w:eastAsia="fr-BE"/>
          <w14:ligatures w14:val="standardContextual"/>
        </w:rPr>
      </w:pPr>
      <w:hyperlink w:anchor="_Toc233626094" w:history="1">
        <w:r w:rsidRPr="0027322A">
          <w:rPr>
            <w:rStyle w:val="Lienhypertexte"/>
            <w:noProof/>
          </w:rPr>
          <w:t>15.</w:t>
        </w:r>
        <w:r>
          <w:rPr>
            <w:noProof/>
            <w:kern w:val="2"/>
            <w:sz w:val="24"/>
            <w:szCs w:val="24"/>
            <w:lang w:eastAsia="fr-BE"/>
            <w14:ligatures w14:val="standardContextual"/>
          </w:rPr>
          <w:tab/>
        </w:r>
        <w:r w:rsidRPr="0027322A">
          <w:rPr>
            <w:rStyle w:val="Lienhypertexte"/>
            <w:noProof/>
          </w:rPr>
          <w:t>Transmission électronique des extraits de comptes</w:t>
        </w:r>
        <w:r>
          <w:rPr>
            <w:noProof/>
            <w:webHidden/>
          </w:rPr>
          <w:tab/>
        </w:r>
        <w:r>
          <w:rPr>
            <w:noProof/>
            <w:webHidden/>
          </w:rPr>
          <w:fldChar w:fldCharType="begin"/>
        </w:r>
        <w:r>
          <w:rPr>
            <w:noProof/>
            <w:webHidden/>
          </w:rPr>
          <w:instrText xml:space="preserve"> PAGEREF _Toc233626094 \h </w:instrText>
        </w:r>
        <w:r>
          <w:rPr>
            <w:noProof/>
            <w:webHidden/>
          </w:rPr>
        </w:r>
        <w:r>
          <w:rPr>
            <w:noProof/>
            <w:webHidden/>
          </w:rPr>
          <w:fldChar w:fldCharType="separate"/>
        </w:r>
        <w:r w:rsidR="001E3978">
          <w:rPr>
            <w:noProof/>
            <w:webHidden/>
          </w:rPr>
          <w:t>58</w:t>
        </w:r>
        <w:r>
          <w:rPr>
            <w:noProof/>
            <w:webHidden/>
          </w:rPr>
          <w:fldChar w:fldCharType="end"/>
        </w:r>
      </w:hyperlink>
    </w:p>
    <w:p w14:paraId="4A157131" w14:textId="374E96EE" w:rsidR="00266B1F" w:rsidRDefault="00266B1F">
      <w:pPr>
        <w:pStyle w:val="TM3"/>
        <w:tabs>
          <w:tab w:val="left" w:pos="960"/>
          <w:tab w:val="right" w:leader="dot" w:pos="8630"/>
        </w:tabs>
        <w:rPr>
          <w:noProof/>
          <w:kern w:val="2"/>
          <w:sz w:val="24"/>
          <w:szCs w:val="24"/>
          <w:lang w:eastAsia="fr-BE"/>
          <w14:ligatures w14:val="standardContextual"/>
        </w:rPr>
      </w:pPr>
      <w:hyperlink w:anchor="_Toc233626095"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Les extraits de compte peuvent-ils être transmis par voie électronique ?</w:t>
        </w:r>
        <w:r>
          <w:rPr>
            <w:noProof/>
            <w:webHidden/>
          </w:rPr>
          <w:tab/>
        </w:r>
        <w:r>
          <w:rPr>
            <w:noProof/>
            <w:webHidden/>
          </w:rPr>
          <w:fldChar w:fldCharType="begin"/>
        </w:r>
        <w:r>
          <w:rPr>
            <w:noProof/>
            <w:webHidden/>
          </w:rPr>
          <w:instrText xml:space="preserve"> PAGEREF _Toc233626095 \h </w:instrText>
        </w:r>
        <w:r>
          <w:rPr>
            <w:noProof/>
            <w:webHidden/>
          </w:rPr>
        </w:r>
        <w:r>
          <w:rPr>
            <w:noProof/>
            <w:webHidden/>
          </w:rPr>
          <w:fldChar w:fldCharType="separate"/>
        </w:r>
        <w:r w:rsidR="001E3978">
          <w:rPr>
            <w:noProof/>
            <w:webHidden/>
          </w:rPr>
          <w:t>58</w:t>
        </w:r>
        <w:r>
          <w:rPr>
            <w:noProof/>
            <w:webHidden/>
          </w:rPr>
          <w:fldChar w:fldCharType="end"/>
        </w:r>
      </w:hyperlink>
    </w:p>
    <w:p w14:paraId="33A44649" w14:textId="0A85B85D" w:rsidR="00266B1F" w:rsidRDefault="00266B1F">
      <w:pPr>
        <w:pStyle w:val="TM3"/>
        <w:tabs>
          <w:tab w:val="left" w:pos="960"/>
          <w:tab w:val="right" w:leader="dot" w:pos="8630"/>
        </w:tabs>
        <w:rPr>
          <w:noProof/>
          <w:kern w:val="2"/>
          <w:sz w:val="24"/>
          <w:szCs w:val="24"/>
          <w:lang w:eastAsia="fr-BE"/>
          <w14:ligatures w14:val="standardContextual"/>
        </w:rPr>
      </w:pPr>
      <w:hyperlink w:anchor="_Toc233626096"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Quelles sont les exigences minimales de forme et de sécurité ?</w:t>
        </w:r>
        <w:r>
          <w:rPr>
            <w:noProof/>
            <w:webHidden/>
          </w:rPr>
          <w:tab/>
        </w:r>
        <w:r>
          <w:rPr>
            <w:noProof/>
            <w:webHidden/>
          </w:rPr>
          <w:fldChar w:fldCharType="begin"/>
        </w:r>
        <w:r>
          <w:rPr>
            <w:noProof/>
            <w:webHidden/>
          </w:rPr>
          <w:instrText xml:space="preserve"> PAGEREF _Toc233626096 \h </w:instrText>
        </w:r>
        <w:r>
          <w:rPr>
            <w:noProof/>
            <w:webHidden/>
          </w:rPr>
        </w:r>
        <w:r>
          <w:rPr>
            <w:noProof/>
            <w:webHidden/>
          </w:rPr>
          <w:fldChar w:fldCharType="separate"/>
        </w:r>
        <w:r w:rsidR="001E3978">
          <w:rPr>
            <w:noProof/>
            <w:webHidden/>
          </w:rPr>
          <w:t>58</w:t>
        </w:r>
        <w:r>
          <w:rPr>
            <w:noProof/>
            <w:webHidden/>
          </w:rPr>
          <w:fldChar w:fldCharType="end"/>
        </w:r>
      </w:hyperlink>
    </w:p>
    <w:p w14:paraId="40291E0F" w14:textId="2D32DAD9" w:rsidR="00266B1F" w:rsidRDefault="00266B1F">
      <w:pPr>
        <w:pStyle w:val="TM3"/>
        <w:tabs>
          <w:tab w:val="left" w:pos="960"/>
          <w:tab w:val="right" w:leader="dot" w:pos="8630"/>
        </w:tabs>
        <w:rPr>
          <w:noProof/>
          <w:kern w:val="2"/>
          <w:sz w:val="24"/>
          <w:szCs w:val="24"/>
          <w:lang w:eastAsia="fr-BE"/>
          <w14:ligatures w14:val="standardContextual"/>
        </w:rPr>
      </w:pPr>
      <w:hyperlink w:anchor="_Toc233626097"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Quelles bonnes pratiques mettre en place ?</w:t>
        </w:r>
        <w:r>
          <w:rPr>
            <w:noProof/>
            <w:webHidden/>
          </w:rPr>
          <w:tab/>
        </w:r>
        <w:r>
          <w:rPr>
            <w:noProof/>
            <w:webHidden/>
          </w:rPr>
          <w:fldChar w:fldCharType="begin"/>
        </w:r>
        <w:r>
          <w:rPr>
            <w:noProof/>
            <w:webHidden/>
          </w:rPr>
          <w:instrText xml:space="preserve"> PAGEREF _Toc233626097 \h </w:instrText>
        </w:r>
        <w:r>
          <w:rPr>
            <w:noProof/>
            <w:webHidden/>
          </w:rPr>
        </w:r>
        <w:r>
          <w:rPr>
            <w:noProof/>
            <w:webHidden/>
          </w:rPr>
          <w:fldChar w:fldCharType="separate"/>
        </w:r>
        <w:r w:rsidR="001E3978">
          <w:rPr>
            <w:noProof/>
            <w:webHidden/>
          </w:rPr>
          <w:t>58</w:t>
        </w:r>
        <w:r>
          <w:rPr>
            <w:noProof/>
            <w:webHidden/>
          </w:rPr>
          <w:fldChar w:fldCharType="end"/>
        </w:r>
      </w:hyperlink>
    </w:p>
    <w:p w14:paraId="0473007E" w14:textId="61EE2541" w:rsidR="00266B1F" w:rsidRDefault="00266B1F">
      <w:pPr>
        <w:pStyle w:val="TM2"/>
        <w:tabs>
          <w:tab w:val="left" w:pos="960"/>
          <w:tab w:val="right" w:leader="dot" w:pos="8630"/>
        </w:tabs>
        <w:rPr>
          <w:noProof/>
          <w:kern w:val="2"/>
          <w:sz w:val="24"/>
          <w:szCs w:val="24"/>
          <w:lang w:eastAsia="fr-BE"/>
          <w14:ligatures w14:val="standardContextual"/>
        </w:rPr>
      </w:pPr>
      <w:hyperlink w:anchor="_Toc233626098" w:history="1">
        <w:r w:rsidRPr="0027322A">
          <w:rPr>
            <w:rStyle w:val="Lienhypertexte"/>
            <w:noProof/>
          </w:rPr>
          <w:t>16.</w:t>
        </w:r>
        <w:r>
          <w:rPr>
            <w:noProof/>
            <w:kern w:val="2"/>
            <w:sz w:val="24"/>
            <w:szCs w:val="24"/>
            <w:lang w:eastAsia="fr-BE"/>
            <w14:ligatures w14:val="standardContextual"/>
          </w:rPr>
          <w:tab/>
        </w:r>
        <w:r w:rsidRPr="0027322A">
          <w:rPr>
            <w:rStyle w:val="Lienhypertexte"/>
            <w:noProof/>
          </w:rPr>
          <w:t>Avances de fonds</w:t>
        </w:r>
        <w:r>
          <w:rPr>
            <w:noProof/>
            <w:webHidden/>
          </w:rPr>
          <w:tab/>
        </w:r>
        <w:r>
          <w:rPr>
            <w:noProof/>
            <w:webHidden/>
          </w:rPr>
          <w:fldChar w:fldCharType="begin"/>
        </w:r>
        <w:r>
          <w:rPr>
            <w:noProof/>
            <w:webHidden/>
          </w:rPr>
          <w:instrText xml:space="preserve"> PAGEREF _Toc233626098 \h </w:instrText>
        </w:r>
        <w:r>
          <w:rPr>
            <w:noProof/>
            <w:webHidden/>
          </w:rPr>
        </w:r>
        <w:r>
          <w:rPr>
            <w:noProof/>
            <w:webHidden/>
          </w:rPr>
          <w:fldChar w:fldCharType="separate"/>
        </w:r>
        <w:r w:rsidR="001E3978">
          <w:rPr>
            <w:noProof/>
            <w:webHidden/>
          </w:rPr>
          <w:t>58</w:t>
        </w:r>
        <w:r>
          <w:rPr>
            <w:noProof/>
            <w:webHidden/>
          </w:rPr>
          <w:fldChar w:fldCharType="end"/>
        </w:r>
      </w:hyperlink>
    </w:p>
    <w:p w14:paraId="4AE6897C" w14:textId="1DF1F157" w:rsidR="00266B1F" w:rsidRDefault="00266B1F">
      <w:pPr>
        <w:pStyle w:val="TM3"/>
        <w:tabs>
          <w:tab w:val="left" w:pos="960"/>
          <w:tab w:val="right" w:leader="dot" w:pos="8630"/>
        </w:tabs>
        <w:rPr>
          <w:noProof/>
          <w:kern w:val="2"/>
          <w:sz w:val="24"/>
          <w:szCs w:val="24"/>
          <w:lang w:eastAsia="fr-BE"/>
          <w14:ligatures w14:val="standardContextual"/>
        </w:rPr>
      </w:pPr>
      <w:hyperlink w:anchor="_Toc233626099"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Quelle est la base légale des avances de fonds ?</w:t>
        </w:r>
        <w:r>
          <w:rPr>
            <w:noProof/>
            <w:webHidden/>
          </w:rPr>
          <w:tab/>
        </w:r>
        <w:r>
          <w:rPr>
            <w:noProof/>
            <w:webHidden/>
          </w:rPr>
          <w:fldChar w:fldCharType="begin"/>
        </w:r>
        <w:r>
          <w:rPr>
            <w:noProof/>
            <w:webHidden/>
          </w:rPr>
          <w:instrText xml:space="preserve"> PAGEREF _Toc233626099 \h </w:instrText>
        </w:r>
        <w:r>
          <w:rPr>
            <w:noProof/>
            <w:webHidden/>
          </w:rPr>
        </w:r>
        <w:r>
          <w:rPr>
            <w:noProof/>
            <w:webHidden/>
          </w:rPr>
          <w:fldChar w:fldCharType="separate"/>
        </w:r>
        <w:r w:rsidR="001E3978">
          <w:rPr>
            <w:noProof/>
            <w:webHidden/>
          </w:rPr>
          <w:t>58</w:t>
        </w:r>
        <w:r>
          <w:rPr>
            <w:noProof/>
            <w:webHidden/>
          </w:rPr>
          <w:fldChar w:fldCharType="end"/>
        </w:r>
      </w:hyperlink>
    </w:p>
    <w:p w14:paraId="09353E3B" w14:textId="3801664A" w:rsidR="00266B1F" w:rsidRDefault="00266B1F">
      <w:pPr>
        <w:pStyle w:val="TM3"/>
        <w:tabs>
          <w:tab w:val="left" w:pos="960"/>
          <w:tab w:val="right" w:leader="dot" w:pos="8630"/>
        </w:tabs>
        <w:rPr>
          <w:noProof/>
          <w:kern w:val="2"/>
          <w:sz w:val="24"/>
          <w:szCs w:val="24"/>
          <w:lang w:eastAsia="fr-BE"/>
          <w14:ligatures w14:val="standardContextual"/>
        </w:rPr>
      </w:pPr>
      <w:hyperlink w:anchor="_Toc233626100"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Les provisions pour menues dépenses sont-elles autorisées pour les mandataires ?</w:t>
        </w:r>
        <w:r>
          <w:rPr>
            <w:noProof/>
            <w:webHidden/>
          </w:rPr>
          <w:tab/>
        </w:r>
        <w:r>
          <w:rPr>
            <w:noProof/>
            <w:webHidden/>
          </w:rPr>
          <w:fldChar w:fldCharType="begin"/>
        </w:r>
        <w:r>
          <w:rPr>
            <w:noProof/>
            <w:webHidden/>
          </w:rPr>
          <w:instrText xml:space="preserve"> PAGEREF _Toc233626100 \h </w:instrText>
        </w:r>
        <w:r>
          <w:rPr>
            <w:noProof/>
            <w:webHidden/>
          </w:rPr>
        </w:r>
        <w:r>
          <w:rPr>
            <w:noProof/>
            <w:webHidden/>
          </w:rPr>
          <w:fldChar w:fldCharType="separate"/>
        </w:r>
        <w:r w:rsidR="001E3978">
          <w:rPr>
            <w:noProof/>
            <w:webHidden/>
          </w:rPr>
          <w:t>58</w:t>
        </w:r>
        <w:r>
          <w:rPr>
            <w:noProof/>
            <w:webHidden/>
          </w:rPr>
          <w:fldChar w:fldCharType="end"/>
        </w:r>
      </w:hyperlink>
    </w:p>
    <w:p w14:paraId="5AA10B4A" w14:textId="1D0423D2" w:rsidR="00266B1F" w:rsidRDefault="00266B1F">
      <w:pPr>
        <w:pStyle w:val="TM3"/>
        <w:tabs>
          <w:tab w:val="left" w:pos="960"/>
          <w:tab w:val="right" w:leader="dot" w:pos="8630"/>
        </w:tabs>
        <w:rPr>
          <w:noProof/>
          <w:kern w:val="2"/>
          <w:sz w:val="24"/>
          <w:szCs w:val="24"/>
          <w:lang w:eastAsia="fr-BE"/>
          <w14:ligatures w14:val="standardContextual"/>
        </w:rPr>
      </w:pPr>
      <w:hyperlink w:anchor="_Toc233626101"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Bonnes pratiques (recommandées) pour les avances de fonds</w:t>
        </w:r>
        <w:r>
          <w:rPr>
            <w:noProof/>
            <w:webHidden/>
          </w:rPr>
          <w:tab/>
        </w:r>
        <w:r>
          <w:rPr>
            <w:noProof/>
            <w:webHidden/>
          </w:rPr>
          <w:fldChar w:fldCharType="begin"/>
        </w:r>
        <w:r>
          <w:rPr>
            <w:noProof/>
            <w:webHidden/>
          </w:rPr>
          <w:instrText xml:space="preserve"> PAGEREF _Toc233626101 \h </w:instrText>
        </w:r>
        <w:r>
          <w:rPr>
            <w:noProof/>
            <w:webHidden/>
          </w:rPr>
        </w:r>
        <w:r>
          <w:rPr>
            <w:noProof/>
            <w:webHidden/>
          </w:rPr>
          <w:fldChar w:fldCharType="separate"/>
        </w:r>
        <w:r w:rsidR="001E3978">
          <w:rPr>
            <w:noProof/>
            <w:webHidden/>
          </w:rPr>
          <w:t>58</w:t>
        </w:r>
        <w:r>
          <w:rPr>
            <w:noProof/>
            <w:webHidden/>
          </w:rPr>
          <w:fldChar w:fldCharType="end"/>
        </w:r>
      </w:hyperlink>
    </w:p>
    <w:p w14:paraId="6F3AF603" w14:textId="7C7A61B1" w:rsidR="00266B1F" w:rsidRDefault="00266B1F">
      <w:pPr>
        <w:pStyle w:val="TM2"/>
        <w:tabs>
          <w:tab w:val="left" w:pos="960"/>
          <w:tab w:val="right" w:leader="dot" w:pos="8630"/>
        </w:tabs>
        <w:rPr>
          <w:noProof/>
          <w:kern w:val="2"/>
          <w:sz w:val="24"/>
          <w:szCs w:val="24"/>
          <w:lang w:eastAsia="fr-BE"/>
          <w14:ligatures w14:val="standardContextual"/>
        </w:rPr>
      </w:pPr>
      <w:hyperlink w:anchor="_Toc233626102" w:history="1">
        <w:r w:rsidRPr="0027322A">
          <w:rPr>
            <w:rStyle w:val="Lienhypertexte"/>
            <w:noProof/>
          </w:rPr>
          <w:t>17.</w:t>
        </w:r>
        <w:r>
          <w:rPr>
            <w:noProof/>
            <w:kern w:val="2"/>
            <w:sz w:val="24"/>
            <w:szCs w:val="24"/>
            <w:lang w:eastAsia="fr-BE"/>
            <w14:ligatures w14:val="standardContextual"/>
          </w:rPr>
          <w:tab/>
        </w:r>
        <w:r w:rsidRPr="0027322A">
          <w:rPr>
            <w:rStyle w:val="Lienhypertexte"/>
            <w:noProof/>
          </w:rPr>
          <w:t>Tutelle</w:t>
        </w:r>
        <w:r>
          <w:rPr>
            <w:noProof/>
            <w:webHidden/>
          </w:rPr>
          <w:tab/>
        </w:r>
        <w:r>
          <w:rPr>
            <w:noProof/>
            <w:webHidden/>
          </w:rPr>
          <w:fldChar w:fldCharType="begin"/>
        </w:r>
        <w:r>
          <w:rPr>
            <w:noProof/>
            <w:webHidden/>
          </w:rPr>
          <w:instrText xml:space="preserve"> PAGEREF _Toc233626102 \h </w:instrText>
        </w:r>
        <w:r>
          <w:rPr>
            <w:noProof/>
            <w:webHidden/>
          </w:rPr>
        </w:r>
        <w:r>
          <w:rPr>
            <w:noProof/>
            <w:webHidden/>
          </w:rPr>
          <w:fldChar w:fldCharType="separate"/>
        </w:r>
        <w:r w:rsidR="001E3978">
          <w:rPr>
            <w:noProof/>
            <w:webHidden/>
          </w:rPr>
          <w:t>58</w:t>
        </w:r>
        <w:r>
          <w:rPr>
            <w:noProof/>
            <w:webHidden/>
          </w:rPr>
          <w:fldChar w:fldCharType="end"/>
        </w:r>
      </w:hyperlink>
    </w:p>
    <w:p w14:paraId="43FCD304" w14:textId="476707D3" w:rsidR="00266B1F" w:rsidRDefault="00266B1F">
      <w:pPr>
        <w:pStyle w:val="TM3"/>
        <w:tabs>
          <w:tab w:val="left" w:pos="960"/>
          <w:tab w:val="right" w:leader="dot" w:pos="8630"/>
        </w:tabs>
        <w:rPr>
          <w:noProof/>
          <w:kern w:val="2"/>
          <w:sz w:val="24"/>
          <w:szCs w:val="24"/>
          <w:lang w:eastAsia="fr-BE"/>
          <w14:ligatures w14:val="standardContextual"/>
        </w:rPr>
      </w:pPr>
      <w:hyperlink w:anchor="_Toc233626103"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Quelles pièces joindre aux actes soumis à tutelle (hors budgets/MB) ?</w:t>
        </w:r>
        <w:r>
          <w:rPr>
            <w:noProof/>
            <w:webHidden/>
          </w:rPr>
          <w:tab/>
        </w:r>
        <w:r>
          <w:rPr>
            <w:noProof/>
            <w:webHidden/>
          </w:rPr>
          <w:fldChar w:fldCharType="begin"/>
        </w:r>
        <w:r>
          <w:rPr>
            <w:noProof/>
            <w:webHidden/>
          </w:rPr>
          <w:instrText xml:space="preserve"> PAGEREF _Toc233626103 \h </w:instrText>
        </w:r>
        <w:r>
          <w:rPr>
            <w:noProof/>
            <w:webHidden/>
          </w:rPr>
        </w:r>
        <w:r>
          <w:rPr>
            <w:noProof/>
            <w:webHidden/>
          </w:rPr>
          <w:fldChar w:fldCharType="separate"/>
        </w:r>
        <w:r w:rsidR="001E3978">
          <w:rPr>
            <w:noProof/>
            <w:webHidden/>
          </w:rPr>
          <w:t>58</w:t>
        </w:r>
        <w:r>
          <w:rPr>
            <w:noProof/>
            <w:webHidden/>
          </w:rPr>
          <w:fldChar w:fldCharType="end"/>
        </w:r>
      </w:hyperlink>
    </w:p>
    <w:p w14:paraId="55381918" w14:textId="6DD342AF" w:rsidR="00266B1F" w:rsidRDefault="00266B1F">
      <w:pPr>
        <w:pStyle w:val="TM3"/>
        <w:tabs>
          <w:tab w:val="left" w:pos="960"/>
          <w:tab w:val="right" w:leader="dot" w:pos="8630"/>
        </w:tabs>
        <w:rPr>
          <w:noProof/>
          <w:kern w:val="2"/>
          <w:sz w:val="24"/>
          <w:szCs w:val="24"/>
          <w:lang w:eastAsia="fr-BE"/>
          <w14:ligatures w14:val="standardContextual"/>
        </w:rPr>
      </w:pPr>
      <w:hyperlink w:anchor="_Toc233626104"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Conseils pratiques</w:t>
        </w:r>
        <w:r>
          <w:rPr>
            <w:noProof/>
            <w:webHidden/>
          </w:rPr>
          <w:tab/>
        </w:r>
        <w:r>
          <w:rPr>
            <w:noProof/>
            <w:webHidden/>
          </w:rPr>
          <w:fldChar w:fldCharType="begin"/>
        </w:r>
        <w:r>
          <w:rPr>
            <w:noProof/>
            <w:webHidden/>
          </w:rPr>
          <w:instrText xml:space="preserve"> PAGEREF _Toc233626104 \h </w:instrText>
        </w:r>
        <w:r>
          <w:rPr>
            <w:noProof/>
            <w:webHidden/>
          </w:rPr>
        </w:r>
        <w:r>
          <w:rPr>
            <w:noProof/>
            <w:webHidden/>
          </w:rPr>
          <w:fldChar w:fldCharType="separate"/>
        </w:r>
        <w:r w:rsidR="001E3978">
          <w:rPr>
            <w:noProof/>
            <w:webHidden/>
          </w:rPr>
          <w:t>59</w:t>
        </w:r>
        <w:r>
          <w:rPr>
            <w:noProof/>
            <w:webHidden/>
          </w:rPr>
          <w:fldChar w:fldCharType="end"/>
        </w:r>
      </w:hyperlink>
    </w:p>
    <w:p w14:paraId="642782FC" w14:textId="38D8894E" w:rsidR="00266B1F" w:rsidRDefault="00266B1F">
      <w:pPr>
        <w:pStyle w:val="TM2"/>
        <w:tabs>
          <w:tab w:val="left" w:pos="960"/>
          <w:tab w:val="right" w:leader="dot" w:pos="8630"/>
        </w:tabs>
        <w:rPr>
          <w:noProof/>
          <w:kern w:val="2"/>
          <w:sz w:val="24"/>
          <w:szCs w:val="24"/>
          <w:lang w:eastAsia="fr-BE"/>
          <w14:ligatures w14:val="standardContextual"/>
        </w:rPr>
      </w:pPr>
      <w:hyperlink w:anchor="_Toc233626105" w:history="1">
        <w:r w:rsidRPr="0027322A">
          <w:rPr>
            <w:rStyle w:val="Lienhypertexte"/>
            <w:noProof/>
          </w:rPr>
          <w:t>18.</w:t>
        </w:r>
        <w:r>
          <w:rPr>
            <w:noProof/>
            <w:kern w:val="2"/>
            <w:sz w:val="24"/>
            <w:szCs w:val="24"/>
            <w:lang w:eastAsia="fr-BE"/>
            <w14:ligatures w14:val="standardContextual"/>
          </w:rPr>
          <w:tab/>
        </w:r>
        <w:r w:rsidRPr="0027322A">
          <w:rPr>
            <w:rStyle w:val="Lienhypertexte"/>
            <w:noProof/>
          </w:rPr>
          <w:t>Droits restants à recouvrer</w:t>
        </w:r>
        <w:r>
          <w:rPr>
            <w:noProof/>
            <w:webHidden/>
          </w:rPr>
          <w:tab/>
        </w:r>
        <w:r>
          <w:rPr>
            <w:noProof/>
            <w:webHidden/>
          </w:rPr>
          <w:fldChar w:fldCharType="begin"/>
        </w:r>
        <w:r>
          <w:rPr>
            <w:noProof/>
            <w:webHidden/>
          </w:rPr>
          <w:instrText xml:space="preserve"> PAGEREF _Toc233626105 \h </w:instrText>
        </w:r>
        <w:r>
          <w:rPr>
            <w:noProof/>
            <w:webHidden/>
          </w:rPr>
        </w:r>
        <w:r>
          <w:rPr>
            <w:noProof/>
            <w:webHidden/>
          </w:rPr>
          <w:fldChar w:fldCharType="separate"/>
        </w:r>
        <w:r w:rsidR="001E3978">
          <w:rPr>
            <w:noProof/>
            <w:webHidden/>
          </w:rPr>
          <w:t>59</w:t>
        </w:r>
        <w:r>
          <w:rPr>
            <w:noProof/>
            <w:webHidden/>
          </w:rPr>
          <w:fldChar w:fldCharType="end"/>
        </w:r>
      </w:hyperlink>
    </w:p>
    <w:p w14:paraId="5AD8F282" w14:textId="49A5D0EE" w:rsidR="00266B1F" w:rsidRDefault="00266B1F">
      <w:pPr>
        <w:pStyle w:val="TM3"/>
        <w:tabs>
          <w:tab w:val="left" w:pos="960"/>
          <w:tab w:val="right" w:leader="dot" w:pos="8630"/>
        </w:tabs>
        <w:rPr>
          <w:noProof/>
          <w:kern w:val="2"/>
          <w:sz w:val="24"/>
          <w:szCs w:val="24"/>
          <w:lang w:eastAsia="fr-BE"/>
          <w14:ligatures w14:val="standardContextual"/>
        </w:rPr>
      </w:pPr>
      <w:hyperlink w:anchor="_Toc233626106"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Quels droits peuvent encore figurer dans la liste des droits restant à apurer ?</w:t>
        </w:r>
        <w:r>
          <w:rPr>
            <w:noProof/>
            <w:webHidden/>
          </w:rPr>
          <w:tab/>
        </w:r>
        <w:r>
          <w:rPr>
            <w:noProof/>
            <w:webHidden/>
          </w:rPr>
          <w:fldChar w:fldCharType="begin"/>
        </w:r>
        <w:r>
          <w:rPr>
            <w:noProof/>
            <w:webHidden/>
          </w:rPr>
          <w:instrText xml:space="preserve"> PAGEREF _Toc233626106 \h </w:instrText>
        </w:r>
        <w:r>
          <w:rPr>
            <w:noProof/>
            <w:webHidden/>
          </w:rPr>
        </w:r>
        <w:r>
          <w:rPr>
            <w:noProof/>
            <w:webHidden/>
          </w:rPr>
          <w:fldChar w:fldCharType="separate"/>
        </w:r>
        <w:r w:rsidR="001E3978">
          <w:rPr>
            <w:noProof/>
            <w:webHidden/>
          </w:rPr>
          <w:t>59</w:t>
        </w:r>
        <w:r>
          <w:rPr>
            <w:noProof/>
            <w:webHidden/>
          </w:rPr>
          <w:fldChar w:fldCharType="end"/>
        </w:r>
      </w:hyperlink>
    </w:p>
    <w:p w14:paraId="4FDC53D2" w14:textId="1DC5B780" w:rsidR="00266B1F" w:rsidRDefault="00266B1F">
      <w:pPr>
        <w:pStyle w:val="TM3"/>
        <w:tabs>
          <w:tab w:val="left" w:pos="960"/>
          <w:tab w:val="right" w:leader="dot" w:pos="8630"/>
        </w:tabs>
        <w:rPr>
          <w:noProof/>
          <w:kern w:val="2"/>
          <w:sz w:val="24"/>
          <w:szCs w:val="24"/>
          <w:lang w:eastAsia="fr-BE"/>
          <w14:ligatures w14:val="standardContextual"/>
        </w:rPr>
      </w:pPr>
      <w:hyperlink w:anchor="_Toc233626107"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Que faire des droits anciens difficilement récupérables ?</w:t>
        </w:r>
        <w:r>
          <w:rPr>
            <w:noProof/>
            <w:webHidden/>
          </w:rPr>
          <w:tab/>
        </w:r>
        <w:r>
          <w:rPr>
            <w:noProof/>
            <w:webHidden/>
          </w:rPr>
          <w:fldChar w:fldCharType="begin"/>
        </w:r>
        <w:r>
          <w:rPr>
            <w:noProof/>
            <w:webHidden/>
          </w:rPr>
          <w:instrText xml:space="preserve"> PAGEREF _Toc233626107 \h </w:instrText>
        </w:r>
        <w:r>
          <w:rPr>
            <w:noProof/>
            <w:webHidden/>
          </w:rPr>
        </w:r>
        <w:r>
          <w:rPr>
            <w:noProof/>
            <w:webHidden/>
          </w:rPr>
          <w:fldChar w:fldCharType="separate"/>
        </w:r>
        <w:r w:rsidR="001E3978">
          <w:rPr>
            <w:noProof/>
            <w:webHidden/>
          </w:rPr>
          <w:t>59</w:t>
        </w:r>
        <w:r>
          <w:rPr>
            <w:noProof/>
            <w:webHidden/>
          </w:rPr>
          <w:fldChar w:fldCharType="end"/>
        </w:r>
      </w:hyperlink>
    </w:p>
    <w:p w14:paraId="52887D06" w14:textId="13CC65C1" w:rsidR="00266B1F" w:rsidRDefault="00266B1F">
      <w:pPr>
        <w:pStyle w:val="TM3"/>
        <w:tabs>
          <w:tab w:val="left" w:pos="960"/>
          <w:tab w:val="right" w:leader="dot" w:pos="8630"/>
        </w:tabs>
        <w:rPr>
          <w:noProof/>
          <w:kern w:val="2"/>
          <w:sz w:val="24"/>
          <w:szCs w:val="24"/>
          <w:lang w:eastAsia="fr-BE"/>
          <w14:ligatures w14:val="standardContextual"/>
        </w:rPr>
      </w:pPr>
      <w:hyperlink w:anchor="_Toc233626108"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Quelles informations doivent être transmises lors de l’élaboration des comptes annuels ?</w:t>
        </w:r>
        <w:r>
          <w:rPr>
            <w:noProof/>
            <w:webHidden/>
          </w:rPr>
          <w:tab/>
        </w:r>
        <w:r>
          <w:rPr>
            <w:noProof/>
            <w:webHidden/>
          </w:rPr>
          <w:fldChar w:fldCharType="begin"/>
        </w:r>
        <w:r>
          <w:rPr>
            <w:noProof/>
            <w:webHidden/>
          </w:rPr>
          <w:instrText xml:space="preserve"> PAGEREF _Toc233626108 \h </w:instrText>
        </w:r>
        <w:r>
          <w:rPr>
            <w:noProof/>
            <w:webHidden/>
          </w:rPr>
        </w:r>
        <w:r>
          <w:rPr>
            <w:noProof/>
            <w:webHidden/>
          </w:rPr>
          <w:fldChar w:fldCharType="separate"/>
        </w:r>
        <w:r w:rsidR="001E3978">
          <w:rPr>
            <w:noProof/>
            <w:webHidden/>
          </w:rPr>
          <w:t>59</w:t>
        </w:r>
        <w:r>
          <w:rPr>
            <w:noProof/>
            <w:webHidden/>
          </w:rPr>
          <w:fldChar w:fldCharType="end"/>
        </w:r>
      </w:hyperlink>
    </w:p>
    <w:p w14:paraId="593131EF" w14:textId="726D1398" w:rsidR="00266B1F" w:rsidRDefault="00266B1F">
      <w:pPr>
        <w:pStyle w:val="TM2"/>
        <w:tabs>
          <w:tab w:val="left" w:pos="960"/>
          <w:tab w:val="right" w:leader="dot" w:pos="8630"/>
        </w:tabs>
        <w:rPr>
          <w:noProof/>
          <w:kern w:val="2"/>
          <w:sz w:val="24"/>
          <w:szCs w:val="24"/>
          <w:lang w:eastAsia="fr-BE"/>
          <w14:ligatures w14:val="standardContextual"/>
        </w:rPr>
      </w:pPr>
      <w:hyperlink w:anchor="_Toc233626109" w:history="1">
        <w:r w:rsidRPr="0027322A">
          <w:rPr>
            <w:rStyle w:val="Lienhypertexte"/>
            <w:noProof/>
          </w:rPr>
          <w:t>19.</w:t>
        </w:r>
        <w:r>
          <w:rPr>
            <w:noProof/>
            <w:kern w:val="2"/>
            <w:sz w:val="24"/>
            <w:szCs w:val="24"/>
            <w:lang w:eastAsia="fr-BE"/>
            <w14:ligatures w14:val="standardContextual"/>
          </w:rPr>
          <w:tab/>
        </w:r>
        <w:r w:rsidRPr="0027322A">
          <w:rPr>
            <w:rStyle w:val="Lienhypertexte"/>
            <w:noProof/>
          </w:rPr>
          <w:t>Encaisse du Directeur financier</w:t>
        </w:r>
        <w:r>
          <w:rPr>
            <w:noProof/>
            <w:webHidden/>
          </w:rPr>
          <w:tab/>
        </w:r>
        <w:r>
          <w:rPr>
            <w:noProof/>
            <w:webHidden/>
          </w:rPr>
          <w:fldChar w:fldCharType="begin"/>
        </w:r>
        <w:r>
          <w:rPr>
            <w:noProof/>
            <w:webHidden/>
          </w:rPr>
          <w:instrText xml:space="preserve"> PAGEREF _Toc233626109 \h </w:instrText>
        </w:r>
        <w:r>
          <w:rPr>
            <w:noProof/>
            <w:webHidden/>
          </w:rPr>
        </w:r>
        <w:r>
          <w:rPr>
            <w:noProof/>
            <w:webHidden/>
          </w:rPr>
          <w:fldChar w:fldCharType="separate"/>
        </w:r>
        <w:r w:rsidR="001E3978">
          <w:rPr>
            <w:noProof/>
            <w:webHidden/>
          </w:rPr>
          <w:t>59</w:t>
        </w:r>
        <w:r>
          <w:rPr>
            <w:noProof/>
            <w:webHidden/>
          </w:rPr>
          <w:fldChar w:fldCharType="end"/>
        </w:r>
      </w:hyperlink>
    </w:p>
    <w:p w14:paraId="4F558719" w14:textId="53486BDC" w:rsidR="00266B1F" w:rsidRDefault="00266B1F">
      <w:pPr>
        <w:pStyle w:val="TM3"/>
        <w:tabs>
          <w:tab w:val="left" w:pos="960"/>
          <w:tab w:val="right" w:leader="dot" w:pos="8630"/>
        </w:tabs>
        <w:rPr>
          <w:noProof/>
          <w:kern w:val="2"/>
          <w:sz w:val="24"/>
          <w:szCs w:val="24"/>
          <w:lang w:eastAsia="fr-BE"/>
          <w14:ligatures w14:val="standardContextual"/>
        </w:rPr>
      </w:pPr>
      <w:hyperlink w:anchor="_Toc233626110"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À quelle fréquence l’encaisse doit-elle être vérifiée ?</w:t>
        </w:r>
        <w:r>
          <w:rPr>
            <w:noProof/>
            <w:webHidden/>
          </w:rPr>
          <w:tab/>
        </w:r>
        <w:r>
          <w:rPr>
            <w:noProof/>
            <w:webHidden/>
          </w:rPr>
          <w:fldChar w:fldCharType="begin"/>
        </w:r>
        <w:r>
          <w:rPr>
            <w:noProof/>
            <w:webHidden/>
          </w:rPr>
          <w:instrText xml:space="preserve"> PAGEREF _Toc233626110 \h </w:instrText>
        </w:r>
        <w:r>
          <w:rPr>
            <w:noProof/>
            <w:webHidden/>
          </w:rPr>
        </w:r>
        <w:r>
          <w:rPr>
            <w:noProof/>
            <w:webHidden/>
          </w:rPr>
          <w:fldChar w:fldCharType="separate"/>
        </w:r>
        <w:r w:rsidR="001E3978">
          <w:rPr>
            <w:noProof/>
            <w:webHidden/>
          </w:rPr>
          <w:t>59</w:t>
        </w:r>
        <w:r>
          <w:rPr>
            <w:noProof/>
            <w:webHidden/>
          </w:rPr>
          <w:fldChar w:fldCharType="end"/>
        </w:r>
      </w:hyperlink>
    </w:p>
    <w:p w14:paraId="1F2CABCA" w14:textId="774B5F09" w:rsidR="00266B1F" w:rsidRDefault="00266B1F">
      <w:pPr>
        <w:pStyle w:val="TM3"/>
        <w:tabs>
          <w:tab w:val="left" w:pos="960"/>
          <w:tab w:val="right" w:leader="dot" w:pos="8630"/>
        </w:tabs>
        <w:rPr>
          <w:noProof/>
          <w:kern w:val="2"/>
          <w:sz w:val="24"/>
          <w:szCs w:val="24"/>
          <w:lang w:eastAsia="fr-BE"/>
          <w14:ligatures w14:val="standardContextual"/>
        </w:rPr>
      </w:pPr>
      <w:hyperlink w:anchor="_Toc233626111"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Cette fréquence peut-elle être augmentée ?</w:t>
        </w:r>
        <w:r>
          <w:rPr>
            <w:noProof/>
            <w:webHidden/>
          </w:rPr>
          <w:tab/>
        </w:r>
        <w:r>
          <w:rPr>
            <w:noProof/>
            <w:webHidden/>
          </w:rPr>
          <w:fldChar w:fldCharType="begin"/>
        </w:r>
        <w:r>
          <w:rPr>
            <w:noProof/>
            <w:webHidden/>
          </w:rPr>
          <w:instrText xml:space="preserve"> PAGEREF _Toc233626111 \h </w:instrText>
        </w:r>
        <w:r>
          <w:rPr>
            <w:noProof/>
            <w:webHidden/>
          </w:rPr>
        </w:r>
        <w:r>
          <w:rPr>
            <w:noProof/>
            <w:webHidden/>
          </w:rPr>
          <w:fldChar w:fldCharType="separate"/>
        </w:r>
        <w:r w:rsidR="001E3978">
          <w:rPr>
            <w:noProof/>
            <w:webHidden/>
          </w:rPr>
          <w:t>59</w:t>
        </w:r>
        <w:r>
          <w:rPr>
            <w:noProof/>
            <w:webHidden/>
          </w:rPr>
          <w:fldChar w:fldCharType="end"/>
        </w:r>
      </w:hyperlink>
    </w:p>
    <w:p w14:paraId="0FC738D5" w14:textId="3F691076" w:rsidR="00266B1F" w:rsidRDefault="00266B1F">
      <w:pPr>
        <w:pStyle w:val="TM3"/>
        <w:tabs>
          <w:tab w:val="left" w:pos="960"/>
          <w:tab w:val="right" w:leader="dot" w:pos="8630"/>
        </w:tabs>
        <w:rPr>
          <w:noProof/>
          <w:kern w:val="2"/>
          <w:sz w:val="24"/>
          <w:szCs w:val="24"/>
          <w:lang w:eastAsia="fr-BE"/>
          <w14:ligatures w14:val="standardContextual"/>
        </w:rPr>
      </w:pPr>
      <w:hyperlink w:anchor="_Toc233626112"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Que doit produire cette vérification ?</w:t>
        </w:r>
        <w:r>
          <w:rPr>
            <w:noProof/>
            <w:webHidden/>
          </w:rPr>
          <w:tab/>
        </w:r>
        <w:r>
          <w:rPr>
            <w:noProof/>
            <w:webHidden/>
          </w:rPr>
          <w:fldChar w:fldCharType="begin"/>
        </w:r>
        <w:r>
          <w:rPr>
            <w:noProof/>
            <w:webHidden/>
          </w:rPr>
          <w:instrText xml:space="preserve"> PAGEREF _Toc233626112 \h </w:instrText>
        </w:r>
        <w:r>
          <w:rPr>
            <w:noProof/>
            <w:webHidden/>
          </w:rPr>
        </w:r>
        <w:r>
          <w:rPr>
            <w:noProof/>
            <w:webHidden/>
          </w:rPr>
          <w:fldChar w:fldCharType="separate"/>
        </w:r>
        <w:r w:rsidR="001E3978">
          <w:rPr>
            <w:noProof/>
            <w:webHidden/>
          </w:rPr>
          <w:t>59</w:t>
        </w:r>
        <w:r>
          <w:rPr>
            <w:noProof/>
            <w:webHidden/>
          </w:rPr>
          <w:fldChar w:fldCharType="end"/>
        </w:r>
      </w:hyperlink>
    </w:p>
    <w:p w14:paraId="68DBEBB0" w14:textId="48F07B96" w:rsidR="00266B1F" w:rsidRDefault="00266B1F">
      <w:pPr>
        <w:pStyle w:val="TM3"/>
        <w:tabs>
          <w:tab w:val="left" w:pos="960"/>
          <w:tab w:val="right" w:leader="dot" w:pos="8630"/>
        </w:tabs>
        <w:rPr>
          <w:noProof/>
          <w:kern w:val="2"/>
          <w:sz w:val="24"/>
          <w:szCs w:val="24"/>
          <w:lang w:eastAsia="fr-BE"/>
          <w14:ligatures w14:val="standardContextual"/>
        </w:rPr>
      </w:pPr>
      <w:hyperlink w:anchor="_Toc233626113"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Quels textes doivent être respectés ?</w:t>
        </w:r>
        <w:r>
          <w:rPr>
            <w:noProof/>
            <w:webHidden/>
          </w:rPr>
          <w:tab/>
        </w:r>
        <w:r>
          <w:rPr>
            <w:noProof/>
            <w:webHidden/>
          </w:rPr>
          <w:fldChar w:fldCharType="begin"/>
        </w:r>
        <w:r>
          <w:rPr>
            <w:noProof/>
            <w:webHidden/>
          </w:rPr>
          <w:instrText xml:space="preserve"> PAGEREF _Toc233626113 \h </w:instrText>
        </w:r>
        <w:r>
          <w:rPr>
            <w:noProof/>
            <w:webHidden/>
          </w:rPr>
        </w:r>
        <w:r>
          <w:rPr>
            <w:noProof/>
            <w:webHidden/>
          </w:rPr>
          <w:fldChar w:fldCharType="separate"/>
        </w:r>
        <w:r w:rsidR="001E3978">
          <w:rPr>
            <w:noProof/>
            <w:webHidden/>
          </w:rPr>
          <w:t>59</w:t>
        </w:r>
        <w:r>
          <w:rPr>
            <w:noProof/>
            <w:webHidden/>
          </w:rPr>
          <w:fldChar w:fldCharType="end"/>
        </w:r>
      </w:hyperlink>
    </w:p>
    <w:p w14:paraId="57EDB480" w14:textId="4CDDE4D5" w:rsidR="00266B1F" w:rsidRDefault="00266B1F">
      <w:pPr>
        <w:pStyle w:val="TM2"/>
        <w:tabs>
          <w:tab w:val="left" w:pos="960"/>
          <w:tab w:val="right" w:leader="dot" w:pos="8630"/>
        </w:tabs>
        <w:rPr>
          <w:noProof/>
          <w:kern w:val="2"/>
          <w:sz w:val="24"/>
          <w:szCs w:val="24"/>
          <w:lang w:eastAsia="fr-BE"/>
          <w14:ligatures w14:val="standardContextual"/>
        </w:rPr>
      </w:pPr>
      <w:hyperlink w:anchor="_Toc233626114" w:history="1">
        <w:r w:rsidRPr="0027322A">
          <w:rPr>
            <w:rStyle w:val="Lienhypertexte"/>
            <w:noProof/>
          </w:rPr>
          <w:t>20.</w:t>
        </w:r>
        <w:r>
          <w:rPr>
            <w:noProof/>
            <w:kern w:val="2"/>
            <w:sz w:val="24"/>
            <w:szCs w:val="24"/>
            <w:lang w:eastAsia="fr-BE"/>
            <w14:ligatures w14:val="standardContextual"/>
          </w:rPr>
          <w:tab/>
        </w:r>
        <w:r w:rsidRPr="0027322A">
          <w:rPr>
            <w:rStyle w:val="Lienhypertexte"/>
            <w:noProof/>
          </w:rPr>
          <w:t>Budget participatif</w:t>
        </w:r>
        <w:r>
          <w:rPr>
            <w:noProof/>
            <w:webHidden/>
          </w:rPr>
          <w:tab/>
        </w:r>
        <w:r>
          <w:rPr>
            <w:noProof/>
            <w:webHidden/>
          </w:rPr>
          <w:fldChar w:fldCharType="begin"/>
        </w:r>
        <w:r>
          <w:rPr>
            <w:noProof/>
            <w:webHidden/>
          </w:rPr>
          <w:instrText xml:space="preserve"> PAGEREF _Toc233626114 \h </w:instrText>
        </w:r>
        <w:r>
          <w:rPr>
            <w:noProof/>
            <w:webHidden/>
          </w:rPr>
        </w:r>
        <w:r>
          <w:rPr>
            <w:noProof/>
            <w:webHidden/>
          </w:rPr>
          <w:fldChar w:fldCharType="separate"/>
        </w:r>
        <w:r w:rsidR="001E3978">
          <w:rPr>
            <w:noProof/>
            <w:webHidden/>
          </w:rPr>
          <w:t>59</w:t>
        </w:r>
        <w:r>
          <w:rPr>
            <w:noProof/>
            <w:webHidden/>
          </w:rPr>
          <w:fldChar w:fldCharType="end"/>
        </w:r>
      </w:hyperlink>
    </w:p>
    <w:p w14:paraId="55326C1D" w14:textId="660BF78F" w:rsidR="00266B1F" w:rsidRDefault="00266B1F">
      <w:pPr>
        <w:pStyle w:val="TM3"/>
        <w:tabs>
          <w:tab w:val="left" w:pos="960"/>
          <w:tab w:val="right" w:leader="dot" w:pos="8630"/>
        </w:tabs>
        <w:rPr>
          <w:noProof/>
          <w:kern w:val="2"/>
          <w:sz w:val="24"/>
          <w:szCs w:val="24"/>
          <w:lang w:eastAsia="fr-BE"/>
          <w14:ligatures w14:val="standardContextual"/>
        </w:rPr>
      </w:pPr>
      <w:hyperlink w:anchor="_Toc233626115"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Qu’est-ce qu’un budget participatif ?</w:t>
        </w:r>
        <w:r>
          <w:rPr>
            <w:noProof/>
            <w:webHidden/>
          </w:rPr>
          <w:tab/>
        </w:r>
        <w:r>
          <w:rPr>
            <w:noProof/>
            <w:webHidden/>
          </w:rPr>
          <w:fldChar w:fldCharType="begin"/>
        </w:r>
        <w:r>
          <w:rPr>
            <w:noProof/>
            <w:webHidden/>
          </w:rPr>
          <w:instrText xml:space="preserve"> PAGEREF _Toc233626115 \h </w:instrText>
        </w:r>
        <w:r>
          <w:rPr>
            <w:noProof/>
            <w:webHidden/>
          </w:rPr>
        </w:r>
        <w:r>
          <w:rPr>
            <w:noProof/>
            <w:webHidden/>
          </w:rPr>
          <w:fldChar w:fldCharType="separate"/>
        </w:r>
        <w:r w:rsidR="001E3978">
          <w:rPr>
            <w:noProof/>
            <w:webHidden/>
          </w:rPr>
          <w:t>59</w:t>
        </w:r>
        <w:r>
          <w:rPr>
            <w:noProof/>
            <w:webHidden/>
          </w:rPr>
          <w:fldChar w:fldCharType="end"/>
        </w:r>
      </w:hyperlink>
    </w:p>
    <w:p w14:paraId="0A6A77AB" w14:textId="4D4475E5" w:rsidR="00266B1F" w:rsidRDefault="00266B1F">
      <w:pPr>
        <w:pStyle w:val="TM3"/>
        <w:tabs>
          <w:tab w:val="left" w:pos="960"/>
          <w:tab w:val="right" w:leader="dot" w:pos="8630"/>
        </w:tabs>
        <w:rPr>
          <w:noProof/>
          <w:kern w:val="2"/>
          <w:sz w:val="24"/>
          <w:szCs w:val="24"/>
          <w:lang w:eastAsia="fr-BE"/>
          <w14:ligatures w14:val="standardContextual"/>
        </w:rPr>
      </w:pPr>
      <w:hyperlink w:anchor="_Toc233626116"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Cette décision est-elle soumise à la tutelle spéciale d'approbation ?</w:t>
        </w:r>
        <w:r>
          <w:rPr>
            <w:noProof/>
            <w:webHidden/>
          </w:rPr>
          <w:tab/>
        </w:r>
        <w:r>
          <w:rPr>
            <w:noProof/>
            <w:webHidden/>
          </w:rPr>
          <w:fldChar w:fldCharType="begin"/>
        </w:r>
        <w:r>
          <w:rPr>
            <w:noProof/>
            <w:webHidden/>
          </w:rPr>
          <w:instrText xml:space="preserve"> PAGEREF _Toc233626116 \h </w:instrText>
        </w:r>
        <w:r>
          <w:rPr>
            <w:noProof/>
            <w:webHidden/>
          </w:rPr>
        </w:r>
        <w:r>
          <w:rPr>
            <w:noProof/>
            <w:webHidden/>
          </w:rPr>
          <w:fldChar w:fldCharType="separate"/>
        </w:r>
        <w:r w:rsidR="001E3978">
          <w:rPr>
            <w:noProof/>
            <w:webHidden/>
          </w:rPr>
          <w:t>60</w:t>
        </w:r>
        <w:r>
          <w:rPr>
            <w:noProof/>
            <w:webHidden/>
          </w:rPr>
          <w:fldChar w:fldCharType="end"/>
        </w:r>
      </w:hyperlink>
    </w:p>
    <w:p w14:paraId="317D9A83" w14:textId="7E2BE41F" w:rsidR="00266B1F" w:rsidRDefault="00266B1F">
      <w:pPr>
        <w:pStyle w:val="TM3"/>
        <w:tabs>
          <w:tab w:val="left" w:pos="960"/>
          <w:tab w:val="right" w:leader="dot" w:pos="8630"/>
        </w:tabs>
        <w:rPr>
          <w:noProof/>
          <w:kern w:val="2"/>
          <w:sz w:val="24"/>
          <w:szCs w:val="24"/>
          <w:lang w:eastAsia="fr-BE"/>
          <w14:ligatures w14:val="standardContextual"/>
        </w:rPr>
      </w:pPr>
      <w:hyperlink w:anchor="_Toc233626117"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Quelle procédure doit être mise en place ?</w:t>
        </w:r>
        <w:r>
          <w:rPr>
            <w:noProof/>
            <w:webHidden/>
          </w:rPr>
          <w:tab/>
        </w:r>
        <w:r>
          <w:rPr>
            <w:noProof/>
            <w:webHidden/>
          </w:rPr>
          <w:fldChar w:fldCharType="begin"/>
        </w:r>
        <w:r>
          <w:rPr>
            <w:noProof/>
            <w:webHidden/>
          </w:rPr>
          <w:instrText xml:space="preserve"> PAGEREF _Toc233626117 \h </w:instrText>
        </w:r>
        <w:r>
          <w:rPr>
            <w:noProof/>
            <w:webHidden/>
          </w:rPr>
        </w:r>
        <w:r>
          <w:rPr>
            <w:noProof/>
            <w:webHidden/>
          </w:rPr>
          <w:fldChar w:fldCharType="separate"/>
        </w:r>
        <w:r w:rsidR="001E3978">
          <w:rPr>
            <w:noProof/>
            <w:webHidden/>
          </w:rPr>
          <w:t>60</w:t>
        </w:r>
        <w:r>
          <w:rPr>
            <w:noProof/>
            <w:webHidden/>
          </w:rPr>
          <w:fldChar w:fldCharType="end"/>
        </w:r>
      </w:hyperlink>
    </w:p>
    <w:p w14:paraId="3A9D60B1" w14:textId="24DAC471" w:rsidR="00266B1F" w:rsidRDefault="00266B1F">
      <w:pPr>
        <w:pStyle w:val="TM3"/>
        <w:tabs>
          <w:tab w:val="left" w:pos="960"/>
          <w:tab w:val="right" w:leader="dot" w:pos="8630"/>
        </w:tabs>
        <w:rPr>
          <w:noProof/>
          <w:kern w:val="2"/>
          <w:sz w:val="24"/>
          <w:szCs w:val="24"/>
          <w:lang w:eastAsia="fr-BE"/>
          <w14:ligatures w14:val="standardContextual"/>
        </w:rPr>
      </w:pPr>
      <w:hyperlink w:anchor="_Toc233626118"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Quand le jury se réunit-il ?</w:t>
        </w:r>
        <w:r>
          <w:rPr>
            <w:noProof/>
            <w:webHidden/>
          </w:rPr>
          <w:tab/>
        </w:r>
        <w:r>
          <w:rPr>
            <w:noProof/>
            <w:webHidden/>
          </w:rPr>
          <w:fldChar w:fldCharType="begin"/>
        </w:r>
        <w:r>
          <w:rPr>
            <w:noProof/>
            <w:webHidden/>
          </w:rPr>
          <w:instrText xml:space="preserve"> PAGEREF _Toc233626118 \h </w:instrText>
        </w:r>
        <w:r>
          <w:rPr>
            <w:noProof/>
            <w:webHidden/>
          </w:rPr>
        </w:r>
        <w:r>
          <w:rPr>
            <w:noProof/>
            <w:webHidden/>
          </w:rPr>
          <w:fldChar w:fldCharType="separate"/>
        </w:r>
        <w:r w:rsidR="001E3978">
          <w:rPr>
            <w:noProof/>
            <w:webHidden/>
          </w:rPr>
          <w:t>60</w:t>
        </w:r>
        <w:r>
          <w:rPr>
            <w:noProof/>
            <w:webHidden/>
          </w:rPr>
          <w:fldChar w:fldCharType="end"/>
        </w:r>
      </w:hyperlink>
    </w:p>
    <w:p w14:paraId="42933C9E" w14:textId="0CFAE198" w:rsidR="00266B1F" w:rsidRDefault="00266B1F">
      <w:pPr>
        <w:pStyle w:val="TM3"/>
        <w:tabs>
          <w:tab w:val="left" w:pos="960"/>
          <w:tab w:val="right" w:leader="dot" w:pos="8630"/>
        </w:tabs>
        <w:rPr>
          <w:noProof/>
          <w:kern w:val="2"/>
          <w:sz w:val="24"/>
          <w:szCs w:val="24"/>
          <w:lang w:eastAsia="fr-BE"/>
          <w14:ligatures w14:val="standardContextual"/>
        </w:rPr>
      </w:pPr>
      <w:hyperlink w:anchor="_Toc233626119"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Comment est réparti le budget participatif ?</w:t>
        </w:r>
        <w:r>
          <w:rPr>
            <w:noProof/>
            <w:webHidden/>
          </w:rPr>
          <w:tab/>
        </w:r>
        <w:r>
          <w:rPr>
            <w:noProof/>
            <w:webHidden/>
          </w:rPr>
          <w:fldChar w:fldCharType="begin"/>
        </w:r>
        <w:r>
          <w:rPr>
            <w:noProof/>
            <w:webHidden/>
          </w:rPr>
          <w:instrText xml:space="preserve"> PAGEREF _Toc233626119 \h </w:instrText>
        </w:r>
        <w:r>
          <w:rPr>
            <w:noProof/>
            <w:webHidden/>
          </w:rPr>
        </w:r>
        <w:r>
          <w:rPr>
            <w:noProof/>
            <w:webHidden/>
          </w:rPr>
          <w:fldChar w:fldCharType="separate"/>
        </w:r>
        <w:r w:rsidR="001E3978">
          <w:rPr>
            <w:noProof/>
            <w:webHidden/>
          </w:rPr>
          <w:t>60</w:t>
        </w:r>
        <w:r>
          <w:rPr>
            <w:noProof/>
            <w:webHidden/>
          </w:rPr>
          <w:fldChar w:fldCharType="end"/>
        </w:r>
      </w:hyperlink>
    </w:p>
    <w:p w14:paraId="25895CD5" w14:textId="024184B8" w:rsidR="00266B1F" w:rsidRDefault="00266B1F">
      <w:pPr>
        <w:pStyle w:val="TM3"/>
        <w:tabs>
          <w:tab w:val="left" w:pos="960"/>
          <w:tab w:val="right" w:leader="dot" w:pos="8630"/>
        </w:tabs>
        <w:rPr>
          <w:noProof/>
          <w:kern w:val="2"/>
          <w:sz w:val="24"/>
          <w:szCs w:val="24"/>
          <w:lang w:eastAsia="fr-BE"/>
          <w14:ligatures w14:val="standardContextual"/>
        </w:rPr>
      </w:pPr>
      <w:hyperlink w:anchor="_Toc233626120" w:history="1">
        <w:r w:rsidRPr="0027322A">
          <w:rPr>
            <w:rStyle w:val="Lienhypertexte"/>
            <w:smallCaps/>
            <w:noProof/>
          </w:rPr>
          <w:t>F.</w:t>
        </w:r>
        <w:r>
          <w:rPr>
            <w:noProof/>
            <w:kern w:val="2"/>
            <w:sz w:val="24"/>
            <w:szCs w:val="24"/>
            <w:lang w:eastAsia="fr-BE"/>
            <w14:ligatures w14:val="standardContextual"/>
          </w:rPr>
          <w:tab/>
        </w:r>
        <w:r w:rsidRPr="0027322A">
          <w:rPr>
            <w:rStyle w:val="Lienhypertexte"/>
            <w:noProof/>
          </w:rPr>
          <w:t>Quel code fonctionnel utiliser pour identifier ces budgets ?</w:t>
        </w:r>
        <w:r>
          <w:rPr>
            <w:noProof/>
            <w:webHidden/>
          </w:rPr>
          <w:tab/>
        </w:r>
        <w:r>
          <w:rPr>
            <w:noProof/>
            <w:webHidden/>
          </w:rPr>
          <w:fldChar w:fldCharType="begin"/>
        </w:r>
        <w:r>
          <w:rPr>
            <w:noProof/>
            <w:webHidden/>
          </w:rPr>
          <w:instrText xml:space="preserve"> PAGEREF _Toc233626120 \h </w:instrText>
        </w:r>
        <w:r>
          <w:rPr>
            <w:noProof/>
            <w:webHidden/>
          </w:rPr>
        </w:r>
        <w:r>
          <w:rPr>
            <w:noProof/>
            <w:webHidden/>
          </w:rPr>
          <w:fldChar w:fldCharType="separate"/>
        </w:r>
        <w:r w:rsidR="001E3978">
          <w:rPr>
            <w:noProof/>
            <w:webHidden/>
          </w:rPr>
          <w:t>60</w:t>
        </w:r>
        <w:r>
          <w:rPr>
            <w:noProof/>
            <w:webHidden/>
          </w:rPr>
          <w:fldChar w:fldCharType="end"/>
        </w:r>
      </w:hyperlink>
    </w:p>
    <w:p w14:paraId="21BB0C48" w14:textId="158CD03D" w:rsidR="00266B1F" w:rsidRDefault="00266B1F">
      <w:pPr>
        <w:pStyle w:val="TM2"/>
        <w:tabs>
          <w:tab w:val="left" w:pos="960"/>
          <w:tab w:val="right" w:leader="dot" w:pos="8630"/>
        </w:tabs>
        <w:rPr>
          <w:noProof/>
          <w:kern w:val="2"/>
          <w:sz w:val="24"/>
          <w:szCs w:val="24"/>
          <w:lang w:eastAsia="fr-BE"/>
          <w14:ligatures w14:val="standardContextual"/>
        </w:rPr>
      </w:pPr>
      <w:hyperlink w:anchor="_Toc233626121" w:history="1">
        <w:r w:rsidRPr="0027322A">
          <w:rPr>
            <w:rStyle w:val="Lienhypertexte"/>
            <w:noProof/>
          </w:rPr>
          <w:t>21.</w:t>
        </w:r>
        <w:r>
          <w:rPr>
            <w:noProof/>
            <w:kern w:val="2"/>
            <w:sz w:val="24"/>
            <w:szCs w:val="24"/>
            <w:lang w:eastAsia="fr-BE"/>
            <w14:ligatures w14:val="standardContextual"/>
          </w:rPr>
          <w:tab/>
        </w:r>
        <w:r w:rsidRPr="0027322A">
          <w:rPr>
            <w:rStyle w:val="Lienhypertexte"/>
            <w:noProof/>
          </w:rPr>
          <w:t>Prévisions budgétaires pluriannuelles</w:t>
        </w:r>
        <w:r>
          <w:rPr>
            <w:noProof/>
            <w:webHidden/>
          </w:rPr>
          <w:tab/>
        </w:r>
        <w:r>
          <w:rPr>
            <w:noProof/>
            <w:webHidden/>
          </w:rPr>
          <w:fldChar w:fldCharType="begin"/>
        </w:r>
        <w:r>
          <w:rPr>
            <w:noProof/>
            <w:webHidden/>
          </w:rPr>
          <w:instrText xml:space="preserve"> PAGEREF _Toc233626121 \h </w:instrText>
        </w:r>
        <w:r>
          <w:rPr>
            <w:noProof/>
            <w:webHidden/>
          </w:rPr>
        </w:r>
        <w:r>
          <w:rPr>
            <w:noProof/>
            <w:webHidden/>
          </w:rPr>
          <w:fldChar w:fldCharType="separate"/>
        </w:r>
        <w:r w:rsidR="001E3978">
          <w:rPr>
            <w:noProof/>
            <w:webHidden/>
          </w:rPr>
          <w:t>60</w:t>
        </w:r>
        <w:r>
          <w:rPr>
            <w:noProof/>
            <w:webHidden/>
          </w:rPr>
          <w:fldChar w:fldCharType="end"/>
        </w:r>
      </w:hyperlink>
    </w:p>
    <w:p w14:paraId="1FD2E2C7" w14:textId="42E6B553" w:rsidR="00266B1F" w:rsidRDefault="00266B1F">
      <w:pPr>
        <w:pStyle w:val="TM3"/>
        <w:tabs>
          <w:tab w:val="left" w:pos="960"/>
          <w:tab w:val="right" w:leader="dot" w:pos="8630"/>
        </w:tabs>
        <w:rPr>
          <w:noProof/>
          <w:kern w:val="2"/>
          <w:sz w:val="24"/>
          <w:szCs w:val="24"/>
          <w:lang w:eastAsia="fr-BE"/>
          <w14:ligatures w14:val="standardContextual"/>
        </w:rPr>
      </w:pPr>
      <w:hyperlink w:anchor="_Toc233626122"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Comment transmettre les prévisions budgétaires pluriannuelles ?</w:t>
        </w:r>
        <w:r>
          <w:rPr>
            <w:noProof/>
            <w:webHidden/>
          </w:rPr>
          <w:tab/>
        </w:r>
        <w:r>
          <w:rPr>
            <w:noProof/>
            <w:webHidden/>
          </w:rPr>
          <w:fldChar w:fldCharType="begin"/>
        </w:r>
        <w:r>
          <w:rPr>
            <w:noProof/>
            <w:webHidden/>
          </w:rPr>
          <w:instrText xml:space="preserve"> PAGEREF _Toc233626122 \h </w:instrText>
        </w:r>
        <w:r>
          <w:rPr>
            <w:noProof/>
            <w:webHidden/>
          </w:rPr>
        </w:r>
        <w:r>
          <w:rPr>
            <w:noProof/>
            <w:webHidden/>
          </w:rPr>
          <w:fldChar w:fldCharType="separate"/>
        </w:r>
        <w:r w:rsidR="001E3978">
          <w:rPr>
            <w:noProof/>
            <w:webHidden/>
          </w:rPr>
          <w:t>60</w:t>
        </w:r>
        <w:r>
          <w:rPr>
            <w:noProof/>
            <w:webHidden/>
          </w:rPr>
          <w:fldChar w:fldCharType="end"/>
        </w:r>
      </w:hyperlink>
    </w:p>
    <w:p w14:paraId="78529DBE" w14:textId="19766A07" w:rsidR="00266B1F" w:rsidRDefault="00266B1F">
      <w:pPr>
        <w:pStyle w:val="TM3"/>
        <w:tabs>
          <w:tab w:val="left" w:pos="960"/>
          <w:tab w:val="right" w:leader="dot" w:pos="8630"/>
        </w:tabs>
        <w:rPr>
          <w:noProof/>
          <w:kern w:val="2"/>
          <w:sz w:val="24"/>
          <w:szCs w:val="24"/>
          <w:lang w:eastAsia="fr-BE"/>
          <w14:ligatures w14:val="standardContextual"/>
        </w:rPr>
      </w:pPr>
      <w:hyperlink w:anchor="_Toc233626123"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Sur quoi les prévisions doivent-elles se baser ?</w:t>
        </w:r>
        <w:r>
          <w:rPr>
            <w:noProof/>
            <w:webHidden/>
          </w:rPr>
          <w:tab/>
        </w:r>
        <w:r>
          <w:rPr>
            <w:noProof/>
            <w:webHidden/>
          </w:rPr>
          <w:fldChar w:fldCharType="begin"/>
        </w:r>
        <w:r>
          <w:rPr>
            <w:noProof/>
            <w:webHidden/>
          </w:rPr>
          <w:instrText xml:space="preserve"> PAGEREF _Toc233626123 \h </w:instrText>
        </w:r>
        <w:r>
          <w:rPr>
            <w:noProof/>
            <w:webHidden/>
          </w:rPr>
        </w:r>
        <w:r>
          <w:rPr>
            <w:noProof/>
            <w:webHidden/>
          </w:rPr>
          <w:fldChar w:fldCharType="separate"/>
        </w:r>
        <w:r w:rsidR="001E3978">
          <w:rPr>
            <w:noProof/>
            <w:webHidden/>
          </w:rPr>
          <w:t>60</w:t>
        </w:r>
        <w:r>
          <w:rPr>
            <w:noProof/>
            <w:webHidden/>
          </w:rPr>
          <w:fldChar w:fldCharType="end"/>
        </w:r>
      </w:hyperlink>
    </w:p>
    <w:p w14:paraId="147A7DBC" w14:textId="79FE2907" w:rsidR="00266B1F" w:rsidRDefault="00266B1F">
      <w:pPr>
        <w:pStyle w:val="TM3"/>
        <w:tabs>
          <w:tab w:val="left" w:pos="960"/>
          <w:tab w:val="right" w:leader="dot" w:pos="8630"/>
        </w:tabs>
        <w:rPr>
          <w:noProof/>
          <w:kern w:val="2"/>
          <w:sz w:val="24"/>
          <w:szCs w:val="24"/>
          <w:lang w:eastAsia="fr-BE"/>
          <w14:ligatures w14:val="standardContextual"/>
        </w:rPr>
      </w:pPr>
      <w:hyperlink w:anchor="_Toc233626124"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Peut-on inscrire un montant supérieur à la prévision régionale pour le précompte immobilier ?</w:t>
        </w:r>
        <w:r>
          <w:rPr>
            <w:noProof/>
            <w:webHidden/>
          </w:rPr>
          <w:tab/>
        </w:r>
        <w:r>
          <w:rPr>
            <w:noProof/>
            <w:webHidden/>
          </w:rPr>
          <w:fldChar w:fldCharType="begin"/>
        </w:r>
        <w:r>
          <w:rPr>
            <w:noProof/>
            <w:webHidden/>
          </w:rPr>
          <w:instrText xml:space="preserve"> PAGEREF _Toc233626124 \h </w:instrText>
        </w:r>
        <w:r>
          <w:rPr>
            <w:noProof/>
            <w:webHidden/>
          </w:rPr>
        </w:r>
        <w:r>
          <w:rPr>
            <w:noProof/>
            <w:webHidden/>
          </w:rPr>
          <w:fldChar w:fldCharType="separate"/>
        </w:r>
        <w:r w:rsidR="001E3978">
          <w:rPr>
            <w:noProof/>
            <w:webHidden/>
          </w:rPr>
          <w:t>61</w:t>
        </w:r>
        <w:r>
          <w:rPr>
            <w:noProof/>
            <w:webHidden/>
          </w:rPr>
          <w:fldChar w:fldCharType="end"/>
        </w:r>
      </w:hyperlink>
    </w:p>
    <w:p w14:paraId="3A364494" w14:textId="08944180" w:rsidR="00266B1F" w:rsidRDefault="00266B1F">
      <w:pPr>
        <w:pStyle w:val="TM3"/>
        <w:tabs>
          <w:tab w:val="left" w:pos="960"/>
          <w:tab w:val="right" w:leader="dot" w:pos="8630"/>
        </w:tabs>
        <w:rPr>
          <w:noProof/>
          <w:kern w:val="2"/>
          <w:sz w:val="24"/>
          <w:szCs w:val="24"/>
          <w:lang w:eastAsia="fr-BE"/>
          <w14:ligatures w14:val="standardContextual"/>
        </w:rPr>
      </w:pPr>
      <w:hyperlink w:anchor="_Toc233626125"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Que se passe-t-il si la justification n’est pas suffisante ?</w:t>
        </w:r>
        <w:r>
          <w:rPr>
            <w:noProof/>
            <w:webHidden/>
          </w:rPr>
          <w:tab/>
        </w:r>
        <w:r>
          <w:rPr>
            <w:noProof/>
            <w:webHidden/>
          </w:rPr>
          <w:fldChar w:fldCharType="begin"/>
        </w:r>
        <w:r>
          <w:rPr>
            <w:noProof/>
            <w:webHidden/>
          </w:rPr>
          <w:instrText xml:space="preserve"> PAGEREF _Toc233626125 \h </w:instrText>
        </w:r>
        <w:r>
          <w:rPr>
            <w:noProof/>
            <w:webHidden/>
          </w:rPr>
        </w:r>
        <w:r>
          <w:rPr>
            <w:noProof/>
            <w:webHidden/>
          </w:rPr>
          <w:fldChar w:fldCharType="separate"/>
        </w:r>
        <w:r w:rsidR="001E3978">
          <w:rPr>
            <w:noProof/>
            <w:webHidden/>
          </w:rPr>
          <w:t>61</w:t>
        </w:r>
        <w:r>
          <w:rPr>
            <w:noProof/>
            <w:webHidden/>
          </w:rPr>
          <w:fldChar w:fldCharType="end"/>
        </w:r>
      </w:hyperlink>
    </w:p>
    <w:p w14:paraId="4EF1ACD8" w14:textId="605A70F3" w:rsidR="00266B1F" w:rsidRDefault="00266B1F">
      <w:pPr>
        <w:pStyle w:val="TM2"/>
        <w:tabs>
          <w:tab w:val="left" w:pos="960"/>
          <w:tab w:val="right" w:leader="dot" w:pos="8630"/>
        </w:tabs>
        <w:rPr>
          <w:noProof/>
          <w:kern w:val="2"/>
          <w:sz w:val="24"/>
          <w:szCs w:val="24"/>
          <w:lang w:eastAsia="fr-BE"/>
          <w14:ligatures w14:val="standardContextual"/>
        </w:rPr>
      </w:pPr>
      <w:hyperlink w:anchor="_Toc233626126" w:history="1">
        <w:r w:rsidRPr="0027322A">
          <w:rPr>
            <w:rStyle w:val="Lienhypertexte"/>
            <w:noProof/>
          </w:rPr>
          <w:t>22.</w:t>
        </w:r>
        <w:r>
          <w:rPr>
            <w:noProof/>
            <w:kern w:val="2"/>
            <w:sz w:val="24"/>
            <w:szCs w:val="24"/>
            <w:lang w:eastAsia="fr-BE"/>
            <w14:ligatures w14:val="standardContextual"/>
          </w:rPr>
          <w:tab/>
        </w:r>
        <w:r w:rsidRPr="0027322A">
          <w:rPr>
            <w:rStyle w:val="Lienhypertexte"/>
            <w:noProof/>
          </w:rPr>
          <w:t>Indicateurs socio-économiques pouvant être pris en compte</w:t>
        </w:r>
        <w:r>
          <w:rPr>
            <w:noProof/>
            <w:webHidden/>
          </w:rPr>
          <w:tab/>
        </w:r>
        <w:r>
          <w:rPr>
            <w:noProof/>
            <w:webHidden/>
          </w:rPr>
          <w:fldChar w:fldCharType="begin"/>
        </w:r>
        <w:r>
          <w:rPr>
            <w:noProof/>
            <w:webHidden/>
          </w:rPr>
          <w:instrText xml:space="preserve"> PAGEREF _Toc233626126 \h </w:instrText>
        </w:r>
        <w:r>
          <w:rPr>
            <w:noProof/>
            <w:webHidden/>
          </w:rPr>
        </w:r>
        <w:r>
          <w:rPr>
            <w:noProof/>
            <w:webHidden/>
          </w:rPr>
          <w:fldChar w:fldCharType="separate"/>
        </w:r>
        <w:r w:rsidR="001E3978">
          <w:rPr>
            <w:noProof/>
            <w:webHidden/>
          </w:rPr>
          <w:t>61</w:t>
        </w:r>
        <w:r>
          <w:rPr>
            <w:noProof/>
            <w:webHidden/>
          </w:rPr>
          <w:fldChar w:fldCharType="end"/>
        </w:r>
      </w:hyperlink>
    </w:p>
    <w:p w14:paraId="2880B476" w14:textId="47EC12A1" w:rsidR="00266B1F" w:rsidRDefault="00266B1F">
      <w:pPr>
        <w:pStyle w:val="TM2"/>
        <w:tabs>
          <w:tab w:val="left" w:pos="960"/>
          <w:tab w:val="right" w:leader="dot" w:pos="8630"/>
        </w:tabs>
        <w:rPr>
          <w:noProof/>
          <w:kern w:val="2"/>
          <w:sz w:val="24"/>
          <w:szCs w:val="24"/>
          <w:lang w:eastAsia="fr-BE"/>
          <w14:ligatures w14:val="standardContextual"/>
        </w:rPr>
      </w:pPr>
      <w:hyperlink w:anchor="_Toc233626127" w:history="1">
        <w:r w:rsidRPr="0027322A">
          <w:rPr>
            <w:rStyle w:val="Lienhypertexte"/>
            <w:noProof/>
          </w:rPr>
          <w:t>23.</w:t>
        </w:r>
        <w:r>
          <w:rPr>
            <w:noProof/>
            <w:kern w:val="2"/>
            <w:sz w:val="24"/>
            <w:szCs w:val="24"/>
            <w:lang w:eastAsia="fr-BE"/>
            <w14:ligatures w14:val="standardContextual"/>
          </w:rPr>
          <w:tab/>
        </w:r>
        <w:r w:rsidRPr="0027322A">
          <w:rPr>
            <w:rStyle w:val="Lienhypertexte"/>
            <w:noProof/>
          </w:rPr>
          <w:t>Informations communiquées par la Région</w:t>
        </w:r>
        <w:r>
          <w:rPr>
            <w:noProof/>
            <w:webHidden/>
          </w:rPr>
          <w:tab/>
        </w:r>
        <w:r>
          <w:rPr>
            <w:noProof/>
            <w:webHidden/>
          </w:rPr>
          <w:fldChar w:fldCharType="begin"/>
        </w:r>
        <w:r>
          <w:rPr>
            <w:noProof/>
            <w:webHidden/>
          </w:rPr>
          <w:instrText xml:space="preserve"> PAGEREF _Toc233626127 \h </w:instrText>
        </w:r>
        <w:r>
          <w:rPr>
            <w:noProof/>
            <w:webHidden/>
          </w:rPr>
        </w:r>
        <w:r>
          <w:rPr>
            <w:noProof/>
            <w:webHidden/>
          </w:rPr>
          <w:fldChar w:fldCharType="separate"/>
        </w:r>
        <w:r w:rsidR="001E3978">
          <w:rPr>
            <w:noProof/>
            <w:webHidden/>
          </w:rPr>
          <w:t>62</w:t>
        </w:r>
        <w:r>
          <w:rPr>
            <w:noProof/>
            <w:webHidden/>
          </w:rPr>
          <w:fldChar w:fldCharType="end"/>
        </w:r>
      </w:hyperlink>
    </w:p>
    <w:p w14:paraId="6C97CC1C" w14:textId="2673233B" w:rsidR="00266B1F" w:rsidRDefault="00266B1F">
      <w:pPr>
        <w:pStyle w:val="TM3"/>
        <w:tabs>
          <w:tab w:val="left" w:pos="960"/>
          <w:tab w:val="right" w:leader="dot" w:pos="8630"/>
        </w:tabs>
        <w:rPr>
          <w:noProof/>
          <w:kern w:val="2"/>
          <w:sz w:val="24"/>
          <w:szCs w:val="24"/>
          <w:lang w:eastAsia="fr-BE"/>
          <w14:ligatures w14:val="standardContextual"/>
        </w:rPr>
      </w:pPr>
      <w:hyperlink w:anchor="_Toc233626128"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Quelles prévisions budgétaires le SPW Intérieur et Action sociale communique-t-il aux communes ?</w:t>
        </w:r>
        <w:r>
          <w:rPr>
            <w:noProof/>
            <w:webHidden/>
          </w:rPr>
          <w:tab/>
        </w:r>
        <w:r>
          <w:rPr>
            <w:noProof/>
            <w:webHidden/>
          </w:rPr>
          <w:fldChar w:fldCharType="begin"/>
        </w:r>
        <w:r>
          <w:rPr>
            <w:noProof/>
            <w:webHidden/>
          </w:rPr>
          <w:instrText xml:space="preserve"> PAGEREF _Toc233626128 \h </w:instrText>
        </w:r>
        <w:r>
          <w:rPr>
            <w:noProof/>
            <w:webHidden/>
          </w:rPr>
        </w:r>
        <w:r>
          <w:rPr>
            <w:noProof/>
            <w:webHidden/>
          </w:rPr>
          <w:fldChar w:fldCharType="separate"/>
        </w:r>
        <w:r w:rsidR="001E3978">
          <w:rPr>
            <w:noProof/>
            <w:webHidden/>
          </w:rPr>
          <w:t>62</w:t>
        </w:r>
        <w:r>
          <w:rPr>
            <w:noProof/>
            <w:webHidden/>
          </w:rPr>
          <w:fldChar w:fldCharType="end"/>
        </w:r>
      </w:hyperlink>
    </w:p>
    <w:p w14:paraId="167E45AF" w14:textId="7434E85F" w:rsidR="00266B1F" w:rsidRDefault="00266B1F">
      <w:pPr>
        <w:pStyle w:val="TM3"/>
        <w:tabs>
          <w:tab w:val="left" w:pos="960"/>
          <w:tab w:val="right" w:leader="dot" w:pos="8630"/>
        </w:tabs>
        <w:rPr>
          <w:noProof/>
          <w:kern w:val="2"/>
          <w:sz w:val="24"/>
          <w:szCs w:val="24"/>
          <w:lang w:eastAsia="fr-BE"/>
          <w14:ligatures w14:val="standardContextual"/>
        </w:rPr>
      </w:pPr>
      <w:hyperlink w:anchor="_Toc233626129"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À quelle fréquence ces prévisions sont-elles transmises ?</w:t>
        </w:r>
        <w:r>
          <w:rPr>
            <w:noProof/>
            <w:webHidden/>
          </w:rPr>
          <w:tab/>
        </w:r>
        <w:r>
          <w:rPr>
            <w:noProof/>
            <w:webHidden/>
          </w:rPr>
          <w:fldChar w:fldCharType="begin"/>
        </w:r>
        <w:r>
          <w:rPr>
            <w:noProof/>
            <w:webHidden/>
          </w:rPr>
          <w:instrText xml:space="preserve"> PAGEREF _Toc233626129 \h </w:instrText>
        </w:r>
        <w:r>
          <w:rPr>
            <w:noProof/>
            <w:webHidden/>
          </w:rPr>
        </w:r>
        <w:r>
          <w:rPr>
            <w:noProof/>
            <w:webHidden/>
          </w:rPr>
          <w:fldChar w:fldCharType="separate"/>
        </w:r>
        <w:r w:rsidR="001E3978">
          <w:rPr>
            <w:noProof/>
            <w:webHidden/>
          </w:rPr>
          <w:t>62</w:t>
        </w:r>
        <w:r>
          <w:rPr>
            <w:noProof/>
            <w:webHidden/>
          </w:rPr>
          <w:fldChar w:fldCharType="end"/>
        </w:r>
      </w:hyperlink>
    </w:p>
    <w:p w14:paraId="054419A1" w14:textId="634B97B6" w:rsidR="00266B1F" w:rsidRDefault="00266B1F">
      <w:pPr>
        <w:pStyle w:val="TM3"/>
        <w:tabs>
          <w:tab w:val="left" w:pos="960"/>
          <w:tab w:val="right" w:leader="dot" w:pos="8630"/>
        </w:tabs>
        <w:rPr>
          <w:noProof/>
          <w:kern w:val="2"/>
          <w:sz w:val="24"/>
          <w:szCs w:val="24"/>
          <w:lang w:eastAsia="fr-BE"/>
          <w14:ligatures w14:val="standardContextual"/>
        </w:rPr>
      </w:pPr>
      <w:hyperlink w:anchor="_Toc233626130"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Les prévisions tiennent-elles compte de toutes les régularisations ou de tous les événements particuliers ?</w:t>
        </w:r>
        <w:r>
          <w:rPr>
            <w:noProof/>
            <w:webHidden/>
          </w:rPr>
          <w:tab/>
        </w:r>
        <w:r>
          <w:rPr>
            <w:noProof/>
            <w:webHidden/>
          </w:rPr>
          <w:fldChar w:fldCharType="begin"/>
        </w:r>
        <w:r>
          <w:rPr>
            <w:noProof/>
            <w:webHidden/>
          </w:rPr>
          <w:instrText xml:space="preserve"> PAGEREF _Toc233626130 \h </w:instrText>
        </w:r>
        <w:r>
          <w:rPr>
            <w:noProof/>
            <w:webHidden/>
          </w:rPr>
        </w:r>
        <w:r>
          <w:rPr>
            <w:noProof/>
            <w:webHidden/>
          </w:rPr>
          <w:fldChar w:fldCharType="separate"/>
        </w:r>
        <w:r w:rsidR="001E3978">
          <w:rPr>
            <w:noProof/>
            <w:webHidden/>
          </w:rPr>
          <w:t>63</w:t>
        </w:r>
        <w:r>
          <w:rPr>
            <w:noProof/>
            <w:webHidden/>
          </w:rPr>
          <w:fldChar w:fldCharType="end"/>
        </w:r>
      </w:hyperlink>
    </w:p>
    <w:p w14:paraId="2097DACE" w14:textId="5EB15274" w:rsidR="00266B1F" w:rsidRDefault="00266B1F">
      <w:pPr>
        <w:pStyle w:val="TM3"/>
        <w:tabs>
          <w:tab w:val="left" w:pos="960"/>
          <w:tab w:val="right" w:leader="dot" w:pos="8630"/>
        </w:tabs>
        <w:rPr>
          <w:noProof/>
          <w:kern w:val="2"/>
          <w:sz w:val="24"/>
          <w:szCs w:val="24"/>
          <w:lang w:eastAsia="fr-BE"/>
          <w14:ligatures w14:val="standardContextual"/>
        </w:rPr>
      </w:pPr>
      <w:hyperlink w:anchor="_Toc233626131"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L’administration peut-elle aider les communes à simuler l’impact d’un changement fiscal ?</w:t>
        </w:r>
        <w:r>
          <w:rPr>
            <w:noProof/>
            <w:webHidden/>
          </w:rPr>
          <w:tab/>
        </w:r>
        <w:r>
          <w:rPr>
            <w:noProof/>
            <w:webHidden/>
          </w:rPr>
          <w:fldChar w:fldCharType="begin"/>
        </w:r>
        <w:r>
          <w:rPr>
            <w:noProof/>
            <w:webHidden/>
          </w:rPr>
          <w:instrText xml:space="preserve"> PAGEREF _Toc233626131 \h </w:instrText>
        </w:r>
        <w:r>
          <w:rPr>
            <w:noProof/>
            <w:webHidden/>
          </w:rPr>
        </w:r>
        <w:r>
          <w:rPr>
            <w:noProof/>
            <w:webHidden/>
          </w:rPr>
          <w:fldChar w:fldCharType="separate"/>
        </w:r>
        <w:r w:rsidR="001E3978">
          <w:rPr>
            <w:noProof/>
            <w:webHidden/>
          </w:rPr>
          <w:t>63</w:t>
        </w:r>
        <w:r>
          <w:rPr>
            <w:noProof/>
            <w:webHidden/>
          </w:rPr>
          <w:fldChar w:fldCharType="end"/>
        </w:r>
      </w:hyperlink>
    </w:p>
    <w:p w14:paraId="7CB1D5D7" w14:textId="6608F972" w:rsidR="00266B1F" w:rsidRDefault="00266B1F">
      <w:pPr>
        <w:pStyle w:val="TM1"/>
        <w:rPr>
          <w:b w:val="0"/>
          <w:bCs w:val="0"/>
        </w:rPr>
      </w:pPr>
      <w:hyperlink w:anchor="_Toc233626132" w:history="1">
        <w:r w:rsidRPr="0027322A">
          <w:rPr>
            <w:rStyle w:val="Lienhypertexte"/>
          </w:rPr>
          <w:t>III.</w:t>
        </w:r>
        <w:r>
          <w:rPr>
            <w:b w:val="0"/>
            <w:bCs w:val="0"/>
          </w:rPr>
          <w:tab/>
        </w:r>
        <w:r w:rsidRPr="0027322A">
          <w:rPr>
            <w:rStyle w:val="Lienhypertexte"/>
          </w:rPr>
          <w:t>Service ordinaire — Recettes</w:t>
        </w:r>
        <w:r>
          <w:rPr>
            <w:webHidden/>
          </w:rPr>
          <w:tab/>
        </w:r>
        <w:r>
          <w:rPr>
            <w:webHidden/>
          </w:rPr>
          <w:fldChar w:fldCharType="begin"/>
        </w:r>
        <w:r>
          <w:rPr>
            <w:webHidden/>
          </w:rPr>
          <w:instrText xml:space="preserve"> PAGEREF _Toc233626132 \h </w:instrText>
        </w:r>
        <w:r>
          <w:rPr>
            <w:webHidden/>
          </w:rPr>
        </w:r>
        <w:r>
          <w:rPr>
            <w:webHidden/>
          </w:rPr>
          <w:fldChar w:fldCharType="separate"/>
        </w:r>
        <w:r w:rsidR="001E3978">
          <w:rPr>
            <w:webHidden/>
          </w:rPr>
          <w:t>63</w:t>
        </w:r>
        <w:r>
          <w:rPr>
            <w:webHidden/>
          </w:rPr>
          <w:fldChar w:fldCharType="end"/>
        </w:r>
      </w:hyperlink>
    </w:p>
    <w:p w14:paraId="4D65A479" w14:textId="6ACC7DB9" w:rsidR="00266B1F" w:rsidRDefault="00266B1F">
      <w:pPr>
        <w:pStyle w:val="TM2"/>
        <w:tabs>
          <w:tab w:val="left" w:pos="720"/>
          <w:tab w:val="right" w:leader="dot" w:pos="8630"/>
        </w:tabs>
        <w:rPr>
          <w:noProof/>
          <w:kern w:val="2"/>
          <w:sz w:val="24"/>
          <w:szCs w:val="24"/>
          <w:lang w:eastAsia="fr-BE"/>
          <w14:ligatures w14:val="standardContextual"/>
        </w:rPr>
      </w:pPr>
      <w:hyperlink w:anchor="_Toc233626133" w:history="1">
        <w:r w:rsidRPr="0027322A">
          <w:rPr>
            <w:rStyle w:val="Lienhypertexte"/>
            <w:caps/>
            <w:noProof/>
          </w:rPr>
          <w:t>1.</w:t>
        </w:r>
        <w:r>
          <w:rPr>
            <w:noProof/>
            <w:kern w:val="2"/>
            <w:sz w:val="24"/>
            <w:szCs w:val="24"/>
            <w:lang w:eastAsia="fr-BE"/>
            <w14:ligatures w14:val="standardContextual"/>
          </w:rPr>
          <w:tab/>
        </w:r>
        <w:r w:rsidRPr="0027322A">
          <w:rPr>
            <w:rStyle w:val="Lienhypertexte"/>
            <w:noProof/>
          </w:rPr>
          <w:t>Financement général des communes</w:t>
        </w:r>
        <w:r>
          <w:rPr>
            <w:noProof/>
            <w:webHidden/>
          </w:rPr>
          <w:tab/>
        </w:r>
        <w:r>
          <w:rPr>
            <w:noProof/>
            <w:webHidden/>
          </w:rPr>
          <w:fldChar w:fldCharType="begin"/>
        </w:r>
        <w:r>
          <w:rPr>
            <w:noProof/>
            <w:webHidden/>
          </w:rPr>
          <w:instrText xml:space="preserve"> PAGEREF _Toc233626133 \h </w:instrText>
        </w:r>
        <w:r>
          <w:rPr>
            <w:noProof/>
            <w:webHidden/>
          </w:rPr>
        </w:r>
        <w:r>
          <w:rPr>
            <w:noProof/>
            <w:webHidden/>
          </w:rPr>
          <w:fldChar w:fldCharType="separate"/>
        </w:r>
        <w:r w:rsidR="001E3978">
          <w:rPr>
            <w:noProof/>
            <w:webHidden/>
          </w:rPr>
          <w:t>63</w:t>
        </w:r>
        <w:r>
          <w:rPr>
            <w:noProof/>
            <w:webHidden/>
          </w:rPr>
          <w:fldChar w:fldCharType="end"/>
        </w:r>
      </w:hyperlink>
    </w:p>
    <w:p w14:paraId="4F638A1A" w14:textId="16947D21" w:rsidR="00266B1F" w:rsidRDefault="00266B1F">
      <w:pPr>
        <w:pStyle w:val="TM2"/>
        <w:tabs>
          <w:tab w:val="left" w:pos="720"/>
          <w:tab w:val="right" w:leader="dot" w:pos="8630"/>
        </w:tabs>
        <w:rPr>
          <w:noProof/>
          <w:kern w:val="2"/>
          <w:sz w:val="24"/>
          <w:szCs w:val="24"/>
          <w:lang w:eastAsia="fr-BE"/>
          <w14:ligatures w14:val="standardContextual"/>
        </w:rPr>
      </w:pPr>
      <w:hyperlink w:anchor="_Toc233626134" w:history="1">
        <w:r w:rsidRPr="0027322A">
          <w:rPr>
            <w:rStyle w:val="Lienhypertexte"/>
            <w:noProof/>
          </w:rPr>
          <w:t>2.</w:t>
        </w:r>
        <w:r>
          <w:rPr>
            <w:noProof/>
            <w:kern w:val="2"/>
            <w:sz w:val="24"/>
            <w:szCs w:val="24"/>
            <w:lang w:eastAsia="fr-BE"/>
            <w14:ligatures w14:val="standardContextual"/>
          </w:rPr>
          <w:tab/>
        </w:r>
        <w:r w:rsidRPr="0027322A">
          <w:rPr>
            <w:rStyle w:val="Lienhypertexte"/>
            <w:noProof/>
          </w:rPr>
          <w:t>Amendes administratives</w:t>
        </w:r>
        <w:r>
          <w:rPr>
            <w:noProof/>
            <w:webHidden/>
          </w:rPr>
          <w:tab/>
        </w:r>
        <w:r>
          <w:rPr>
            <w:noProof/>
            <w:webHidden/>
          </w:rPr>
          <w:fldChar w:fldCharType="begin"/>
        </w:r>
        <w:r>
          <w:rPr>
            <w:noProof/>
            <w:webHidden/>
          </w:rPr>
          <w:instrText xml:space="preserve"> PAGEREF _Toc233626134 \h </w:instrText>
        </w:r>
        <w:r>
          <w:rPr>
            <w:noProof/>
            <w:webHidden/>
          </w:rPr>
        </w:r>
        <w:r>
          <w:rPr>
            <w:noProof/>
            <w:webHidden/>
          </w:rPr>
          <w:fldChar w:fldCharType="separate"/>
        </w:r>
        <w:r w:rsidR="001E3978">
          <w:rPr>
            <w:noProof/>
            <w:webHidden/>
          </w:rPr>
          <w:t>64</w:t>
        </w:r>
        <w:r>
          <w:rPr>
            <w:noProof/>
            <w:webHidden/>
          </w:rPr>
          <w:fldChar w:fldCharType="end"/>
        </w:r>
      </w:hyperlink>
    </w:p>
    <w:p w14:paraId="38B5E09C" w14:textId="30AD7152" w:rsidR="00266B1F" w:rsidRDefault="00266B1F">
      <w:pPr>
        <w:pStyle w:val="TM3"/>
        <w:tabs>
          <w:tab w:val="left" w:pos="960"/>
          <w:tab w:val="right" w:leader="dot" w:pos="8630"/>
        </w:tabs>
        <w:rPr>
          <w:noProof/>
          <w:kern w:val="2"/>
          <w:sz w:val="24"/>
          <w:szCs w:val="24"/>
          <w:lang w:eastAsia="fr-BE"/>
          <w14:ligatures w14:val="standardContextual"/>
        </w:rPr>
      </w:pPr>
      <w:hyperlink w:anchor="_Toc233626135"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Quels textes de référence ?</w:t>
        </w:r>
        <w:r>
          <w:rPr>
            <w:noProof/>
            <w:webHidden/>
          </w:rPr>
          <w:tab/>
        </w:r>
        <w:r>
          <w:rPr>
            <w:noProof/>
            <w:webHidden/>
          </w:rPr>
          <w:fldChar w:fldCharType="begin"/>
        </w:r>
        <w:r>
          <w:rPr>
            <w:noProof/>
            <w:webHidden/>
          </w:rPr>
          <w:instrText xml:space="preserve"> PAGEREF _Toc233626135 \h </w:instrText>
        </w:r>
        <w:r>
          <w:rPr>
            <w:noProof/>
            <w:webHidden/>
          </w:rPr>
        </w:r>
        <w:r>
          <w:rPr>
            <w:noProof/>
            <w:webHidden/>
          </w:rPr>
          <w:fldChar w:fldCharType="separate"/>
        </w:r>
        <w:r w:rsidR="001E3978">
          <w:rPr>
            <w:noProof/>
            <w:webHidden/>
          </w:rPr>
          <w:t>64</w:t>
        </w:r>
        <w:r>
          <w:rPr>
            <w:noProof/>
            <w:webHidden/>
          </w:rPr>
          <w:fldChar w:fldCharType="end"/>
        </w:r>
      </w:hyperlink>
    </w:p>
    <w:p w14:paraId="3476A05B" w14:textId="40DA1042" w:rsidR="00266B1F" w:rsidRDefault="00266B1F">
      <w:pPr>
        <w:pStyle w:val="TM3"/>
        <w:tabs>
          <w:tab w:val="left" w:pos="960"/>
          <w:tab w:val="right" w:leader="dot" w:pos="8630"/>
        </w:tabs>
        <w:rPr>
          <w:noProof/>
          <w:kern w:val="2"/>
          <w:sz w:val="24"/>
          <w:szCs w:val="24"/>
          <w:lang w:eastAsia="fr-BE"/>
          <w14:ligatures w14:val="standardContextual"/>
        </w:rPr>
      </w:pPr>
      <w:hyperlink w:anchor="_Toc233626136"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Quelle imputation budgétaire recommander ?</w:t>
        </w:r>
        <w:r>
          <w:rPr>
            <w:noProof/>
            <w:webHidden/>
          </w:rPr>
          <w:tab/>
        </w:r>
        <w:r>
          <w:rPr>
            <w:noProof/>
            <w:webHidden/>
          </w:rPr>
          <w:fldChar w:fldCharType="begin"/>
        </w:r>
        <w:r>
          <w:rPr>
            <w:noProof/>
            <w:webHidden/>
          </w:rPr>
          <w:instrText xml:space="preserve"> PAGEREF _Toc233626136 \h </w:instrText>
        </w:r>
        <w:r>
          <w:rPr>
            <w:noProof/>
            <w:webHidden/>
          </w:rPr>
        </w:r>
        <w:r>
          <w:rPr>
            <w:noProof/>
            <w:webHidden/>
          </w:rPr>
          <w:fldChar w:fldCharType="separate"/>
        </w:r>
        <w:r w:rsidR="001E3978">
          <w:rPr>
            <w:noProof/>
            <w:webHidden/>
          </w:rPr>
          <w:t>65</w:t>
        </w:r>
        <w:r>
          <w:rPr>
            <w:noProof/>
            <w:webHidden/>
          </w:rPr>
          <w:fldChar w:fldCharType="end"/>
        </w:r>
      </w:hyperlink>
    </w:p>
    <w:p w14:paraId="45F29B2D" w14:textId="29C5D0A5" w:rsidR="00266B1F" w:rsidRDefault="00266B1F">
      <w:pPr>
        <w:pStyle w:val="TM2"/>
        <w:tabs>
          <w:tab w:val="left" w:pos="720"/>
          <w:tab w:val="right" w:leader="dot" w:pos="8630"/>
        </w:tabs>
        <w:rPr>
          <w:noProof/>
          <w:kern w:val="2"/>
          <w:sz w:val="24"/>
          <w:szCs w:val="24"/>
          <w:lang w:eastAsia="fr-BE"/>
          <w14:ligatures w14:val="standardContextual"/>
        </w:rPr>
      </w:pPr>
      <w:hyperlink w:anchor="_Toc233626137" w:history="1">
        <w:r w:rsidRPr="0027322A">
          <w:rPr>
            <w:rStyle w:val="Lienhypertexte"/>
            <w:noProof/>
          </w:rPr>
          <w:t>3.</w:t>
        </w:r>
        <w:r>
          <w:rPr>
            <w:noProof/>
            <w:kern w:val="2"/>
            <w:sz w:val="24"/>
            <w:szCs w:val="24"/>
            <w:lang w:eastAsia="fr-BE"/>
            <w14:ligatures w14:val="standardContextual"/>
          </w:rPr>
          <w:tab/>
        </w:r>
        <w:r w:rsidRPr="0027322A">
          <w:rPr>
            <w:rStyle w:val="Lienhypertexte"/>
            <w:noProof/>
          </w:rPr>
          <w:t>Dividendes et redevances du secteur intercommunal</w:t>
        </w:r>
        <w:r>
          <w:rPr>
            <w:noProof/>
            <w:webHidden/>
          </w:rPr>
          <w:tab/>
        </w:r>
        <w:r>
          <w:rPr>
            <w:noProof/>
            <w:webHidden/>
          </w:rPr>
          <w:fldChar w:fldCharType="begin"/>
        </w:r>
        <w:r>
          <w:rPr>
            <w:noProof/>
            <w:webHidden/>
          </w:rPr>
          <w:instrText xml:space="preserve"> PAGEREF _Toc233626137 \h </w:instrText>
        </w:r>
        <w:r>
          <w:rPr>
            <w:noProof/>
            <w:webHidden/>
          </w:rPr>
        </w:r>
        <w:r>
          <w:rPr>
            <w:noProof/>
            <w:webHidden/>
          </w:rPr>
          <w:fldChar w:fldCharType="separate"/>
        </w:r>
        <w:r w:rsidR="001E3978">
          <w:rPr>
            <w:noProof/>
            <w:webHidden/>
          </w:rPr>
          <w:t>65</w:t>
        </w:r>
        <w:r>
          <w:rPr>
            <w:noProof/>
            <w:webHidden/>
          </w:rPr>
          <w:fldChar w:fldCharType="end"/>
        </w:r>
      </w:hyperlink>
    </w:p>
    <w:p w14:paraId="0737D834" w14:textId="106FB942" w:rsidR="00266B1F" w:rsidRDefault="00266B1F">
      <w:pPr>
        <w:pStyle w:val="TM3"/>
        <w:tabs>
          <w:tab w:val="left" w:pos="960"/>
          <w:tab w:val="right" w:leader="dot" w:pos="8630"/>
        </w:tabs>
        <w:rPr>
          <w:noProof/>
          <w:kern w:val="2"/>
          <w:sz w:val="24"/>
          <w:szCs w:val="24"/>
          <w:lang w:eastAsia="fr-BE"/>
          <w14:ligatures w14:val="standardContextual"/>
        </w:rPr>
      </w:pPr>
      <w:hyperlink w:anchor="_Toc233626138"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Comment estimer les dividendes ?</w:t>
        </w:r>
        <w:r>
          <w:rPr>
            <w:noProof/>
            <w:webHidden/>
          </w:rPr>
          <w:tab/>
        </w:r>
        <w:r>
          <w:rPr>
            <w:noProof/>
            <w:webHidden/>
          </w:rPr>
          <w:fldChar w:fldCharType="begin"/>
        </w:r>
        <w:r>
          <w:rPr>
            <w:noProof/>
            <w:webHidden/>
          </w:rPr>
          <w:instrText xml:space="preserve"> PAGEREF _Toc233626138 \h </w:instrText>
        </w:r>
        <w:r>
          <w:rPr>
            <w:noProof/>
            <w:webHidden/>
          </w:rPr>
        </w:r>
        <w:r>
          <w:rPr>
            <w:noProof/>
            <w:webHidden/>
          </w:rPr>
          <w:fldChar w:fldCharType="separate"/>
        </w:r>
        <w:r w:rsidR="001E3978">
          <w:rPr>
            <w:noProof/>
            <w:webHidden/>
          </w:rPr>
          <w:t>65</w:t>
        </w:r>
        <w:r>
          <w:rPr>
            <w:noProof/>
            <w:webHidden/>
          </w:rPr>
          <w:fldChar w:fldCharType="end"/>
        </w:r>
      </w:hyperlink>
    </w:p>
    <w:p w14:paraId="046E07FA" w14:textId="363E38FF" w:rsidR="00266B1F" w:rsidRDefault="00266B1F">
      <w:pPr>
        <w:pStyle w:val="TM3"/>
        <w:tabs>
          <w:tab w:val="left" w:pos="960"/>
          <w:tab w:val="right" w:leader="dot" w:pos="8630"/>
        </w:tabs>
        <w:rPr>
          <w:noProof/>
          <w:kern w:val="2"/>
          <w:sz w:val="24"/>
          <w:szCs w:val="24"/>
          <w:lang w:eastAsia="fr-BE"/>
          <w14:ligatures w14:val="standardContextual"/>
        </w:rPr>
      </w:pPr>
      <w:hyperlink w:anchor="_Toc233626139"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Comment inscrire les redevances réseau électricité/gaz ?</w:t>
        </w:r>
        <w:r>
          <w:rPr>
            <w:noProof/>
            <w:webHidden/>
          </w:rPr>
          <w:tab/>
        </w:r>
        <w:r>
          <w:rPr>
            <w:noProof/>
            <w:webHidden/>
          </w:rPr>
          <w:fldChar w:fldCharType="begin"/>
        </w:r>
        <w:r>
          <w:rPr>
            <w:noProof/>
            <w:webHidden/>
          </w:rPr>
          <w:instrText xml:space="preserve"> PAGEREF _Toc233626139 \h </w:instrText>
        </w:r>
        <w:r>
          <w:rPr>
            <w:noProof/>
            <w:webHidden/>
          </w:rPr>
        </w:r>
        <w:r>
          <w:rPr>
            <w:noProof/>
            <w:webHidden/>
          </w:rPr>
          <w:fldChar w:fldCharType="separate"/>
        </w:r>
        <w:r w:rsidR="001E3978">
          <w:rPr>
            <w:noProof/>
            <w:webHidden/>
          </w:rPr>
          <w:t>65</w:t>
        </w:r>
        <w:r>
          <w:rPr>
            <w:noProof/>
            <w:webHidden/>
          </w:rPr>
          <w:fldChar w:fldCharType="end"/>
        </w:r>
      </w:hyperlink>
    </w:p>
    <w:p w14:paraId="0C34C76F" w14:textId="5D079B78" w:rsidR="00266B1F" w:rsidRDefault="00266B1F">
      <w:pPr>
        <w:pStyle w:val="TM2"/>
        <w:tabs>
          <w:tab w:val="left" w:pos="720"/>
          <w:tab w:val="right" w:leader="dot" w:pos="8630"/>
        </w:tabs>
        <w:rPr>
          <w:noProof/>
          <w:kern w:val="2"/>
          <w:sz w:val="24"/>
          <w:szCs w:val="24"/>
          <w:lang w:eastAsia="fr-BE"/>
          <w14:ligatures w14:val="standardContextual"/>
        </w:rPr>
      </w:pPr>
      <w:hyperlink w:anchor="_Toc233626140" w:history="1">
        <w:r w:rsidRPr="0027322A">
          <w:rPr>
            <w:rStyle w:val="Lienhypertexte"/>
            <w:noProof/>
          </w:rPr>
          <w:t>4.</w:t>
        </w:r>
        <w:r>
          <w:rPr>
            <w:noProof/>
            <w:kern w:val="2"/>
            <w:sz w:val="24"/>
            <w:szCs w:val="24"/>
            <w:lang w:eastAsia="fr-BE"/>
            <w14:ligatures w14:val="standardContextual"/>
          </w:rPr>
          <w:tab/>
        </w:r>
        <w:r w:rsidRPr="0027322A">
          <w:rPr>
            <w:rStyle w:val="Lienhypertexte"/>
            <w:noProof/>
          </w:rPr>
          <w:t>Subventions en général</w:t>
        </w:r>
        <w:r>
          <w:rPr>
            <w:noProof/>
            <w:webHidden/>
          </w:rPr>
          <w:tab/>
        </w:r>
        <w:r>
          <w:rPr>
            <w:noProof/>
            <w:webHidden/>
          </w:rPr>
          <w:fldChar w:fldCharType="begin"/>
        </w:r>
        <w:r>
          <w:rPr>
            <w:noProof/>
            <w:webHidden/>
          </w:rPr>
          <w:instrText xml:space="preserve"> PAGEREF _Toc233626140 \h </w:instrText>
        </w:r>
        <w:r>
          <w:rPr>
            <w:noProof/>
            <w:webHidden/>
          </w:rPr>
        </w:r>
        <w:r>
          <w:rPr>
            <w:noProof/>
            <w:webHidden/>
          </w:rPr>
          <w:fldChar w:fldCharType="separate"/>
        </w:r>
        <w:r w:rsidR="001E3978">
          <w:rPr>
            <w:noProof/>
            <w:webHidden/>
          </w:rPr>
          <w:t>65</w:t>
        </w:r>
        <w:r>
          <w:rPr>
            <w:noProof/>
            <w:webHidden/>
          </w:rPr>
          <w:fldChar w:fldCharType="end"/>
        </w:r>
      </w:hyperlink>
    </w:p>
    <w:p w14:paraId="5FD396FC" w14:textId="5733DE09" w:rsidR="00266B1F" w:rsidRDefault="00266B1F">
      <w:pPr>
        <w:pStyle w:val="TM3"/>
        <w:tabs>
          <w:tab w:val="left" w:pos="960"/>
          <w:tab w:val="right" w:leader="dot" w:pos="8630"/>
        </w:tabs>
        <w:rPr>
          <w:noProof/>
          <w:kern w:val="2"/>
          <w:sz w:val="24"/>
          <w:szCs w:val="24"/>
          <w:lang w:eastAsia="fr-BE"/>
          <w14:ligatures w14:val="standardContextual"/>
        </w:rPr>
      </w:pPr>
      <w:hyperlink w:anchor="_Toc233626141"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Quand comptabiliser la recette ?</w:t>
        </w:r>
        <w:r>
          <w:rPr>
            <w:noProof/>
            <w:webHidden/>
          </w:rPr>
          <w:tab/>
        </w:r>
        <w:r>
          <w:rPr>
            <w:noProof/>
            <w:webHidden/>
          </w:rPr>
          <w:fldChar w:fldCharType="begin"/>
        </w:r>
        <w:r>
          <w:rPr>
            <w:noProof/>
            <w:webHidden/>
          </w:rPr>
          <w:instrText xml:space="preserve"> PAGEREF _Toc233626141 \h </w:instrText>
        </w:r>
        <w:r>
          <w:rPr>
            <w:noProof/>
            <w:webHidden/>
          </w:rPr>
        </w:r>
        <w:r>
          <w:rPr>
            <w:noProof/>
            <w:webHidden/>
          </w:rPr>
          <w:fldChar w:fldCharType="separate"/>
        </w:r>
        <w:r w:rsidR="001E3978">
          <w:rPr>
            <w:noProof/>
            <w:webHidden/>
          </w:rPr>
          <w:t>65</w:t>
        </w:r>
        <w:r>
          <w:rPr>
            <w:noProof/>
            <w:webHidden/>
          </w:rPr>
          <w:fldChar w:fldCharType="end"/>
        </w:r>
      </w:hyperlink>
    </w:p>
    <w:p w14:paraId="53541B16" w14:textId="7389C961" w:rsidR="00266B1F" w:rsidRDefault="00266B1F">
      <w:pPr>
        <w:pStyle w:val="TM3"/>
        <w:tabs>
          <w:tab w:val="left" w:pos="960"/>
          <w:tab w:val="right" w:leader="dot" w:pos="8630"/>
        </w:tabs>
        <w:rPr>
          <w:noProof/>
          <w:kern w:val="2"/>
          <w:sz w:val="24"/>
          <w:szCs w:val="24"/>
          <w:lang w:eastAsia="fr-BE"/>
          <w14:ligatures w14:val="standardContextual"/>
        </w:rPr>
      </w:pPr>
      <w:hyperlink w:anchor="_Toc233626142"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À qui s’adresser en cas d’objet non identifié (SPW) ?</w:t>
        </w:r>
        <w:r>
          <w:rPr>
            <w:noProof/>
            <w:webHidden/>
          </w:rPr>
          <w:tab/>
        </w:r>
        <w:r>
          <w:rPr>
            <w:noProof/>
            <w:webHidden/>
          </w:rPr>
          <w:fldChar w:fldCharType="begin"/>
        </w:r>
        <w:r>
          <w:rPr>
            <w:noProof/>
            <w:webHidden/>
          </w:rPr>
          <w:instrText xml:space="preserve"> PAGEREF _Toc233626142 \h </w:instrText>
        </w:r>
        <w:r>
          <w:rPr>
            <w:noProof/>
            <w:webHidden/>
          </w:rPr>
        </w:r>
        <w:r>
          <w:rPr>
            <w:noProof/>
            <w:webHidden/>
          </w:rPr>
          <w:fldChar w:fldCharType="separate"/>
        </w:r>
        <w:r w:rsidR="001E3978">
          <w:rPr>
            <w:noProof/>
            <w:webHidden/>
          </w:rPr>
          <w:t>65</w:t>
        </w:r>
        <w:r>
          <w:rPr>
            <w:noProof/>
            <w:webHidden/>
          </w:rPr>
          <w:fldChar w:fldCharType="end"/>
        </w:r>
      </w:hyperlink>
    </w:p>
    <w:p w14:paraId="5C9FF727" w14:textId="6F8A3381" w:rsidR="00266B1F" w:rsidRDefault="00266B1F">
      <w:pPr>
        <w:pStyle w:val="TM2"/>
        <w:tabs>
          <w:tab w:val="left" w:pos="720"/>
          <w:tab w:val="right" w:leader="dot" w:pos="8630"/>
        </w:tabs>
        <w:rPr>
          <w:noProof/>
          <w:kern w:val="2"/>
          <w:sz w:val="24"/>
          <w:szCs w:val="24"/>
          <w:lang w:eastAsia="fr-BE"/>
          <w14:ligatures w14:val="standardContextual"/>
        </w:rPr>
      </w:pPr>
      <w:hyperlink w:anchor="_Toc233626143" w:history="1">
        <w:r w:rsidRPr="0027322A">
          <w:rPr>
            <w:rStyle w:val="Lienhypertexte"/>
            <w:noProof/>
          </w:rPr>
          <w:t>5.</w:t>
        </w:r>
        <w:r>
          <w:rPr>
            <w:noProof/>
            <w:kern w:val="2"/>
            <w:sz w:val="24"/>
            <w:szCs w:val="24"/>
            <w:lang w:eastAsia="fr-BE"/>
            <w14:ligatures w14:val="standardContextual"/>
          </w:rPr>
          <w:tab/>
        </w:r>
        <w:r w:rsidRPr="0027322A">
          <w:rPr>
            <w:rStyle w:val="Lienhypertexte"/>
            <w:noProof/>
          </w:rPr>
          <w:t>Plan de cohésion sociale (PCS)</w:t>
        </w:r>
        <w:r>
          <w:rPr>
            <w:noProof/>
            <w:webHidden/>
          </w:rPr>
          <w:tab/>
        </w:r>
        <w:r>
          <w:rPr>
            <w:noProof/>
            <w:webHidden/>
          </w:rPr>
          <w:fldChar w:fldCharType="begin"/>
        </w:r>
        <w:r>
          <w:rPr>
            <w:noProof/>
            <w:webHidden/>
          </w:rPr>
          <w:instrText xml:space="preserve"> PAGEREF _Toc233626143 \h </w:instrText>
        </w:r>
        <w:r>
          <w:rPr>
            <w:noProof/>
            <w:webHidden/>
          </w:rPr>
        </w:r>
        <w:r>
          <w:rPr>
            <w:noProof/>
            <w:webHidden/>
          </w:rPr>
          <w:fldChar w:fldCharType="separate"/>
        </w:r>
        <w:r w:rsidR="001E3978">
          <w:rPr>
            <w:noProof/>
            <w:webHidden/>
          </w:rPr>
          <w:t>65</w:t>
        </w:r>
        <w:r>
          <w:rPr>
            <w:noProof/>
            <w:webHidden/>
          </w:rPr>
          <w:fldChar w:fldCharType="end"/>
        </w:r>
      </w:hyperlink>
    </w:p>
    <w:p w14:paraId="7FD97D0A" w14:textId="6AAF28AE" w:rsidR="00266B1F" w:rsidRDefault="00266B1F">
      <w:pPr>
        <w:pStyle w:val="TM3"/>
        <w:tabs>
          <w:tab w:val="left" w:pos="960"/>
          <w:tab w:val="right" w:leader="dot" w:pos="8630"/>
        </w:tabs>
        <w:rPr>
          <w:noProof/>
          <w:kern w:val="2"/>
          <w:sz w:val="24"/>
          <w:szCs w:val="24"/>
          <w:lang w:eastAsia="fr-BE"/>
          <w14:ligatures w14:val="standardContextual"/>
        </w:rPr>
      </w:pPr>
      <w:hyperlink w:anchor="_Toc233626144"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Quelles orientations de la réforme ?</w:t>
        </w:r>
        <w:r>
          <w:rPr>
            <w:noProof/>
            <w:webHidden/>
          </w:rPr>
          <w:tab/>
        </w:r>
        <w:r>
          <w:rPr>
            <w:noProof/>
            <w:webHidden/>
          </w:rPr>
          <w:fldChar w:fldCharType="begin"/>
        </w:r>
        <w:r>
          <w:rPr>
            <w:noProof/>
            <w:webHidden/>
          </w:rPr>
          <w:instrText xml:space="preserve"> PAGEREF _Toc233626144 \h </w:instrText>
        </w:r>
        <w:r>
          <w:rPr>
            <w:noProof/>
            <w:webHidden/>
          </w:rPr>
        </w:r>
        <w:r>
          <w:rPr>
            <w:noProof/>
            <w:webHidden/>
          </w:rPr>
          <w:fldChar w:fldCharType="separate"/>
        </w:r>
        <w:r w:rsidR="001E3978">
          <w:rPr>
            <w:noProof/>
            <w:webHidden/>
          </w:rPr>
          <w:t>65</w:t>
        </w:r>
        <w:r>
          <w:rPr>
            <w:noProof/>
            <w:webHidden/>
          </w:rPr>
          <w:fldChar w:fldCharType="end"/>
        </w:r>
      </w:hyperlink>
    </w:p>
    <w:p w14:paraId="559EDBB9" w14:textId="314EA1C2" w:rsidR="00266B1F" w:rsidRDefault="00266B1F">
      <w:pPr>
        <w:pStyle w:val="TM3"/>
        <w:tabs>
          <w:tab w:val="left" w:pos="960"/>
          <w:tab w:val="right" w:leader="dot" w:pos="8630"/>
        </w:tabs>
        <w:rPr>
          <w:noProof/>
          <w:kern w:val="2"/>
          <w:sz w:val="24"/>
          <w:szCs w:val="24"/>
          <w:lang w:eastAsia="fr-BE"/>
          <w14:ligatures w14:val="standardContextual"/>
        </w:rPr>
      </w:pPr>
      <w:hyperlink w:anchor="_Toc233626145"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Quelle imputation pour les conventions art. 20 ?</w:t>
        </w:r>
        <w:r>
          <w:rPr>
            <w:noProof/>
            <w:webHidden/>
          </w:rPr>
          <w:tab/>
        </w:r>
        <w:r>
          <w:rPr>
            <w:noProof/>
            <w:webHidden/>
          </w:rPr>
          <w:fldChar w:fldCharType="begin"/>
        </w:r>
        <w:r>
          <w:rPr>
            <w:noProof/>
            <w:webHidden/>
          </w:rPr>
          <w:instrText xml:space="preserve"> PAGEREF _Toc233626145 \h </w:instrText>
        </w:r>
        <w:r>
          <w:rPr>
            <w:noProof/>
            <w:webHidden/>
          </w:rPr>
        </w:r>
        <w:r>
          <w:rPr>
            <w:noProof/>
            <w:webHidden/>
          </w:rPr>
          <w:fldChar w:fldCharType="separate"/>
        </w:r>
        <w:r w:rsidR="001E3978">
          <w:rPr>
            <w:noProof/>
            <w:webHidden/>
          </w:rPr>
          <w:t>65</w:t>
        </w:r>
        <w:r>
          <w:rPr>
            <w:noProof/>
            <w:webHidden/>
          </w:rPr>
          <w:fldChar w:fldCharType="end"/>
        </w:r>
      </w:hyperlink>
    </w:p>
    <w:p w14:paraId="4A60220C" w14:textId="13D886E7" w:rsidR="00266B1F" w:rsidRDefault="00266B1F">
      <w:pPr>
        <w:pStyle w:val="TM2"/>
        <w:tabs>
          <w:tab w:val="left" w:pos="720"/>
          <w:tab w:val="right" w:leader="dot" w:pos="8630"/>
        </w:tabs>
        <w:rPr>
          <w:noProof/>
          <w:kern w:val="2"/>
          <w:sz w:val="24"/>
          <w:szCs w:val="24"/>
          <w:lang w:eastAsia="fr-BE"/>
          <w14:ligatures w14:val="standardContextual"/>
        </w:rPr>
      </w:pPr>
      <w:hyperlink w:anchor="_Toc233626146" w:history="1">
        <w:r w:rsidRPr="0027322A">
          <w:rPr>
            <w:rStyle w:val="Lienhypertexte"/>
            <w:noProof/>
          </w:rPr>
          <w:t>6.</w:t>
        </w:r>
        <w:r>
          <w:rPr>
            <w:noProof/>
            <w:kern w:val="2"/>
            <w:sz w:val="24"/>
            <w:szCs w:val="24"/>
            <w:lang w:eastAsia="fr-BE"/>
            <w14:ligatures w14:val="standardContextual"/>
          </w:rPr>
          <w:tab/>
        </w:r>
        <w:r w:rsidRPr="0027322A">
          <w:rPr>
            <w:rStyle w:val="Lienhypertexte"/>
            <w:noProof/>
          </w:rPr>
          <w:t>Crédit spécial de recettes préfigurant les dépenses non engagées de l’exercice (CSR)</w:t>
        </w:r>
        <w:r>
          <w:rPr>
            <w:noProof/>
            <w:webHidden/>
          </w:rPr>
          <w:tab/>
        </w:r>
        <w:r>
          <w:rPr>
            <w:noProof/>
            <w:webHidden/>
          </w:rPr>
          <w:fldChar w:fldCharType="begin"/>
        </w:r>
        <w:r>
          <w:rPr>
            <w:noProof/>
            <w:webHidden/>
          </w:rPr>
          <w:instrText xml:space="preserve"> PAGEREF _Toc233626146 \h </w:instrText>
        </w:r>
        <w:r>
          <w:rPr>
            <w:noProof/>
            <w:webHidden/>
          </w:rPr>
        </w:r>
        <w:r>
          <w:rPr>
            <w:noProof/>
            <w:webHidden/>
          </w:rPr>
          <w:fldChar w:fldCharType="separate"/>
        </w:r>
        <w:r w:rsidR="001E3978">
          <w:rPr>
            <w:noProof/>
            <w:webHidden/>
          </w:rPr>
          <w:t>66</w:t>
        </w:r>
        <w:r>
          <w:rPr>
            <w:noProof/>
            <w:webHidden/>
          </w:rPr>
          <w:fldChar w:fldCharType="end"/>
        </w:r>
      </w:hyperlink>
    </w:p>
    <w:p w14:paraId="6506F807" w14:textId="6ED68E1B" w:rsidR="00266B1F" w:rsidRDefault="00266B1F">
      <w:pPr>
        <w:pStyle w:val="TM3"/>
        <w:tabs>
          <w:tab w:val="left" w:pos="960"/>
          <w:tab w:val="right" w:leader="dot" w:pos="8630"/>
        </w:tabs>
        <w:rPr>
          <w:noProof/>
          <w:kern w:val="2"/>
          <w:sz w:val="24"/>
          <w:szCs w:val="24"/>
          <w:lang w:eastAsia="fr-BE"/>
          <w14:ligatures w14:val="standardContextual"/>
        </w:rPr>
      </w:pPr>
      <w:hyperlink w:anchor="_Toc233626147"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De quoi s’agit</w:t>
        </w:r>
        <w:r w:rsidRPr="0027322A">
          <w:rPr>
            <w:rStyle w:val="Lienhypertexte"/>
            <w:rFonts w:ascii="Cambria Math" w:hAnsi="Cambria Math" w:cs="Cambria Math"/>
            <w:noProof/>
          </w:rPr>
          <w:t>‑</w:t>
        </w:r>
        <w:r w:rsidRPr="0027322A">
          <w:rPr>
            <w:rStyle w:val="Lienhypertexte"/>
            <w:noProof/>
          </w:rPr>
          <w:t>il ?</w:t>
        </w:r>
        <w:r>
          <w:rPr>
            <w:noProof/>
            <w:webHidden/>
          </w:rPr>
          <w:tab/>
        </w:r>
        <w:r>
          <w:rPr>
            <w:noProof/>
            <w:webHidden/>
          </w:rPr>
          <w:fldChar w:fldCharType="begin"/>
        </w:r>
        <w:r>
          <w:rPr>
            <w:noProof/>
            <w:webHidden/>
          </w:rPr>
          <w:instrText xml:space="preserve"> PAGEREF _Toc233626147 \h </w:instrText>
        </w:r>
        <w:r>
          <w:rPr>
            <w:noProof/>
            <w:webHidden/>
          </w:rPr>
        </w:r>
        <w:r>
          <w:rPr>
            <w:noProof/>
            <w:webHidden/>
          </w:rPr>
          <w:fldChar w:fldCharType="separate"/>
        </w:r>
        <w:r w:rsidR="001E3978">
          <w:rPr>
            <w:noProof/>
            <w:webHidden/>
          </w:rPr>
          <w:t>66</w:t>
        </w:r>
        <w:r>
          <w:rPr>
            <w:noProof/>
            <w:webHidden/>
          </w:rPr>
          <w:fldChar w:fldCharType="end"/>
        </w:r>
      </w:hyperlink>
    </w:p>
    <w:p w14:paraId="5766244B" w14:textId="55B9F133" w:rsidR="00266B1F" w:rsidRDefault="00266B1F">
      <w:pPr>
        <w:pStyle w:val="TM3"/>
        <w:tabs>
          <w:tab w:val="left" w:pos="960"/>
          <w:tab w:val="right" w:leader="dot" w:pos="8630"/>
        </w:tabs>
        <w:rPr>
          <w:noProof/>
          <w:kern w:val="2"/>
          <w:sz w:val="24"/>
          <w:szCs w:val="24"/>
          <w:lang w:eastAsia="fr-BE"/>
          <w14:ligatures w14:val="standardContextual"/>
        </w:rPr>
      </w:pPr>
      <w:hyperlink w:anchor="_Toc233626148"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Comment le calculer (choix figé pour l’année) ?</w:t>
        </w:r>
        <w:r>
          <w:rPr>
            <w:noProof/>
            <w:webHidden/>
          </w:rPr>
          <w:tab/>
        </w:r>
        <w:r>
          <w:rPr>
            <w:noProof/>
            <w:webHidden/>
          </w:rPr>
          <w:fldChar w:fldCharType="begin"/>
        </w:r>
        <w:r>
          <w:rPr>
            <w:noProof/>
            <w:webHidden/>
          </w:rPr>
          <w:instrText xml:space="preserve"> PAGEREF _Toc233626148 \h </w:instrText>
        </w:r>
        <w:r>
          <w:rPr>
            <w:noProof/>
            <w:webHidden/>
          </w:rPr>
        </w:r>
        <w:r>
          <w:rPr>
            <w:noProof/>
            <w:webHidden/>
          </w:rPr>
          <w:fldChar w:fldCharType="separate"/>
        </w:r>
        <w:r w:rsidR="001E3978">
          <w:rPr>
            <w:noProof/>
            <w:webHidden/>
          </w:rPr>
          <w:t>66</w:t>
        </w:r>
        <w:r>
          <w:rPr>
            <w:noProof/>
            <w:webHidden/>
          </w:rPr>
          <w:fldChar w:fldCharType="end"/>
        </w:r>
      </w:hyperlink>
    </w:p>
    <w:p w14:paraId="048B45D7" w14:textId="639BAAC1" w:rsidR="00266B1F" w:rsidRDefault="00266B1F">
      <w:pPr>
        <w:pStyle w:val="TM3"/>
        <w:tabs>
          <w:tab w:val="left" w:pos="960"/>
          <w:tab w:val="right" w:leader="dot" w:pos="8630"/>
        </w:tabs>
        <w:rPr>
          <w:noProof/>
          <w:kern w:val="2"/>
          <w:sz w:val="24"/>
          <w:szCs w:val="24"/>
          <w:lang w:eastAsia="fr-BE"/>
          <w14:ligatures w14:val="standardContextual"/>
        </w:rPr>
      </w:pPr>
      <w:hyperlink w:anchor="_Toc233626149"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Quelles limites d’utilisation ?</w:t>
        </w:r>
        <w:r>
          <w:rPr>
            <w:noProof/>
            <w:webHidden/>
          </w:rPr>
          <w:tab/>
        </w:r>
        <w:r>
          <w:rPr>
            <w:noProof/>
            <w:webHidden/>
          </w:rPr>
          <w:fldChar w:fldCharType="begin"/>
        </w:r>
        <w:r>
          <w:rPr>
            <w:noProof/>
            <w:webHidden/>
          </w:rPr>
          <w:instrText xml:space="preserve"> PAGEREF _Toc233626149 \h </w:instrText>
        </w:r>
        <w:r>
          <w:rPr>
            <w:noProof/>
            <w:webHidden/>
          </w:rPr>
        </w:r>
        <w:r>
          <w:rPr>
            <w:noProof/>
            <w:webHidden/>
          </w:rPr>
          <w:fldChar w:fldCharType="separate"/>
        </w:r>
        <w:r w:rsidR="001E3978">
          <w:rPr>
            <w:noProof/>
            <w:webHidden/>
          </w:rPr>
          <w:t>66</w:t>
        </w:r>
        <w:r>
          <w:rPr>
            <w:noProof/>
            <w:webHidden/>
          </w:rPr>
          <w:fldChar w:fldCharType="end"/>
        </w:r>
      </w:hyperlink>
    </w:p>
    <w:p w14:paraId="6E02EE7E" w14:textId="283BE070" w:rsidR="00266B1F" w:rsidRDefault="00266B1F">
      <w:pPr>
        <w:pStyle w:val="TM3"/>
        <w:tabs>
          <w:tab w:val="left" w:pos="960"/>
          <w:tab w:val="right" w:leader="dot" w:pos="8630"/>
        </w:tabs>
        <w:rPr>
          <w:noProof/>
          <w:kern w:val="2"/>
          <w:sz w:val="24"/>
          <w:szCs w:val="24"/>
          <w:lang w:eastAsia="fr-BE"/>
          <w14:ligatures w14:val="standardContextual"/>
        </w:rPr>
      </w:pPr>
      <w:hyperlink w:anchor="_Toc233626150"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Principe de dégressivité en modifications budgétaires (MB)</w:t>
        </w:r>
        <w:r>
          <w:rPr>
            <w:noProof/>
            <w:webHidden/>
          </w:rPr>
          <w:tab/>
        </w:r>
        <w:r>
          <w:rPr>
            <w:noProof/>
            <w:webHidden/>
          </w:rPr>
          <w:fldChar w:fldCharType="begin"/>
        </w:r>
        <w:r>
          <w:rPr>
            <w:noProof/>
            <w:webHidden/>
          </w:rPr>
          <w:instrText xml:space="preserve"> PAGEREF _Toc233626150 \h </w:instrText>
        </w:r>
        <w:r>
          <w:rPr>
            <w:noProof/>
            <w:webHidden/>
          </w:rPr>
        </w:r>
        <w:r>
          <w:rPr>
            <w:noProof/>
            <w:webHidden/>
          </w:rPr>
          <w:fldChar w:fldCharType="separate"/>
        </w:r>
        <w:r w:rsidR="001E3978">
          <w:rPr>
            <w:noProof/>
            <w:webHidden/>
          </w:rPr>
          <w:t>66</w:t>
        </w:r>
        <w:r>
          <w:rPr>
            <w:noProof/>
            <w:webHidden/>
          </w:rPr>
          <w:fldChar w:fldCharType="end"/>
        </w:r>
      </w:hyperlink>
    </w:p>
    <w:p w14:paraId="01844A1E" w14:textId="44AD39BA" w:rsidR="00266B1F" w:rsidRDefault="00266B1F">
      <w:pPr>
        <w:pStyle w:val="TM1"/>
        <w:rPr>
          <w:b w:val="0"/>
          <w:bCs w:val="0"/>
        </w:rPr>
      </w:pPr>
      <w:hyperlink w:anchor="_Toc233626151" w:history="1">
        <w:r w:rsidRPr="0027322A">
          <w:rPr>
            <w:rStyle w:val="Lienhypertexte"/>
          </w:rPr>
          <w:t>IV.</w:t>
        </w:r>
        <w:r>
          <w:rPr>
            <w:b w:val="0"/>
            <w:bCs w:val="0"/>
          </w:rPr>
          <w:tab/>
        </w:r>
        <w:r w:rsidRPr="0027322A">
          <w:rPr>
            <w:rStyle w:val="Lienhypertexte"/>
          </w:rPr>
          <w:t>Service ordinaire : dépenses</w:t>
        </w:r>
        <w:r>
          <w:rPr>
            <w:webHidden/>
          </w:rPr>
          <w:tab/>
        </w:r>
        <w:r>
          <w:rPr>
            <w:webHidden/>
          </w:rPr>
          <w:fldChar w:fldCharType="begin"/>
        </w:r>
        <w:r>
          <w:rPr>
            <w:webHidden/>
          </w:rPr>
          <w:instrText xml:space="preserve"> PAGEREF _Toc233626151 \h </w:instrText>
        </w:r>
        <w:r>
          <w:rPr>
            <w:webHidden/>
          </w:rPr>
        </w:r>
        <w:r>
          <w:rPr>
            <w:webHidden/>
          </w:rPr>
          <w:fldChar w:fldCharType="separate"/>
        </w:r>
        <w:r w:rsidR="001E3978">
          <w:rPr>
            <w:webHidden/>
          </w:rPr>
          <w:t>66</w:t>
        </w:r>
        <w:r>
          <w:rPr>
            <w:webHidden/>
          </w:rPr>
          <w:fldChar w:fldCharType="end"/>
        </w:r>
      </w:hyperlink>
    </w:p>
    <w:p w14:paraId="4B1C1B91" w14:textId="592FB26E" w:rsidR="00266B1F" w:rsidRDefault="00266B1F">
      <w:pPr>
        <w:pStyle w:val="TM2"/>
        <w:tabs>
          <w:tab w:val="left" w:pos="720"/>
          <w:tab w:val="right" w:leader="dot" w:pos="8630"/>
        </w:tabs>
        <w:rPr>
          <w:noProof/>
          <w:kern w:val="2"/>
          <w:sz w:val="24"/>
          <w:szCs w:val="24"/>
          <w:lang w:eastAsia="fr-BE"/>
          <w14:ligatures w14:val="standardContextual"/>
        </w:rPr>
      </w:pPr>
      <w:hyperlink w:anchor="_Toc233626152" w:history="1">
        <w:r w:rsidRPr="0027322A">
          <w:rPr>
            <w:rStyle w:val="Lienhypertexte"/>
            <w:noProof/>
          </w:rPr>
          <w:t>1.</w:t>
        </w:r>
        <w:r>
          <w:rPr>
            <w:noProof/>
            <w:kern w:val="2"/>
            <w:sz w:val="24"/>
            <w:szCs w:val="24"/>
            <w:lang w:eastAsia="fr-BE"/>
            <w14:ligatures w14:val="standardContextual"/>
          </w:rPr>
          <w:tab/>
        </w:r>
        <w:r w:rsidRPr="0027322A">
          <w:rPr>
            <w:rStyle w:val="Lienhypertexte"/>
            <w:noProof/>
          </w:rPr>
          <w:t>Dépenses de personnel</w:t>
        </w:r>
        <w:r>
          <w:rPr>
            <w:noProof/>
            <w:webHidden/>
          </w:rPr>
          <w:tab/>
        </w:r>
        <w:r>
          <w:rPr>
            <w:noProof/>
            <w:webHidden/>
          </w:rPr>
          <w:fldChar w:fldCharType="begin"/>
        </w:r>
        <w:r>
          <w:rPr>
            <w:noProof/>
            <w:webHidden/>
          </w:rPr>
          <w:instrText xml:space="preserve"> PAGEREF _Toc233626152 \h </w:instrText>
        </w:r>
        <w:r>
          <w:rPr>
            <w:noProof/>
            <w:webHidden/>
          </w:rPr>
        </w:r>
        <w:r>
          <w:rPr>
            <w:noProof/>
            <w:webHidden/>
          </w:rPr>
          <w:fldChar w:fldCharType="separate"/>
        </w:r>
        <w:r w:rsidR="001E3978">
          <w:rPr>
            <w:noProof/>
            <w:webHidden/>
          </w:rPr>
          <w:t>66</w:t>
        </w:r>
        <w:r>
          <w:rPr>
            <w:noProof/>
            <w:webHidden/>
          </w:rPr>
          <w:fldChar w:fldCharType="end"/>
        </w:r>
      </w:hyperlink>
    </w:p>
    <w:p w14:paraId="105A6C23" w14:textId="5B0904BD" w:rsidR="00266B1F" w:rsidRDefault="00266B1F">
      <w:pPr>
        <w:pStyle w:val="TM3"/>
        <w:tabs>
          <w:tab w:val="left" w:pos="960"/>
          <w:tab w:val="right" w:leader="dot" w:pos="8630"/>
        </w:tabs>
        <w:rPr>
          <w:noProof/>
          <w:kern w:val="2"/>
          <w:sz w:val="24"/>
          <w:szCs w:val="24"/>
          <w:lang w:eastAsia="fr-BE"/>
          <w14:ligatures w14:val="standardContextual"/>
        </w:rPr>
      </w:pPr>
      <w:hyperlink w:anchor="_Toc233626153"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Quels paramètres budgétaires intégrer ?</w:t>
        </w:r>
        <w:r>
          <w:rPr>
            <w:noProof/>
            <w:webHidden/>
          </w:rPr>
          <w:tab/>
        </w:r>
        <w:r>
          <w:rPr>
            <w:noProof/>
            <w:webHidden/>
          </w:rPr>
          <w:fldChar w:fldCharType="begin"/>
        </w:r>
        <w:r>
          <w:rPr>
            <w:noProof/>
            <w:webHidden/>
          </w:rPr>
          <w:instrText xml:space="preserve"> PAGEREF _Toc233626153 \h </w:instrText>
        </w:r>
        <w:r>
          <w:rPr>
            <w:noProof/>
            <w:webHidden/>
          </w:rPr>
        </w:r>
        <w:r>
          <w:rPr>
            <w:noProof/>
            <w:webHidden/>
          </w:rPr>
          <w:fldChar w:fldCharType="separate"/>
        </w:r>
        <w:r w:rsidR="001E3978">
          <w:rPr>
            <w:noProof/>
            <w:webHidden/>
          </w:rPr>
          <w:t>66</w:t>
        </w:r>
        <w:r>
          <w:rPr>
            <w:noProof/>
            <w:webHidden/>
          </w:rPr>
          <w:fldChar w:fldCharType="end"/>
        </w:r>
      </w:hyperlink>
    </w:p>
    <w:p w14:paraId="77F32D37" w14:textId="33ADBFC9" w:rsidR="00266B1F" w:rsidRDefault="00266B1F">
      <w:pPr>
        <w:pStyle w:val="TM3"/>
        <w:tabs>
          <w:tab w:val="left" w:pos="960"/>
          <w:tab w:val="right" w:leader="dot" w:pos="8630"/>
        </w:tabs>
        <w:rPr>
          <w:noProof/>
          <w:kern w:val="2"/>
          <w:sz w:val="24"/>
          <w:szCs w:val="24"/>
          <w:lang w:eastAsia="fr-BE"/>
          <w14:ligatures w14:val="standardContextual"/>
        </w:rPr>
      </w:pPr>
      <w:hyperlink w:anchor="_Toc233626154"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Comment traiter l’indexation des rémunérations ?</w:t>
        </w:r>
        <w:r>
          <w:rPr>
            <w:noProof/>
            <w:webHidden/>
          </w:rPr>
          <w:tab/>
        </w:r>
        <w:r>
          <w:rPr>
            <w:noProof/>
            <w:webHidden/>
          </w:rPr>
          <w:fldChar w:fldCharType="begin"/>
        </w:r>
        <w:r>
          <w:rPr>
            <w:noProof/>
            <w:webHidden/>
          </w:rPr>
          <w:instrText xml:space="preserve"> PAGEREF _Toc233626154 \h </w:instrText>
        </w:r>
        <w:r>
          <w:rPr>
            <w:noProof/>
            <w:webHidden/>
          </w:rPr>
        </w:r>
        <w:r>
          <w:rPr>
            <w:noProof/>
            <w:webHidden/>
          </w:rPr>
          <w:fldChar w:fldCharType="separate"/>
        </w:r>
        <w:r w:rsidR="001E3978">
          <w:rPr>
            <w:noProof/>
            <w:webHidden/>
          </w:rPr>
          <w:t>67</w:t>
        </w:r>
        <w:r>
          <w:rPr>
            <w:noProof/>
            <w:webHidden/>
          </w:rPr>
          <w:fldChar w:fldCharType="end"/>
        </w:r>
      </w:hyperlink>
    </w:p>
    <w:p w14:paraId="471A8127" w14:textId="331C4EB6" w:rsidR="00266B1F" w:rsidRDefault="00266B1F">
      <w:pPr>
        <w:pStyle w:val="TM3"/>
        <w:tabs>
          <w:tab w:val="left" w:pos="960"/>
          <w:tab w:val="right" w:leader="dot" w:pos="8630"/>
        </w:tabs>
        <w:rPr>
          <w:noProof/>
          <w:kern w:val="2"/>
          <w:sz w:val="24"/>
          <w:szCs w:val="24"/>
          <w:lang w:eastAsia="fr-BE"/>
          <w14:ligatures w14:val="standardContextual"/>
        </w:rPr>
      </w:pPr>
      <w:hyperlink w:anchor="_Toc233626155"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Quel contenu pour le tableau du personnel (pièce justificative au budget) ?</w:t>
        </w:r>
        <w:r>
          <w:rPr>
            <w:noProof/>
            <w:webHidden/>
          </w:rPr>
          <w:tab/>
        </w:r>
        <w:r>
          <w:rPr>
            <w:noProof/>
            <w:webHidden/>
          </w:rPr>
          <w:fldChar w:fldCharType="begin"/>
        </w:r>
        <w:r>
          <w:rPr>
            <w:noProof/>
            <w:webHidden/>
          </w:rPr>
          <w:instrText xml:space="preserve"> PAGEREF _Toc233626155 \h </w:instrText>
        </w:r>
        <w:r>
          <w:rPr>
            <w:noProof/>
            <w:webHidden/>
          </w:rPr>
        </w:r>
        <w:r>
          <w:rPr>
            <w:noProof/>
            <w:webHidden/>
          </w:rPr>
          <w:fldChar w:fldCharType="separate"/>
        </w:r>
        <w:r w:rsidR="001E3978">
          <w:rPr>
            <w:noProof/>
            <w:webHidden/>
          </w:rPr>
          <w:t>67</w:t>
        </w:r>
        <w:r>
          <w:rPr>
            <w:noProof/>
            <w:webHidden/>
          </w:rPr>
          <w:fldChar w:fldCharType="end"/>
        </w:r>
      </w:hyperlink>
    </w:p>
    <w:p w14:paraId="5ED99DD7" w14:textId="227C543A" w:rsidR="00266B1F" w:rsidRDefault="00266B1F">
      <w:pPr>
        <w:pStyle w:val="TM3"/>
        <w:tabs>
          <w:tab w:val="left" w:pos="960"/>
          <w:tab w:val="right" w:leader="dot" w:pos="8630"/>
        </w:tabs>
        <w:rPr>
          <w:noProof/>
          <w:kern w:val="2"/>
          <w:sz w:val="24"/>
          <w:szCs w:val="24"/>
          <w:lang w:eastAsia="fr-BE"/>
          <w14:ligatures w14:val="standardContextual"/>
        </w:rPr>
      </w:pPr>
      <w:hyperlink w:anchor="_Toc233626156"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Quel plan de mouvement du personnel et d’embauche (≥ 2 ans) ?</w:t>
        </w:r>
        <w:r>
          <w:rPr>
            <w:noProof/>
            <w:webHidden/>
          </w:rPr>
          <w:tab/>
        </w:r>
        <w:r>
          <w:rPr>
            <w:noProof/>
            <w:webHidden/>
          </w:rPr>
          <w:fldChar w:fldCharType="begin"/>
        </w:r>
        <w:r>
          <w:rPr>
            <w:noProof/>
            <w:webHidden/>
          </w:rPr>
          <w:instrText xml:space="preserve"> PAGEREF _Toc233626156 \h </w:instrText>
        </w:r>
        <w:r>
          <w:rPr>
            <w:noProof/>
            <w:webHidden/>
          </w:rPr>
        </w:r>
        <w:r>
          <w:rPr>
            <w:noProof/>
            <w:webHidden/>
          </w:rPr>
          <w:fldChar w:fldCharType="separate"/>
        </w:r>
        <w:r w:rsidR="001E3978">
          <w:rPr>
            <w:noProof/>
            <w:webHidden/>
          </w:rPr>
          <w:t>67</w:t>
        </w:r>
        <w:r>
          <w:rPr>
            <w:noProof/>
            <w:webHidden/>
          </w:rPr>
          <w:fldChar w:fldCharType="end"/>
        </w:r>
      </w:hyperlink>
    </w:p>
    <w:p w14:paraId="5D8937CA" w14:textId="2A46DEAD" w:rsidR="00266B1F" w:rsidRDefault="00266B1F">
      <w:pPr>
        <w:pStyle w:val="TM3"/>
        <w:tabs>
          <w:tab w:val="left" w:pos="960"/>
          <w:tab w:val="right" w:leader="dot" w:pos="8630"/>
        </w:tabs>
        <w:rPr>
          <w:noProof/>
          <w:kern w:val="2"/>
          <w:sz w:val="24"/>
          <w:szCs w:val="24"/>
          <w:lang w:eastAsia="fr-BE"/>
          <w14:ligatures w14:val="standardContextual"/>
        </w:rPr>
      </w:pPr>
      <w:hyperlink w:anchor="_Toc233626157"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Faut</w:t>
        </w:r>
        <w:r w:rsidRPr="0027322A">
          <w:rPr>
            <w:rStyle w:val="Lienhypertexte"/>
            <w:noProof/>
          </w:rPr>
          <w:noBreakHyphen/>
          <w:t>il prévoir un plan de formation ?</w:t>
        </w:r>
        <w:r>
          <w:rPr>
            <w:noProof/>
            <w:webHidden/>
          </w:rPr>
          <w:tab/>
        </w:r>
        <w:r>
          <w:rPr>
            <w:noProof/>
            <w:webHidden/>
          </w:rPr>
          <w:fldChar w:fldCharType="begin"/>
        </w:r>
        <w:r>
          <w:rPr>
            <w:noProof/>
            <w:webHidden/>
          </w:rPr>
          <w:instrText xml:space="preserve"> PAGEREF _Toc233626157 \h </w:instrText>
        </w:r>
        <w:r>
          <w:rPr>
            <w:noProof/>
            <w:webHidden/>
          </w:rPr>
        </w:r>
        <w:r>
          <w:rPr>
            <w:noProof/>
            <w:webHidden/>
          </w:rPr>
          <w:fldChar w:fldCharType="separate"/>
        </w:r>
        <w:r w:rsidR="001E3978">
          <w:rPr>
            <w:noProof/>
            <w:webHidden/>
          </w:rPr>
          <w:t>67</w:t>
        </w:r>
        <w:r>
          <w:rPr>
            <w:noProof/>
            <w:webHidden/>
          </w:rPr>
          <w:fldChar w:fldCharType="end"/>
        </w:r>
      </w:hyperlink>
    </w:p>
    <w:p w14:paraId="742E35CB" w14:textId="5E37189A" w:rsidR="00266B1F" w:rsidRDefault="00266B1F">
      <w:pPr>
        <w:pStyle w:val="TM3"/>
        <w:tabs>
          <w:tab w:val="left" w:pos="960"/>
          <w:tab w:val="right" w:leader="dot" w:pos="8630"/>
        </w:tabs>
        <w:rPr>
          <w:noProof/>
          <w:kern w:val="2"/>
          <w:sz w:val="24"/>
          <w:szCs w:val="24"/>
          <w:lang w:eastAsia="fr-BE"/>
          <w14:ligatures w14:val="standardContextual"/>
        </w:rPr>
      </w:pPr>
      <w:hyperlink w:anchor="_Toc233626158" w:history="1">
        <w:r w:rsidRPr="0027322A">
          <w:rPr>
            <w:rStyle w:val="Lienhypertexte"/>
            <w:smallCaps/>
            <w:noProof/>
          </w:rPr>
          <w:t>F.</w:t>
        </w:r>
        <w:r>
          <w:rPr>
            <w:noProof/>
            <w:kern w:val="2"/>
            <w:sz w:val="24"/>
            <w:szCs w:val="24"/>
            <w:lang w:eastAsia="fr-BE"/>
            <w14:ligatures w14:val="standardContextual"/>
          </w:rPr>
          <w:tab/>
        </w:r>
        <w:r w:rsidRPr="0027322A">
          <w:rPr>
            <w:rStyle w:val="Lienhypertexte"/>
            <w:noProof/>
          </w:rPr>
          <w:t>Quelles attentes en pilotage RH et justification des engagements ?</w:t>
        </w:r>
        <w:r>
          <w:rPr>
            <w:noProof/>
            <w:webHidden/>
          </w:rPr>
          <w:tab/>
        </w:r>
        <w:r>
          <w:rPr>
            <w:noProof/>
            <w:webHidden/>
          </w:rPr>
          <w:fldChar w:fldCharType="begin"/>
        </w:r>
        <w:r>
          <w:rPr>
            <w:noProof/>
            <w:webHidden/>
          </w:rPr>
          <w:instrText xml:space="preserve"> PAGEREF _Toc233626158 \h </w:instrText>
        </w:r>
        <w:r>
          <w:rPr>
            <w:noProof/>
            <w:webHidden/>
          </w:rPr>
        </w:r>
        <w:r>
          <w:rPr>
            <w:noProof/>
            <w:webHidden/>
          </w:rPr>
          <w:fldChar w:fldCharType="separate"/>
        </w:r>
        <w:r w:rsidR="001E3978">
          <w:rPr>
            <w:noProof/>
            <w:webHidden/>
          </w:rPr>
          <w:t>67</w:t>
        </w:r>
        <w:r>
          <w:rPr>
            <w:noProof/>
            <w:webHidden/>
          </w:rPr>
          <w:fldChar w:fldCharType="end"/>
        </w:r>
      </w:hyperlink>
    </w:p>
    <w:p w14:paraId="2BD29ECA" w14:textId="5B1219AC" w:rsidR="00266B1F" w:rsidRDefault="00266B1F">
      <w:pPr>
        <w:pStyle w:val="TM3"/>
        <w:tabs>
          <w:tab w:val="left" w:pos="960"/>
          <w:tab w:val="right" w:leader="dot" w:pos="8630"/>
        </w:tabs>
        <w:rPr>
          <w:noProof/>
          <w:kern w:val="2"/>
          <w:sz w:val="24"/>
          <w:szCs w:val="24"/>
          <w:lang w:eastAsia="fr-BE"/>
          <w14:ligatures w14:val="standardContextual"/>
        </w:rPr>
      </w:pPr>
      <w:hyperlink w:anchor="_Toc233626159" w:history="1">
        <w:r w:rsidRPr="0027322A">
          <w:rPr>
            <w:rStyle w:val="Lienhypertexte"/>
            <w:smallCaps/>
            <w:noProof/>
          </w:rPr>
          <w:t>G.</w:t>
        </w:r>
        <w:r>
          <w:rPr>
            <w:noProof/>
            <w:kern w:val="2"/>
            <w:sz w:val="24"/>
            <w:szCs w:val="24"/>
            <w:lang w:eastAsia="fr-BE"/>
            <w14:ligatures w14:val="standardContextual"/>
          </w:rPr>
          <w:tab/>
        </w:r>
        <w:r w:rsidRPr="0027322A">
          <w:rPr>
            <w:rStyle w:val="Lienhypertexte"/>
            <w:noProof/>
          </w:rPr>
          <w:t>Comment budgéter la cotisation de solidarité (pensions statutaires) en 2027 ?</w:t>
        </w:r>
        <w:r>
          <w:rPr>
            <w:noProof/>
            <w:webHidden/>
          </w:rPr>
          <w:tab/>
        </w:r>
        <w:r>
          <w:rPr>
            <w:noProof/>
            <w:webHidden/>
          </w:rPr>
          <w:fldChar w:fldCharType="begin"/>
        </w:r>
        <w:r>
          <w:rPr>
            <w:noProof/>
            <w:webHidden/>
          </w:rPr>
          <w:instrText xml:space="preserve"> PAGEREF _Toc233626159 \h </w:instrText>
        </w:r>
        <w:r>
          <w:rPr>
            <w:noProof/>
            <w:webHidden/>
          </w:rPr>
        </w:r>
        <w:r>
          <w:rPr>
            <w:noProof/>
            <w:webHidden/>
          </w:rPr>
          <w:fldChar w:fldCharType="separate"/>
        </w:r>
        <w:r w:rsidR="001E3978">
          <w:rPr>
            <w:noProof/>
            <w:webHidden/>
          </w:rPr>
          <w:t>67</w:t>
        </w:r>
        <w:r>
          <w:rPr>
            <w:noProof/>
            <w:webHidden/>
          </w:rPr>
          <w:fldChar w:fldCharType="end"/>
        </w:r>
      </w:hyperlink>
    </w:p>
    <w:p w14:paraId="4A22708B" w14:textId="3A6F041A" w:rsidR="00266B1F" w:rsidRDefault="00266B1F">
      <w:pPr>
        <w:pStyle w:val="TM3"/>
        <w:tabs>
          <w:tab w:val="left" w:pos="960"/>
          <w:tab w:val="right" w:leader="dot" w:pos="8630"/>
        </w:tabs>
        <w:rPr>
          <w:noProof/>
          <w:kern w:val="2"/>
          <w:sz w:val="24"/>
          <w:szCs w:val="24"/>
          <w:lang w:eastAsia="fr-BE"/>
          <w14:ligatures w14:val="standardContextual"/>
        </w:rPr>
      </w:pPr>
      <w:hyperlink w:anchor="_Toc233626160" w:history="1">
        <w:r w:rsidRPr="0027322A">
          <w:rPr>
            <w:rStyle w:val="Lienhypertexte"/>
            <w:smallCaps/>
            <w:noProof/>
          </w:rPr>
          <w:t>H.</w:t>
        </w:r>
        <w:r>
          <w:rPr>
            <w:noProof/>
            <w:kern w:val="2"/>
            <w:sz w:val="24"/>
            <w:szCs w:val="24"/>
            <w:lang w:eastAsia="fr-BE"/>
            <w14:ligatures w14:val="standardContextual"/>
          </w:rPr>
          <w:tab/>
        </w:r>
        <w:r w:rsidRPr="0027322A">
          <w:rPr>
            <w:rStyle w:val="Lienhypertexte"/>
            <w:noProof/>
          </w:rPr>
          <w:t>Et la cotisation de responsabilisation ONSS (millésime 2026) ?</w:t>
        </w:r>
        <w:r>
          <w:rPr>
            <w:noProof/>
            <w:webHidden/>
          </w:rPr>
          <w:tab/>
        </w:r>
        <w:r>
          <w:rPr>
            <w:noProof/>
            <w:webHidden/>
          </w:rPr>
          <w:fldChar w:fldCharType="begin"/>
        </w:r>
        <w:r>
          <w:rPr>
            <w:noProof/>
            <w:webHidden/>
          </w:rPr>
          <w:instrText xml:space="preserve"> PAGEREF _Toc233626160 \h </w:instrText>
        </w:r>
        <w:r>
          <w:rPr>
            <w:noProof/>
            <w:webHidden/>
          </w:rPr>
        </w:r>
        <w:r>
          <w:rPr>
            <w:noProof/>
            <w:webHidden/>
          </w:rPr>
          <w:fldChar w:fldCharType="separate"/>
        </w:r>
        <w:r w:rsidR="001E3978">
          <w:rPr>
            <w:noProof/>
            <w:webHidden/>
          </w:rPr>
          <w:t>67</w:t>
        </w:r>
        <w:r>
          <w:rPr>
            <w:noProof/>
            <w:webHidden/>
          </w:rPr>
          <w:fldChar w:fldCharType="end"/>
        </w:r>
      </w:hyperlink>
    </w:p>
    <w:p w14:paraId="26445113" w14:textId="3DF33CB8" w:rsidR="00266B1F" w:rsidRDefault="00266B1F">
      <w:pPr>
        <w:pStyle w:val="TM3"/>
        <w:tabs>
          <w:tab w:val="left" w:pos="960"/>
          <w:tab w:val="right" w:leader="dot" w:pos="8630"/>
        </w:tabs>
        <w:rPr>
          <w:noProof/>
          <w:kern w:val="2"/>
          <w:sz w:val="24"/>
          <w:szCs w:val="24"/>
          <w:lang w:eastAsia="fr-BE"/>
          <w14:ligatures w14:val="standardContextual"/>
        </w:rPr>
      </w:pPr>
      <w:hyperlink w:anchor="_Toc233626161" w:history="1">
        <w:r w:rsidRPr="0027322A">
          <w:rPr>
            <w:rStyle w:val="Lienhypertexte"/>
            <w:smallCaps/>
            <w:noProof/>
          </w:rPr>
          <w:t>I.</w:t>
        </w:r>
        <w:r>
          <w:rPr>
            <w:noProof/>
            <w:kern w:val="2"/>
            <w:sz w:val="24"/>
            <w:szCs w:val="24"/>
            <w:lang w:eastAsia="fr-BE"/>
            <w14:ligatures w14:val="standardContextual"/>
          </w:rPr>
          <w:tab/>
        </w:r>
        <w:r w:rsidRPr="0027322A">
          <w:rPr>
            <w:rStyle w:val="Lienhypertexte"/>
            <w:noProof/>
          </w:rPr>
          <w:t>Cas des communes finançant la cotisation de responsabilisation via un emprunt CRAC rapatrié à l’exercice propre ?</w:t>
        </w:r>
        <w:r>
          <w:rPr>
            <w:noProof/>
            <w:webHidden/>
          </w:rPr>
          <w:tab/>
        </w:r>
        <w:r>
          <w:rPr>
            <w:noProof/>
            <w:webHidden/>
          </w:rPr>
          <w:fldChar w:fldCharType="begin"/>
        </w:r>
        <w:r>
          <w:rPr>
            <w:noProof/>
            <w:webHidden/>
          </w:rPr>
          <w:instrText xml:space="preserve"> PAGEREF _Toc233626161 \h </w:instrText>
        </w:r>
        <w:r>
          <w:rPr>
            <w:noProof/>
            <w:webHidden/>
          </w:rPr>
        </w:r>
        <w:r>
          <w:rPr>
            <w:noProof/>
            <w:webHidden/>
          </w:rPr>
          <w:fldChar w:fldCharType="separate"/>
        </w:r>
        <w:r w:rsidR="001E3978">
          <w:rPr>
            <w:noProof/>
            <w:webHidden/>
          </w:rPr>
          <w:t>67</w:t>
        </w:r>
        <w:r>
          <w:rPr>
            <w:noProof/>
            <w:webHidden/>
          </w:rPr>
          <w:fldChar w:fldCharType="end"/>
        </w:r>
      </w:hyperlink>
    </w:p>
    <w:p w14:paraId="25E711CE" w14:textId="7557F568" w:rsidR="00266B1F" w:rsidRDefault="00266B1F">
      <w:pPr>
        <w:pStyle w:val="TM3"/>
        <w:tabs>
          <w:tab w:val="left" w:pos="960"/>
          <w:tab w:val="right" w:leader="dot" w:pos="8630"/>
        </w:tabs>
        <w:rPr>
          <w:noProof/>
          <w:kern w:val="2"/>
          <w:sz w:val="24"/>
          <w:szCs w:val="24"/>
          <w:lang w:eastAsia="fr-BE"/>
          <w14:ligatures w14:val="standardContextual"/>
        </w:rPr>
      </w:pPr>
      <w:hyperlink w:anchor="_Toc233626162" w:history="1">
        <w:r w:rsidRPr="0027322A">
          <w:rPr>
            <w:rStyle w:val="Lienhypertexte"/>
            <w:smallCaps/>
            <w:noProof/>
          </w:rPr>
          <w:t>J.</w:t>
        </w:r>
        <w:r>
          <w:rPr>
            <w:noProof/>
            <w:kern w:val="2"/>
            <w:sz w:val="24"/>
            <w:szCs w:val="24"/>
            <w:lang w:eastAsia="fr-BE"/>
            <w14:ligatures w14:val="standardContextual"/>
          </w:rPr>
          <w:tab/>
        </w:r>
        <w:r w:rsidRPr="0027322A">
          <w:rPr>
            <w:rStyle w:val="Lienhypertexte"/>
            <w:noProof/>
          </w:rPr>
          <w:t>Second pilier de pension : quels régimes et quel incitant fédéral ?</w:t>
        </w:r>
        <w:r>
          <w:rPr>
            <w:noProof/>
            <w:webHidden/>
          </w:rPr>
          <w:tab/>
        </w:r>
        <w:r>
          <w:rPr>
            <w:noProof/>
            <w:webHidden/>
          </w:rPr>
          <w:fldChar w:fldCharType="begin"/>
        </w:r>
        <w:r>
          <w:rPr>
            <w:noProof/>
            <w:webHidden/>
          </w:rPr>
          <w:instrText xml:space="preserve"> PAGEREF _Toc233626162 \h </w:instrText>
        </w:r>
        <w:r>
          <w:rPr>
            <w:noProof/>
            <w:webHidden/>
          </w:rPr>
        </w:r>
        <w:r>
          <w:rPr>
            <w:noProof/>
            <w:webHidden/>
          </w:rPr>
          <w:fldChar w:fldCharType="separate"/>
        </w:r>
        <w:r w:rsidR="001E3978">
          <w:rPr>
            <w:noProof/>
            <w:webHidden/>
          </w:rPr>
          <w:t>67</w:t>
        </w:r>
        <w:r>
          <w:rPr>
            <w:noProof/>
            <w:webHidden/>
          </w:rPr>
          <w:fldChar w:fldCharType="end"/>
        </w:r>
      </w:hyperlink>
    </w:p>
    <w:p w14:paraId="2CA2E5C0" w14:textId="0CBA94B8" w:rsidR="00266B1F" w:rsidRDefault="00266B1F">
      <w:pPr>
        <w:pStyle w:val="TM3"/>
        <w:tabs>
          <w:tab w:val="left" w:pos="960"/>
          <w:tab w:val="right" w:leader="dot" w:pos="8630"/>
        </w:tabs>
        <w:rPr>
          <w:noProof/>
          <w:kern w:val="2"/>
          <w:sz w:val="24"/>
          <w:szCs w:val="24"/>
          <w:lang w:eastAsia="fr-BE"/>
          <w14:ligatures w14:val="standardContextual"/>
        </w:rPr>
      </w:pPr>
      <w:hyperlink w:anchor="_Toc233626163" w:history="1">
        <w:r w:rsidRPr="0027322A">
          <w:rPr>
            <w:rStyle w:val="Lienhypertexte"/>
            <w:smallCaps/>
            <w:noProof/>
          </w:rPr>
          <w:t>K.</w:t>
        </w:r>
        <w:r>
          <w:rPr>
            <w:noProof/>
            <w:kern w:val="2"/>
            <w:sz w:val="24"/>
            <w:szCs w:val="24"/>
            <w:lang w:eastAsia="fr-BE"/>
            <w14:ligatures w14:val="standardContextual"/>
          </w:rPr>
          <w:tab/>
        </w:r>
        <w:r w:rsidRPr="0027322A">
          <w:rPr>
            <w:rStyle w:val="Lienhypertexte"/>
            <w:noProof/>
          </w:rPr>
          <w:t>Quels sont les critères de taille minimum pour avoir accès à l’incitant à la mise en place d’un second pilier pour les agents contractuels ?</w:t>
        </w:r>
        <w:r>
          <w:rPr>
            <w:noProof/>
            <w:webHidden/>
          </w:rPr>
          <w:tab/>
        </w:r>
        <w:r>
          <w:rPr>
            <w:noProof/>
            <w:webHidden/>
          </w:rPr>
          <w:fldChar w:fldCharType="begin"/>
        </w:r>
        <w:r>
          <w:rPr>
            <w:noProof/>
            <w:webHidden/>
          </w:rPr>
          <w:instrText xml:space="preserve"> PAGEREF _Toc233626163 \h </w:instrText>
        </w:r>
        <w:r>
          <w:rPr>
            <w:noProof/>
            <w:webHidden/>
          </w:rPr>
        </w:r>
        <w:r>
          <w:rPr>
            <w:noProof/>
            <w:webHidden/>
          </w:rPr>
          <w:fldChar w:fldCharType="separate"/>
        </w:r>
        <w:r w:rsidR="001E3978">
          <w:rPr>
            <w:noProof/>
            <w:webHidden/>
          </w:rPr>
          <w:t>68</w:t>
        </w:r>
        <w:r>
          <w:rPr>
            <w:noProof/>
            <w:webHidden/>
          </w:rPr>
          <w:fldChar w:fldCharType="end"/>
        </w:r>
      </w:hyperlink>
    </w:p>
    <w:p w14:paraId="0054CF65" w14:textId="1BC9EA02" w:rsidR="00266B1F" w:rsidRDefault="00266B1F">
      <w:pPr>
        <w:pStyle w:val="TM3"/>
        <w:tabs>
          <w:tab w:val="left" w:pos="960"/>
          <w:tab w:val="right" w:leader="dot" w:pos="8630"/>
        </w:tabs>
        <w:rPr>
          <w:noProof/>
          <w:kern w:val="2"/>
          <w:sz w:val="24"/>
          <w:szCs w:val="24"/>
          <w:lang w:eastAsia="fr-BE"/>
          <w14:ligatures w14:val="standardContextual"/>
        </w:rPr>
      </w:pPr>
      <w:hyperlink w:anchor="_Toc233626164" w:history="1">
        <w:r w:rsidRPr="0027322A">
          <w:rPr>
            <w:rStyle w:val="Lienhypertexte"/>
            <w:smallCaps/>
            <w:noProof/>
          </w:rPr>
          <w:t>L.</w:t>
        </w:r>
        <w:r>
          <w:rPr>
            <w:noProof/>
            <w:kern w:val="2"/>
            <w:sz w:val="24"/>
            <w:szCs w:val="24"/>
            <w:lang w:eastAsia="fr-BE"/>
            <w14:ligatures w14:val="standardContextual"/>
          </w:rPr>
          <w:tab/>
        </w:r>
        <w:r w:rsidRPr="0027322A">
          <w:rPr>
            <w:rStyle w:val="Lienhypertexte"/>
            <w:noProof/>
          </w:rPr>
          <w:t>Où imputer l’alimentation (prime unique) d’un fonds de pension – second pilier ?</w:t>
        </w:r>
        <w:r>
          <w:rPr>
            <w:noProof/>
            <w:webHidden/>
          </w:rPr>
          <w:tab/>
        </w:r>
        <w:r>
          <w:rPr>
            <w:noProof/>
            <w:webHidden/>
          </w:rPr>
          <w:fldChar w:fldCharType="begin"/>
        </w:r>
        <w:r>
          <w:rPr>
            <w:noProof/>
            <w:webHidden/>
          </w:rPr>
          <w:instrText xml:space="preserve"> PAGEREF _Toc233626164 \h </w:instrText>
        </w:r>
        <w:r>
          <w:rPr>
            <w:noProof/>
            <w:webHidden/>
          </w:rPr>
        </w:r>
        <w:r>
          <w:rPr>
            <w:noProof/>
            <w:webHidden/>
          </w:rPr>
          <w:fldChar w:fldCharType="separate"/>
        </w:r>
        <w:r w:rsidR="001E3978">
          <w:rPr>
            <w:noProof/>
            <w:webHidden/>
          </w:rPr>
          <w:t>68</w:t>
        </w:r>
        <w:r>
          <w:rPr>
            <w:noProof/>
            <w:webHidden/>
          </w:rPr>
          <w:fldChar w:fldCharType="end"/>
        </w:r>
      </w:hyperlink>
    </w:p>
    <w:p w14:paraId="50A50499" w14:textId="5873FB67" w:rsidR="00266B1F" w:rsidRDefault="00266B1F">
      <w:pPr>
        <w:pStyle w:val="TM3"/>
        <w:tabs>
          <w:tab w:val="left" w:pos="960"/>
          <w:tab w:val="right" w:leader="dot" w:pos="8630"/>
        </w:tabs>
        <w:rPr>
          <w:noProof/>
          <w:kern w:val="2"/>
          <w:sz w:val="24"/>
          <w:szCs w:val="24"/>
          <w:lang w:eastAsia="fr-BE"/>
          <w14:ligatures w14:val="standardContextual"/>
        </w:rPr>
      </w:pPr>
      <w:hyperlink w:anchor="_Toc233626165" w:history="1">
        <w:r w:rsidRPr="0027322A">
          <w:rPr>
            <w:rStyle w:val="Lienhypertexte"/>
            <w:smallCaps/>
            <w:noProof/>
          </w:rPr>
          <w:t>M.</w:t>
        </w:r>
        <w:r>
          <w:rPr>
            <w:noProof/>
            <w:kern w:val="2"/>
            <w:sz w:val="24"/>
            <w:szCs w:val="24"/>
            <w:lang w:eastAsia="fr-BE"/>
            <w14:ligatures w14:val="standardContextual"/>
          </w:rPr>
          <w:tab/>
        </w:r>
        <w:r w:rsidRPr="0027322A">
          <w:rPr>
            <w:rStyle w:val="Lienhypertexte"/>
            <w:noProof/>
          </w:rPr>
          <w:t>Pourquoi cette dépense ne relève-t-elle pas de l’extraordinaire ?</w:t>
        </w:r>
        <w:r>
          <w:rPr>
            <w:noProof/>
            <w:webHidden/>
          </w:rPr>
          <w:tab/>
        </w:r>
        <w:r>
          <w:rPr>
            <w:noProof/>
            <w:webHidden/>
          </w:rPr>
          <w:fldChar w:fldCharType="begin"/>
        </w:r>
        <w:r>
          <w:rPr>
            <w:noProof/>
            <w:webHidden/>
          </w:rPr>
          <w:instrText xml:space="preserve"> PAGEREF _Toc233626165 \h </w:instrText>
        </w:r>
        <w:r>
          <w:rPr>
            <w:noProof/>
            <w:webHidden/>
          </w:rPr>
        </w:r>
        <w:r>
          <w:rPr>
            <w:noProof/>
            <w:webHidden/>
          </w:rPr>
          <w:fldChar w:fldCharType="separate"/>
        </w:r>
        <w:r w:rsidR="001E3978">
          <w:rPr>
            <w:noProof/>
            <w:webHidden/>
          </w:rPr>
          <w:t>68</w:t>
        </w:r>
        <w:r>
          <w:rPr>
            <w:noProof/>
            <w:webHidden/>
          </w:rPr>
          <w:fldChar w:fldCharType="end"/>
        </w:r>
      </w:hyperlink>
    </w:p>
    <w:p w14:paraId="65AE302E" w14:textId="020AB133" w:rsidR="00266B1F" w:rsidRDefault="00266B1F">
      <w:pPr>
        <w:pStyle w:val="TM3"/>
        <w:tabs>
          <w:tab w:val="left" w:pos="960"/>
          <w:tab w:val="right" w:leader="dot" w:pos="8630"/>
        </w:tabs>
        <w:rPr>
          <w:noProof/>
          <w:kern w:val="2"/>
          <w:sz w:val="24"/>
          <w:szCs w:val="24"/>
          <w:lang w:eastAsia="fr-BE"/>
          <w14:ligatures w14:val="standardContextual"/>
        </w:rPr>
      </w:pPr>
      <w:hyperlink w:anchor="_Toc233626166" w:history="1">
        <w:r w:rsidRPr="0027322A">
          <w:rPr>
            <w:rStyle w:val="Lienhypertexte"/>
            <w:smallCaps/>
            <w:noProof/>
          </w:rPr>
          <w:t>N.</w:t>
        </w:r>
        <w:r>
          <w:rPr>
            <w:noProof/>
            <w:kern w:val="2"/>
            <w:sz w:val="24"/>
            <w:szCs w:val="24"/>
            <w:lang w:eastAsia="fr-BE"/>
            <w14:ligatures w14:val="standardContextual"/>
          </w:rPr>
          <w:tab/>
        </w:r>
        <w:r w:rsidRPr="0027322A">
          <w:rPr>
            <w:rStyle w:val="Lienhypertexte"/>
            <w:noProof/>
          </w:rPr>
          <w:t>Peut-on financer une dépense ordinaire via un emprunt ou une recette extraordinaire ?</w:t>
        </w:r>
        <w:r>
          <w:rPr>
            <w:noProof/>
            <w:webHidden/>
          </w:rPr>
          <w:tab/>
        </w:r>
        <w:r>
          <w:rPr>
            <w:noProof/>
            <w:webHidden/>
          </w:rPr>
          <w:fldChar w:fldCharType="begin"/>
        </w:r>
        <w:r>
          <w:rPr>
            <w:noProof/>
            <w:webHidden/>
          </w:rPr>
          <w:instrText xml:space="preserve"> PAGEREF _Toc233626166 \h </w:instrText>
        </w:r>
        <w:r>
          <w:rPr>
            <w:noProof/>
            <w:webHidden/>
          </w:rPr>
        </w:r>
        <w:r>
          <w:rPr>
            <w:noProof/>
            <w:webHidden/>
          </w:rPr>
          <w:fldChar w:fldCharType="separate"/>
        </w:r>
        <w:r w:rsidR="001E3978">
          <w:rPr>
            <w:noProof/>
            <w:webHidden/>
          </w:rPr>
          <w:t>68</w:t>
        </w:r>
        <w:r>
          <w:rPr>
            <w:noProof/>
            <w:webHidden/>
          </w:rPr>
          <w:fldChar w:fldCharType="end"/>
        </w:r>
      </w:hyperlink>
    </w:p>
    <w:p w14:paraId="667B51B0" w14:textId="06A3D13F" w:rsidR="00266B1F" w:rsidRDefault="00266B1F">
      <w:pPr>
        <w:pStyle w:val="TM3"/>
        <w:tabs>
          <w:tab w:val="left" w:pos="960"/>
          <w:tab w:val="right" w:leader="dot" w:pos="8630"/>
        </w:tabs>
        <w:rPr>
          <w:noProof/>
          <w:kern w:val="2"/>
          <w:sz w:val="24"/>
          <w:szCs w:val="24"/>
          <w:lang w:eastAsia="fr-BE"/>
          <w14:ligatures w14:val="standardContextual"/>
        </w:rPr>
      </w:pPr>
      <w:hyperlink w:anchor="_Toc233626167" w:history="1">
        <w:r w:rsidRPr="0027322A">
          <w:rPr>
            <w:rStyle w:val="Lienhypertexte"/>
            <w:smallCaps/>
            <w:noProof/>
          </w:rPr>
          <w:t>O.</w:t>
        </w:r>
        <w:r>
          <w:rPr>
            <w:noProof/>
            <w:kern w:val="2"/>
            <w:sz w:val="24"/>
            <w:szCs w:val="24"/>
            <w:lang w:eastAsia="fr-BE"/>
            <w14:ligatures w14:val="standardContextual"/>
          </w:rPr>
          <w:tab/>
        </w:r>
        <w:r w:rsidRPr="0027322A">
          <w:rPr>
            <w:rStyle w:val="Lienhypertexte"/>
            <w:noProof/>
          </w:rPr>
          <w:t>Existe-t-il des précédents qui confirment l’imputation à l’ordinaire ?</w:t>
        </w:r>
        <w:r>
          <w:rPr>
            <w:noProof/>
            <w:webHidden/>
          </w:rPr>
          <w:tab/>
        </w:r>
        <w:r>
          <w:rPr>
            <w:noProof/>
            <w:webHidden/>
          </w:rPr>
          <w:fldChar w:fldCharType="begin"/>
        </w:r>
        <w:r>
          <w:rPr>
            <w:noProof/>
            <w:webHidden/>
          </w:rPr>
          <w:instrText xml:space="preserve"> PAGEREF _Toc233626167 \h </w:instrText>
        </w:r>
        <w:r>
          <w:rPr>
            <w:noProof/>
            <w:webHidden/>
          </w:rPr>
        </w:r>
        <w:r>
          <w:rPr>
            <w:noProof/>
            <w:webHidden/>
          </w:rPr>
          <w:fldChar w:fldCharType="separate"/>
        </w:r>
        <w:r w:rsidR="001E3978">
          <w:rPr>
            <w:noProof/>
            <w:webHidden/>
          </w:rPr>
          <w:t>69</w:t>
        </w:r>
        <w:r>
          <w:rPr>
            <w:noProof/>
            <w:webHidden/>
          </w:rPr>
          <w:fldChar w:fldCharType="end"/>
        </w:r>
      </w:hyperlink>
    </w:p>
    <w:p w14:paraId="23F9CC3E" w14:textId="51673A18" w:rsidR="00266B1F" w:rsidRDefault="00266B1F">
      <w:pPr>
        <w:pStyle w:val="TM3"/>
        <w:tabs>
          <w:tab w:val="left" w:pos="960"/>
          <w:tab w:val="right" w:leader="dot" w:pos="8630"/>
        </w:tabs>
        <w:rPr>
          <w:noProof/>
          <w:kern w:val="2"/>
          <w:sz w:val="24"/>
          <w:szCs w:val="24"/>
          <w:lang w:eastAsia="fr-BE"/>
          <w14:ligatures w14:val="standardContextual"/>
        </w:rPr>
      </w:pPr>
      <w:hyperlink w:anchor="_Toc233626168" w:history="1">
        <w:r w:rsidRPr="0027322A">
          <w:rPr>
            <w:rStyle w:val="Lienhypertexte"/>
            <w:smallCaps/>
            <w:noProof/>
          </w:rPr>
          <w:t>P.</w:t>
        </w:r>
        <w:r>
          <w:rPr>
            <w:noProof/>
            <w:kern w:val="2"/>
            <w:sz w:val="24"/>
            <w:szCs w:val="24"/>
            <w:lang w:eastAsia="fr-BE"/>
            <w14:ligatures w14:val="standardContextual"/>
          </w:rPr>
          <w:tab/>
        </w:r>
        <w:r w:rsidRPr="0027322A">
          <w:rPr>
            <w:rStyle w:val="Lienhypertexte"/>
            <w:noProof/>
          </w:rPr>
          <w:t>Comment affecter le personnel rattaché au Président de CPAS exerçant aussi la fonction d’Échevin ?</w:t>
        </w:r>
        <w:r>
          <w:rPr>
            <w:noProof/>
            <w:webHidden/>
          </w:rPr>
          <w:tab/>
        </w:r>
        <w:r>
          <w:rPr>
            <w:noProof/>
            <w:webHidden/>
          </w:rPr>
          <w:fldChar w:fldCharType="begin"/>
        </w:r>
        <w:r>
          <w:rPr>
            <w:noProof/>
            <w:webHidden/>
          </w:rPr>
          <w:instrText xml:space="preserve"> PAGEREF _Toc233626168 \h </w:instrText>
        </w:r>
        <w:r>
          <w:rPr>
            <w:noProof/>
            <w:webHidden/>
          </w:rPr>
        </w:r>
        <w:r>
          <w:rPr>
            <w:noProof/>
            <w:webHidden/>
          </w:rPr>
          <w:fldChar w:fldCharType="separate"/>
        </w:r>
        <w:r w:rsidR="001E3978">
          <w:rPr>
            <w:noProof/>
            <w:webHidden/>
          </w:rPr>
          <w:t>69</w:t>
        </w:r>
        <w:r>
          <w:rPr>
            <w:noProof/>
            <w:webHidden/>
          </w:rPr>
          <w:fldChar w:fldCharType="end"/>
        </w:r>
      </w:hyperlink>
    </w:p>
    <w:p w14:paraId="411D314D" w14:textId="4AAC082B" w:rsidR="00266B1F" w:rsidRDefault="00266B1F">
      <w:pPr>
        <w:pStyle w:val="TM3"/>
        <w:tabs>
          <w:tab w:val="left" w:pos="960"/>
          <w:tab w:val="right" w:leader="dot" w:pos="8630"/>
        </w:tabs>
        <w:rPr>
          <w:noProof/>
          <w:kern w:val="2"/>
          <w:sz w:val="24"/>
          <w:szCs w:val="24"/>
          <w:lang w:eastAsia="fr-BE"/>
          <w14:ligatures w14:val="standardContextual"/>
        </w:rPr>
      </w:pPr>
      <w:hyperlink w:anchor="_Toc233626169" w:history="1">
        <w:r w:rsidRPr="0027322A">
          <w:rPr>
            <w:rStyle w:val="Lienhypertexte"/>
            <w:smallCaps/>
            <w:noProof/>
          </w:rPr>
          <w:t>Q.</w:t>
        </w:r>
        <w:r>
          <w:rPr>
            <w:noProof/>
            <w:kern w:val="2"/>
            <w:sz w:val="24"/>
            <w:szCs w:val="24"/>
            <w:lang w:eastAsia="fr-BE"/>
            <w14:ligatures w14:val="standardContextual"/>
          </w:rPr>
          <w:tab/>
        </w:r>
        <w:r w:rsidRPr="0027322A">
          <w:rPr>
            <w:rStyle w:val="Lienhypertexte"/>
            <w:noProof/>
          </w:rPr>
          <w:t>Références pour les receveurs régionaux ?</w:t>
        </w:r>
        <w:r>
          <w:rPr>
            <w:noProof/>
            <w:webHidden/>
          </w:rPr>
          <w:tab/>
        </w:r>
        <w:r>
          <w:rPr>
            <w:noProof/>
            <w:webHidden/>
          </w:rPr>
          <w:fldChar w:fldCharType="begin"/>
        </w:r>
        <w:r>
          <w:rPr>
            <w:noProof/>
            <w:webHidden/>
          </w:rPr>
          <w:instrText xml:space="preserve"> PAGEREF _Toc233626169 \h </w:instrText>
        </w:r>
        <w:r>
          <w:rPr>
            <w:noProof/>
            <w:webHidden/>
          </w:rPr>
        </w:r>
        <w:r>
          <w:rPr>
            <w:noProof/>
            <w:webHidden/>
          </w:rPr>
          <w:fldChar w:fldCharType="separate"/>
        </w:r>
        <w:r w:rsidR="001E3978">
          <w:rPr>
            <w:noProof/>
            <w:webHidden/>
          </w:rPr>
          <w:t>69</w:t>
        </w:r>
        <w:r>
          <w:rPr>
            <w:noProof/>
            <w:webHidden/>
          </w:rPr>
          <w:fldChar w:fldCharType="end"/>
        </w:r>
      </w:hyperlink>
    </w:p>
    <w:p w14:paraId="17F93B74" w14:textId="68A1DCE8" w:rsidR="00266B1F" w:rsidRDefault="00266B1F">
      <w:pPr>
        <w:pStyle w:val="TM3"/>
        <w:tabs>
          <w:tab w:val="left" w:pos="960"/>
          <w:tab w:val="right" w:leader="dot" w:pos="8630"/>
        </w:tabs>
        <w:rPr>
          <w:noProof/>
          <w:kern w:val="2"/>
          <w:sz w:val="24"/>
          <w:szCs w:val="24"/>
          <w:lang w:eastAsia="fr-BE"/>
          <w14:ligatures w14:val="standardContextual"/>
        </w:rPr>
      </w:pPr>
      <w:hyperlink w:anchor="_Toc233626170" w:history="1">
        <w:r w:rsidRPr="0027322A">
          <w:rPr>
            <w:rStyle w:val="Lienhypertexte"/>
            <w:smallCaps/>
            <w:noProof/>
          </w:rPr>
          <w:t>R.</w:t>
        </w:r>
        <w:r>
          <w:rPr>
            <w:noProof/>
            <w:kern w:val="2"/>
            <w:sz w:val="24"/>
            <w:szCs w:val="24"/>
            <w:lang w:eastAsia="fr-BE"/>
            <w14:ligatures w14:val="standardContextual"/>
          </w:rPr>
          <w:tab/>
        </w:r>
        <w:r w:rsidRPr="0027322A">
          <w:rPr>
            <w:rStyle w:val="Lienhypertexte"/>
            <w:noProof/>
          </w:rPr>
          <w:t>Doit-on porter au budget/aux comptes des inscriptions liées aux enseignants FWB ?</w:t>
        </w:r>
        <w:r>
          <w:rPr>
            <w:noProof/>
            <w:webHidden/>
          </w:rPr>
          <w:tab/>
        </w:r>
        <w:r>
          <w:rPr>
            <w:noProof/>
            <w:webHidden/>
          </w:rPr>
          <w:fldChar w:fldCharType="begin"/>
        </w:r>
        <w:r>
          <w:rPr>
            <w:noProof/>
            <w:webHidden/>
          </w:rPr>
          <w:instrText xml:space="preserve"> PAGEREF _Toc233626170 \h </w:instrText>
        </w:r>
        <w:r>
          <w:rPr>
            <w:noProof/>
            <w:webHidden/>
          </w:rPr>
        </w:r>
        <w:r>
          <w:rPr>
            <w:noProof/>
            <w:webHidden/>
          </w:rPr>
          <w:fldChar w:fldCharType="separate"/>
        </w:r>
        <w:r w:rsidR="001E3978">
          <w:rPr>
            <w:noProof/>
            <w:webHidden/>
          </w:rPr>
          <w:t>69</w:t>
        </w:r>
        <w:r>
          <w:rPr>
            <w:noProof/>
            <w:webHidden/>
          </w:rPr>
          <w:fldChar w:fldCharType="end"/>
        </w:r>
      </w:hyperlink>
    </w:p>
    <w:p w14:paraId="4F6A9ADF" w14:textId="5B24ECF6" w:rsidR="00266B1F" w:rsidRDefault="00266B1F">
      <w:pPr>
        <w:pStyle w:val="TM3"/>
        <w:tabs>
          <w:tab w:val="left" w:pos="960"/>
          <w:tab w:val="right" w:leader="dot" w:pos="8630"/>
        </w:tabs>
        <w:rPr>
          <w:noProof/>
          <w:kern w:val="2"/>
          <w:sz w:val="24"/>
          <w:szCs w:val="24"/>
          <w:lang w:eastAsia="fr-BE"/>
          <w14:ligatures w14:val="standardContextual"/>
        </w:rPr>
      </w:pPr>
      <w:hyperlink w:anchor="_Toc233626171" w:history="1">
        <w:r w:rsidRPr="0027322A">
          <w:rPr>
            <w:rStyle w:val="Lienhypertexte"/>
            <w:smallCaps/>
            <w:noProof/>
          </w:rPr>
          <w:t>S.</w:t>
        </w:r>
        <w:r>
          <w:rPr>
            <w:noProof/>
            <w:kern w:val="2"/>
            <w:sz w:val="24"/>
            <w:szCs w:val="24"/>
            <w:lang w:eastAsia="fr-BE"/>
            <w14:ligatures w14:val="standardContextual"/>
          </w:rPr>
          <w:tab/>
        </w:r>
        <w:r w:rsidRPr="0027322A">
          <w:rPr>
            <w:rStyle w:val="Lienhypertexte"/>
            <w:noProof/>
          </w:rPr>
          <w:t>Comment inscrire les agents APE (recettes et cotisations ONSS) ?</w:t>
        </w:r>
        <w:r>
          <w:rPr>
            <w:noProof/>
            <w:webHidden/>
          </w:rPr>
          <w:tab/>
        </w:r>
        <w:r>
          <w:rPr>
            <w:noProof/>
            <w:webHidden/>
          </w:rPr>
          <w:fldChar w:fldCharType="begin"/>
        </w:r>
        <w:r>
          <w:rPr>
            <w:noProof/>
            <w:webHidden/>
          </w:rPr>
          <w:instrText xml:space="preserve"> PAGEREF _Toc233626171 \h </w:instrText>
        </w:r>
        <w:r>
          <w:rPr>
            <w:noProof/>
            <w:webHidden/>
          </w:rPr>
        </w:r>
        <w:r>
          <w:rPr>
            <w:noProof/>
            <w:webHidden/>
          </w:rPr>
          <w:fldChar w:fldCharType="separate"/>
        </w:r>
        <w:r w:rsidR="001E3978">
          <w:rPr>
            <w:noProof/>
            <w:webHidden/>
          </w:rPr>
          <w:t>69</w:t>
        </w:r>
        <w:r>
          <w:rPr>
            <w:noProof/>
            <w:webHidden/>
          </w:rPr>
          <w:fldChar w:fldCharType="end"/>
        </w:r>
      </w:hyperlink>
    </w:p>
    <w:p w14:paraId="47C42CA9" w14:textId="4633AB25" w:rsidR="00266B1F" w:rsidRDefault="00266B1F">
      <w:pPr>
        <w:pStyle w:val="TM3"/>
        <w:tabs>
          <w:tab w:val="left" w:pos="960"/>
          <w:tab w:val="right" w:leader="dot" w:pos="8630"/>
        </w:tabs>
        <w:rPr>
          <w:noProof/>
          <w:kern w:val="2"/>
          <w:sz w:val="24"/>
          <w:szCs w:val="24"/>
          <w:lang w:eastAsia="fr-BE"/>
          <w14:ligatures w14:val="standardContextual"/>
        </w:rPr>
      </w:pPr>
      <w:hyperlink w:anchor="_Toc233626172" w:history="1">
        <w:r w:rsidRPr="0027322A">
          <w:rPr>
            <w:rStyle w:val="Lienhypertexte"/>
            <w:smallCaps/>
            <w:noProof/>
          </w:rPr>
          <w:t>T.</w:t>
        </w:r>
        <w:r>
          <w:rPr>
            <w:noProof/>
            <w:kern w:val="2"/>
            <w:sz w:val="24"/>
            <w:szCs w:val="24"/>
            <w:lang w:eastAsia="fr-BE"/>
            <w14:ligatures w14:val="standardContextual"/>
          </w:rPr>
          <w:tab/>
        </w:r>
        <w:r w:rsidRPr="0027322A">
          <w:rPr>
            <w:rStyle w:val="Lienhypertexte"/>
            <w:noProof/>
          </w:rPr>
          <w:t>Bonnes pratiques de présentation et exemples d’imputation</w:t>
        </w:r>
        <w:r>
          <w:rPr>
            <w:noProof/>
            <w:webHidden/>
          </w:rPr>
          <w:tab/>
        </w:r>
        <w:r>
          <w:rPr>
            <w:noProof/>
            <w:webHidden/>
          </w:rPr>
          <w:fldChar w:fldCharType="begin"/>
        </w:r>
        <w:r>
          <w:rPr>
            <w:noProof/>
            <w:webHidden/>
          </w:rPr>
          <w:instrText xml:space="preserve"> PAGEREF _Toc233626172 \h </w:instrText>
        </w:r>
        <w:r>
          <w:rPr>
            <w:noProof/>
            <w:webHidden/>
          </w:rPr>
        </w:r>
        <w:r>
          <w:rPr>
            <w:noProof/>
            <w:webHidden/>
          </w:rPr>
          <w:fldChar w:fldCharType="separate"/>
        </w:r>
        <w:r w:rsidR="001E3978">
          <w:rPr>
            <w:noProof/>
            <w:webHidden/>
          </w:rPr>
          <w:t>69</w:t>
        </w:r>
        <w:r>
          <w:rPr>
            <w:noProof/>
            <w:webHidden/>
          </w:rPr>
          <w:fldChar w:fldCharType="end"/>
        </w:r>
      </w:hyperlink>
    </w:p>
    <w:p w14:paraId="4BF22C74" w14:textId="070173E6" w:rsidR="00266B1F" w:rsidRDefault="00266B1F">
      <w:pPr>
        <w:pStyle w:val="TM2"/>
        <w:tabs>
          <w:tab w:val="left" w:pos="720"/>
          <w:tab w:val="right" w:leader="dot" w:pos="8630"/>
        </w:tabs>
        <w:rPr>
          <w:noProof/>
          <w:kern w:val="2"/>
          <w:sz w:val="24"/>
          <w:szCs w:val="24"/>
          <w:lang w:eastAsia="fr-BE"/>
          <w14:ligatures w14:val="standardContextual"/>
        </w:rPr>
      </w:pPr>
      <w:hyperlink w:anchor="_Toc233626173" w:history="1">
        <w:r w:rsidRPr="0027322A">
          <w:rPr>
            <w:rStyle w:val="Lienhypertexte"/>
            <w:noProof/>
          </w:rPr>
          <w:t>2.</w:t>
        </w:r>
        <w:r>
          <w:rPr>
            <w:noProof/>
            <w:kern w:val="2"/>
            <w:sz w:val="24"/>
            <w:szCs w:val="24"/>
            <w:lang w:eastAsia="fr-BE"/>
            <w14:ligatures w14:val="standardContextual"/>
          </w:rPr>
          <w:tab/>
        </w:r>
        <w:r w:rsidRPr="0027322A">
          <w:rPr>
            <w:rStyle w:val="Lienhypertexte"/>
            <w:noProof/>
          </w:rPr>
          <w:t>Dépenses de fonctionnement</w:t>
        </w:r>
        <w:r>
          <w:rPr>
            <w:noProof/>
            <w:webHidden/>
          </w:rPr>
          <w:tab/>
        </w:r>
        <w:r>
          <w:rPr>
            <w:noProof/>
            <w:webHidden/>
          </w:rPr>
          <w:fldChar w:fldCharType="begin"/>
        </w:r>
        <w:r>
          <w:rPr>
            <w:noProof/>
            <w:webHidden/>
          </w:rPr>
          <w:instrText xml:space="preserve"> PAGEREF _Toc233626173 \h </w:instrText>
        </w:r>
        <w:r>
          <w:rPr>
            <w:noProof/>
            <w:webHidden/>
          </w:rPr>
        </w:r>
        <w:r>
          <w:rPr>
            <w:noProof/>
            <w:webHidden/>
          </w:rPr>
          <w:fldChar w:fldCharType="separate"/>
        </w:r>
        <w:r w:rsidR="001E3978">
          <w:rPr>
            <w:noProof/>
            <w:webHidden/>
          </w:rPr>
          <w:t>69</w:t>
        </w:r>
        <w:r>
          <w:rPr>
            <w:noProof/>
            <w:webHidden/>
          </w:rPr>
          <w:fldChar w:fldCharType="end"/>
        </w:r>
      </w:hyperlink>
    </w:p>
    <w:p w14:paraId="24A04EE9" w14:textId="5960BCCD" w:rsidR="00266B1F" w:rsidRDefault="00266B1F">
      <w:pPr>
        <w:pStyle w:val="TM3"/>
        <w:tabs>
          <w:tab w:val="left" w:pos="960"/>
          <w:tab w:val="right" w:leader="dot" w:pos="8630"/>
        </w:tabs>
        <w:rPr>
          <w:noProof/>
          <w:kern w:val="2"/>
          <w:sz w:val="24"/>
          <w:szCs w:val="24"/>
          <w:lang w:eastAsia="fr-BE"/>
          <w14:ligatures w14:val="standardContextual"/>
        </w:rPr>
      </w:pPr>
      <w:hyperlink w:anchor="_Toc233626174"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Quels sont les axes de rationalisation recommandés ?</w:t>
        </w:r>
        <w:r>
          <w:rPr>
            <w:noProof/>
            <w:webHidden/>
          </w:rPr>
          <w:tab/>
        </w:r>
        <w:r>
          <w:rPr>
            <w:noProof/>
            <w:webHidden/>
          </w:rPr>
          <w:fldChar w:fldCharType="begin"/>
        </w:r>
        <w:r>
          <w:rPr>
            <w:noProof/>
            <w:webHidden/>
          </w:rPr>
          <w:instrText xml:space="preserve"> PAGEREF _Toc233626174 \h </w:instrText>
        </w:r>
        <w:r>
          <w:rPr>
            <w:noProof/>
            <w:webHidden/>
          </w:rPr>
        </w:r>
        <w:r>
          <w:rPr>
            <w:noProof/>
            <w:webHidden/>
          </w:rPr>
          <w:fldChar w:fldCharType="separate"/>
        </w:r>
        <w:r w:rsidR="001E3978">
          <w:rPr>
            <w:noProof/>
            <w:webHidden/>
          </w:rPr>
          <w:t>69</w:t>
        </w:r>
        <w:r>
          <w:rPr>
            <w:noProof/>
            <w:webHidden/>
          </w:rPr>
          <w:fldChar w:fldCharType="end"/>
        </w:r>
      </w:hyperlink>
    </w:p>
    <w:p w14:paraId="35000248" w14:textId="51F8BF74" w:rsidR="00266B1F" w:rsidRDefault="00266B1F">
      <w:pPr>
        <w:pStyle w:val="TM3"/>
        <w:tabs>
          <w:tab w:val="left" w:pos="960"/>
          <w:tab w:val="right" w:leader="dot" w:pos="8630"/>
        </w:tabs>
        <w:rPr>
          <w:noProof/>
          <w:kern w:val="2"/>
          <w:sz w:val="24"/>
          <w:szCs w:val="24"/>
          <w:lang w:eastAsia="fr-BE"/>
          <w14:ligatures w14:val="standardContextual"/>
        </w:rPr>
      </w:pPr>
      <w:hyperlink w:anchor="_Toc233626175"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Comment revisiter les marchés publics pour gagner en efficience ?</w:t>
        </w:r>
        <w:r>
          <w:rPr>
            <w:noProof/>
            <w:webHidden/>
          </w:rPr>
          <w:tab/>
        </w:r>
        <w:r>
          <w:rPr>
            <w:noProof/>
            <w:webHidden/>
          </w:rPr>
          <w:fldChar w:fldCharType="begin"/>
        </w:r>
        <w:r>
          <w:rPr>
            <w:noProof/>
            <w:webHidden/>
          </w:rPr>
          <w:instrText xml:space="preserve"> PAGEREF _Toc233626175 \h </w:instrText>
        </w:r>
        <w:r>
          <w:rPr>
            <w:noProof/>
            <w:webHidden/>
          </w:rPr>
        </w:r>
        <w:r>
          <w:rPr>
            <w:noProof/>
            <w:webHidden/>
          </w:rPr>
          <w:fldChar w:fldCharType="separate"/>
        </w:r>
        <w:r w:rsidR="001E3978">
          <w:rPr>
            <w:noProof/>
            <w:webHidden/>
          </w:rPr>
          <w:t>69</w:t>
        </w:r>
        <w:r>
          <w:rPr>
            <w:noProof/>
            <w:webHidden/>
          </w:rPr>
          <w:fldChar w:fldCharType="end"/>
        </w:r>
      </w:hyperlink>
    </w:p>
    <w:p w14:paraId="5C64627D" w14:textId="72B9E671" w:rsidR="00266B1F" w:rsidRDefault="00266B1F">
      <w:pPr>
        <w:pStyle w:val="TM3"/>
        <w:tabs>
          <w:tab w:val="left" w:pos="960"/>
          <w:tab w:val="right" w:leader="dot" w:pos="8630"/>
        </w:tabs>
        <w:rPr>
          <w:noProof/>
          <w:kern w:val="2"/>
          <w:sz w:val="24"/>
          <w:szCs w:val="24"/>
          <w:lang w:eastAsia="fr-BE"/>
          <w14:ligatures w14:val="standardContextual"/>
        </w:rPr>
      </w:pPr>
      <w:hyperlink w:anchor="_Toc233626176"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Papier &amp; énergie : quelles bonnes pratiques ?</w:t>
        </w:r>
        <w:r>
          <w:rPr>
            <w:noProof/>
            <w:webHidden/>
          </w:rPr>
          <w:tab/>
        </w:r>
        <w:r>
          <w:rPr>
            <w:noProof/>
            <w:webHidden/>
          </w:rPr>
          <w:fldChar w:fldCharType="begin"/>
        </w:r>
        <w:r>
          <w:rPr>
            <w:noProof/>
            <w:webHidden/>
          </w:rPr>
          <w:instrText xml:space="preserve"> PAGEREF _Toc233626176 \h </w:instrText>
        </w:r>
        <w:r>
          <w:rPr>
            <w:noProof/>
            <w:webHidden/>
          </w:rPr>
        </w:r>
        <w:r>
          <w:rPr>
            <w:noProof/>
            <w:webHidden/>
          </w:rPr>
          <w:fldChar w:fldCharType="separate"/>
        </w:r>
        <w:r w:rsidR="001E3978">
          <w:rPr>
            <w:noProof/>
            <w:webHidden/>
          </w:rPr>
          <w:t>70</w:t>
        </w:r>
        <w:r>
          <w:rPr>
            <w:noProof/>
            <w:webHidden/>
          </w:rPr>
          <w:fldChar w:fldCharType="end"/>
        </w:r>
      </w:hyperlink>
    </w:p>
    <w:p w14:paraId="1223498D" w14:textId="50E3D300" w:rsidR="00266B1F" w:rsidRDefault="00266B1F">
      <w:pPr>
        <w:pStyle w:val="TM3"/>
        <w:tabs>
          <w:tab w:val="left" w:pos="960"/>
          <w:tab w:val="right" w:leader="dot" w:pos="8630"/>
        </w:tabs>
        <w:rPr>
          <w:noProof/>
          <w:kern w:val="2"/>
          <w:sz w:val="24"/>
          <w:szCs w:val="24"/>
          <w:lang w:eastAsia="fr-BE"/>
          <w14:ligatures w14:val="standardContextual"/>
        </w:rPr>
      </w:pPr>
      <w:hyperlink w:anchor="_Toc233626177"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Où imputer les dépenses de fonctionnement des mandataires ?</w:t>
        </w:r>
        <w:r>
          <w:rPr>
            <w:noProof/>
            <w:webHidden/>
          </w:rPr>
          <w:tab/>
        </w:r>
        <w:r>
          <w:rPr>
            <w:noProof/>
            <w:webHidden/>
          </w:rPr>
          <w:fldChar w:fldCharType="begin"/>
        </w:r>
        <w:r>
          <w:rPr>
            <w:noProof/>
            <w:webHidden/>
          </w:rPr>
          <w:instrText xml:space="preserve"> PAGEREF _Toc233626177 \h </w:instrText>
        </w:r>
        <w:r>
          <w:rPr>
            <w:noProof/>
            <w:webHidden/>
          </w:rPr>
        </w:r>
        <w:r>
          <w:rPr>
            <w:noProof/>
            <w:webHidden/>
          </w:rPr>
          <w:fldChar w:fldCharType="separate"/>
        </w:r>
        <w:r w:rsidR="001E3978">
          <w:rPr>
            <w:noProof/>
            <w:webHidden/>
          </w:rPr>
          <w:t>70</w:t>
        </w:r>
        <w:r>
          <w:rPr>
            <w:noProof/>
            <w:webHidden/>
          </w:rPr>
          <w:fldChar w:fldCharType="end"/>
        </w:r>
      </w:hyperlink>
    </w:p>
    <w:p w14:paraId="6EC96E87" w14:textId="7B6D55FD" w:rsidR="00266B1F" w:rsidRDefault="00266B1F">
      <w:pPr>
        <w:pStyle w:val="TM3"/>
        <w:tabs>
          <w:tab w:val="left" w:pos="960"/>
          <w:tab w:val="right" w:leader="dot" w:pos="8630"/>
        </w:tabs>
        <w:rPr>
          <w:noProof/>
          <w:kern w:val="2"/>
          <w:sz w:val="24"/>
          <w:szCs w:val="24"/>
          <w:lang w:eastAsia="fr-BE"/>
          <w14:ligatures w14:val="standardContextual"/>
        </w:rPr>
      </w:pPr>
      <w:hyperlink w:anchor="_Toc233626178"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Quelle imputation pour l’assurance RC des mandataires (obligatoire) ?</w:t>
        </w:r>
        <w:r>
          <w:rPr>
            <w:noProof/>
            <w:webHidden/>
          </w:rPr>
          <w:tab/>
        </w:r>
        <w:r>
          <w:rPr>
            <w:noProof/>
            <w:webHidden/>
          </w:rPr>
          <w:fldChar w:fldCharType="begin"/>
        </w:r>
        <w:r>
          <w:rPr>
            <w:noProof/>
            <w:webHidden/>
          </w:rPr>
          <w:instrText xml:space="preserve"> PAGEREF _Toc233626178 \h </w:instrText>
        </w:r>
        <w:r>
          <w:rPr>
            <w:noProof/>
            <w:webHidden/>
          </w:rPr>
        </w:r>
        <w:r>
          <w:rPr>
            <w:noProof/>
            <w:webHidden/>
          </w:rPr>
          <w:fldChar w:fldCharType="separate"/>
        </w:r>
        <w:r w:rsidR="001E3978">
          <w:rPr>
            <w:noProof/>
            <w:webHidden/>
          </w:rPr>
          <w:t>70</w:t>
        </w:r>
        <w:r>
          <w:rPr>
            <w:noProof/>
            <w:webHidden/>
          </w:rPr>
          <w:fldChar w:fldCharType="end"/>
        </w:r>
      </w:hyperlink>
    </w:p>
    <w:p w14:paraId="40A215BF" w14:textId="1452A6FA" w:rsidR="00266B1F" w:rsidRDefault="00266B1F">
      <w:pPr>
        <w:pStyle w:val="TM3"/>
        <w:tabs>
          <w:tab w:val="left" w:pos="960"/>
          <w:tab w:val="right" w:leader="dot" w:pos="8630"/>
        </w:tabs>
        <w:rPr>
          <w:noProof/>
          <w:kern w:val="2"/>
          <w:sz w:val="24"/>
          <w:szCs w:val="24"/>
          <w:lang w:eastAsia="fr-BE"/>
          <w14:ligatures w14:val="standardContextual"/>
        </w:rPr>
      </w:pPr>
      <w:hyperlink w:anchor="_Toc233626179" w:history="1">
        <w:r w:rsidRPr="0027322A">
          <w:rPr>
            <w:rStyle w:val="Lienhypertexte"/>
            <w:smallCaps/>
            <w:noProof/>
          </w:rPr>
          <w:t>F.</w:t>
        </w:r>
        <w:r>
          <w:rPr>
            <w:noProof/>
            <w:kern w:val="2"/>
            <w:sz w:val="24"/>
            <w:szCs w:val="24"/>
            <w:lang w:eastAsia="fr-BE"/>
            <w14:ligatures w14:val="standardContextual"/>
          </w:rPr>
          <w:tab/>
        </w:r>
        <w:r w:rsidRPr="0027322A">
          <w:rPr>
            <w:rStyle w:val="Lienhypertexte"/>
            <w:noProof/>
          </w:rPr>
          <w:t>Réceptions &amp; représentations : quel garde-fou ?</w:t>
        </w:r>
        <w:r>
          <w:rPr>
            <w:noProof/>
            <w:webHidden/>
          </w:rPr>
          <w:tab/>
        </w:r>
        <w:r>
          <w:rPr>
            <w:noProof/>
            <w:webHidden/>
          </w:rPr>
          <w:fldChar w:fldCharType="begin"/>
        </w:r>
        <w:r>
          <w:rPr>
            <w:noProof/>
            <w:webHidden/>
          </w:rPr>
          <w:instrText xml:space="preserve"> PAGEREF _Toc233626179 \h </w:instrText>
        </w:r>
        <w:r>
          <w:rPr>
            <w:noProof/>
            <w:webHidden/>
          </w:rPr>
        </w:r>
        <w:r>
          <w:rPr>
            <w:noProof/>
            <w:webHidden/>
          </w:rPr>
          <w:fldChar w:fldCharType="separate"/>
        </w:r>
        <w:r w:rsidR="001E3978">
          <w:rPr>
            <w:noProof/>
            <w:webHidden/>
          </w:rPr>
          <w:t>70</w:t>
        </w:r>
        <w:r>
          <w:rPr>
            <w:noProof/>
            <w:webHidden/>
          </w:rPr>
          <w:fldChar w:fldCharType="end"/>
        </w:r>
      </w:hyperlink>
    </w:p>
    <w:p w14:paraId="25291F06" w14:textId="41B7F084" w:rsidR="00266B1F" w:rsidRDefault="00266B1F">
      <w:pPr>
        <w:pStyle w:val="TM2"/>
        <w:tabs>
          <w:tab w:val="left" w:pos="720"/>
          <w:tab w:val="right" w:leader="dot" w:pos="8630"/>
        </w:tabs>
        <w:rPr>
          <w:noProof/>
          <w:kern w:val="2"/>
          <w:sz w:val="24"/>
          <w:szCs w:val="24"/>
          <w:lang w:eastAsia="fr-BE"/>
          <w14:ligatures w14:val="standardContextual"/>
        </w:rPr>
      </w:pPr>
      <w:hyperlink w:anchor="_Toc233626180" w:history="1">
        <w:r w:rsidRPr="0027322A">
          <w:rPr>
            <w:rStyle w:val="Lienhypertexte"/>
            <w:noProof/>
          </w:rPr>
          <w:t>3.</w:t>
        </w:r>
        <w:r>
          <w:rPr>
            <w:noProof/>
            <w:kern w:val="2"/>
            <w:sz w:val="24"/>
            <w:szCs w:val="24"/>
            <w:lang w:eastAsia="fr-BE"/>
            <w14:ligatures w14:val="standardContextual"/>
          </w:rPr>
          <w:tab/>
        </w:r>
        <w:r w:rsidRPr="0027322A">
          <w:rPr>
            <w:rStyle w:val="Lienhypertexte"/>
            <w:noProof/>
          </w:rPr>
          <w:t>Dépenses de transfert</w:t>
        </w:r>
        <w:r>
          <w:rPr>
            <w:noProof/>
            <w:webHidden/>
          </w:rPr>
          <w:tab/>
        </w:r>
        <w:r>
          <w:rPr>
            <w:noProof/>
            <w:webHidden/>
          </w:rPr>
          <w:fldChar w:fldCharType="begin"/>
        </w:r>
        <w:r>
          <w:rPr>
            <w:noProof/>
            <w:webHidden/>
          </w:rPr>
          <w:instrText xml:space="preserve"> PAGEREF _Toc233626180 \h </w:instrText>
        </w:r>
        <w:r>
          <w:rPr>
            <w:noProof/>
            <w:webHidden/>
          </w:rPr>
        </w:r>
        <w:r>
          <w:rPr>
            <w:noProof/>
            <w:webHidden/>
          </w:rPr>
          <w:fldChar w:fldCharType="separate"/>
        </w:r>
        <w:r w:rsidR="001E3978">
          <w:rPr>
            <w:noProof/>
            <w:webHidden/>
          </w:rPr>
          <w:t>70</w:t>
        </w:r>
        <w:r>
          <w:rPr>
            <w:noProof/>
            <w:webHidden/>
          </w:rPr>
          <w:fldChar w:fldCharType="end"/>
        </w:r>
      </w:hyperlink>
    </w:p>
    <w:p w14:paraId="3597EC77" w14:textId="41A72004" w:rsidR="00266B1F" w:rsidRDefault="00266B1F">
      <w:pPr>
        <w:pStyle w:val="TM3"/>
        <w:tabs>
          <w:tab w:val="left" w:pos="960"/>
          <w:tab w:val="right" w:leader="dot" w:pos="8630"/>
        </w:tabs>
        <w:rPr>
          <w:noProof/>
          <w:kern w:val="2"/>
          <w:sz w:val="24"/>
          <w:szCs w:val="24"/>
          <w:lang w:eastAsia="fr-BE"/>
          <w14:ligatures w14:val="standardContextual"/>
        </w:rPr>
      </w:pPr>
      <w:hyperlink w:anchor="_Toc233626181"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Quelles attentes pour les entités consolidées (parapubliques, associations…) ?</w:t>
        </w:r>
        <w:r>
          <w:rPr>
            <w:noProof/>
            <w:webHidden/>
          </w:rPr>
          <w:tab/>
        </w:r>
        <w:r>
          <w:rPr>
            <w:noProof/>
            <w:webHidden/>
          </w:rPr>
          <w:fldChar w:fldCharType="begin"/>
        </w:r>
        <w:r>
          <w:rPr>
            <w:noProof/>
            <w:webHidden/>
          </w:rPr>
          <w:instrText xml:space="preserve"> PAGEREF _Toc233626181 \h </w:instrText>
        </w:r>
        <w:r>
          <w:rPr>
            <w:noProof/>
            <w:webHidden/>
          </w:rPr>
        </w:r>
        <w:r>
          <w:rPr>
            <w:noProof/>
            <w:webHidden/>
          </w:rPr>
          <w:fldChar w:fldCharType="separate"/>
        </w:r>
        <w:r w:rsidR="001E3978">
          <w:rPr>
            <w:noProof/>
            <w:webHidden/>
          </w:rPr>
          <w:t>70</w:t>
        </w:r>
        <w:r>
          <w:rPr>
            <w:noProof/>
            <w:webHidden/>
          </w:rPr>
          <w:fldChar w:fldCharType="end"/>
        </w:r>
      </w:hyperlink>
    </w:p>
    <w:p w14:paraId="20576F6B" w14:textId="3C7A9AB4" w:rsidR="00266B1F" w:rsidRDefault="00266B1F">
      <w:pPr>
        <w:pStyle w:val="TM3"/>
        <w:tabs>
          <w:tab w:val="left" w:pos="960"/>
          <w:tab w:val="right" w:leader="dot" w:pos="8630"/>
        </w:tabs>
        <w:rPr>
          <w:noProof/>
          <w:kern w:val="2"/>
          <w:sz w:val="24"/>
          <w:szCs w:val="24"/>
          <w:lang w:eastAsia="fr-BE"/>
          <w14:ligatures w14:val="standardContextual"/>
        </w:rPr>
      </w:pPr>
      <w:hyperlink w:anchor="_Toc233626182"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Comment développer des synergies utiles au citoyen ?</w:t>
        </w:r>
        <w:r>
          <w:rPr>
            <w:noProof/>
            <w:webHidden/>
          </w:rPr>
          <w:tab/>
        </w:r>
        <w:r>
          <w:rPr>
            <w:noProof/>
            <w:webHidden/>
          </w:rPr>
          <w:fldChar w:fldCharType="begin"/>
        </w:r>
        <w:r>
          <w:rPr>
            <w:noProof/>
            <w:webHidden/>
          </w:rPr>
          <w:instrText xml:space="preserve"> PAGEREF _Toc233626182 \h </w:instrText>
        </w:r>
        <w:r>
          <w:rPr>
            <w:noProof/>
            <w:webHidden/>
          </w:rPr>
        </w:r>
        <w:r>
          <w:rPr>
            <w:noProof/>
            <w:webHidden/>
          </w:rPr>
          <w:fldChar w:fldCharType="separate"/>
        </w:r>
        <w:r w:rsidR="001E3978">
          <w:rPr>
            <w:noProof/>
            <w:webHidden/>
          </w:rPr>
          <w:t>70</w:t>
        </w:r>
        <w:r>
          <w:rPr>
            <w:noProof/>
            <w:webHidden/>
          </w:rPr>
          <w:fldChar w:fldCharType="end"/>
        </w:r>
      </w:hyperlink>
    </w:p>
    <w:p w14:paraId="555A1BB6" w14:textId="479D9C90" w:rsidR="00266B1F" w:rsidRDefault="00266B1F">
      <w:pPr>
        <w:pStyle w:val="TM3"/>
        <w:tabs>
          <w:tab w:val="left" w:pos="960"/>
          <w:tab w:val="right" w:leader="dot" w:pos="8630"/>
        </w:tabs>
        <w:rPr>
          <w:noProof/>
          <w:kern w:val="2"/>
          <w:sz w:val="24"/>
          <w:szCs w:val="24"/>
          <w:lang w:eastAsia="fr-BE"/>
          <w14:ligatures w14:val="standardContextual"/>
        </w:rPr>
      </w:pPr>
      <w:hyperlink w:anchor="_Toc233626183"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Rappel pour les régies ordinaires (non autonomes)</w:t>
        </w:r>
        <w:r>
          <w:rPr>
            <w:noProof/>
            <w:webHidden/>
          </w:rPr>
          <w:tab/>
        </w:r>
        <w:r>
          <w:rPr>
            <w:noProof/>
            <w:webHidden/>
          </w:rPr>
          <w:fldChar w:fldCharType="begin"/>
        </w:r>
        <w:r>
          <w:rPr>
            <w:noProof/>
            <w:webHidden/>
          </w:rPr>
          <w:instrText xml:space="preserve"> PAGEREF _Toc233626183 \h </w:instrText>
        </w:r>
        <w:r>
          <w:rPr>
            <w:noProof/>
            <w:webHidden/>
          </w:rPr>
        </w:r>
        <w:r>
          <w:rPr>
            <w:noProof/>
            <w:webHidden/>
          </w:rPr>
          <w:fldChar w:fldCharType="separate"/>
        </w:r>
        <w:r w:rsidR="001E3978">
          <w:rPr>
            <w:noProof/>
            <w:webHidden/>
          </w:rPr>
          <w:t>70</w:t>
        </w:r>
        <w:r>
          <w:rPr>
            <w:noProof/>
            <w:webHidden/>
          </w:rPr>
          <w:fldChar w:fldCharType="end"/>
        </w:r>
      </w:hyperlink>
    </w:p>
    <w:p w14:paraId="7CE5E5A9" w14:textId="0DFF39E7" w:rsidR="00266B1F" w:rsidRDefault="00266B1F">
      <w:pPr>
        <w:pStyle w:val="TM3"/>
        <w:tabs>
          <w:tab w:val="left" w:pos="960"/>
          <w:tab w:val="right" w:leader="dot" w:pos="8630"/>
        </w:tabs>
        <w:rPr>
          <w:noProof/>
          <w:kern w:val="2"/>
          <w:sz w:val="24"/>
          <w:szCs w:val="24"/>
          <w:lang w:eastAsia="fr-BE"/>
          <w14:ligatures w14:val="standardContextual"/>
        </w:rPr>
      </w:pPr>
      <w:hyperlink w:anchor="_Toc233626184"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Subventions aux associations : quels réflexes ?</w:t>
        </w:r>
        <w:r>
          <w:rPr>
            <w:noProof/>
            <w:webHidden/>
          </w:rPr>
          <w:tab/>
        </w:r>
        <w:r>
          <w:rPr>
            <w:noProof/>
            <w:webHidden/>
          </w:rPr>
          <w:fldChar w:fldCharType="begin"/>
        </w:r>
        <w:r>
          <w:rPr>
            <w:noProof/>
            <w:webHidden/>
          </w:rPr>
          <w:instrText xml:space="preserve"> PAGEREF _Toc233626184 \h </w:instrText>
        </w:r>
        <w:r>
          <w:rPr>
            <w:noProof/>
            <w:webHidden/>
          </w:rPr>
        </w:r>
        <w:r>
          <w:rPr>
            <w:noProof/>
            <w:webHidden/>
          </w:rPr>
          <w:fldChar w:fldCharType="separate"/>
        </w:r>
        <w:r w:rsidR="001E3978">
          <w:rPr>
            <w:noProof/>
            <w:webHidden/>
          </w:rPr>
          <w:t>70</w:t>
        </w:r>
        <w:r>
          <w:rPr>
            <w:noProof/>
            <w:webHidden/>
          </w:rPr>
          <w:fldChar w:fldCharType="end"/>
        </w:r>
      </w:hyperlink>
    </w:p>
    <w:p w14:paraId="1AA88EB7" w14:textId="74F5E967" w:rsidR="00266B1F" w:rsidRDefault="00266B1F">
      <w:pPr>
        <w:pStyle w:val="TM3"/>
        <w:tabs>
          <w:tab w:val="left" w:pos="960"/>
          <w:tab w:val="right" w:leader="dot" w:pos="8630"/>
        </w:tabs>
        <w:rPr>
          <w:noProof/>
          <w:kern w:val="2"/>
          <w:sz w:val="24"/>
          <w:szCs w:val="24"/>
          <w:lang w:eastAsia="fr-BE"/>
          <w14:ligatures w14:val="standardContextual"/>
        </w:rPr>
      </w:pPr>
      <w:hyperlink w:anchor="_Toc233626185"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CPAS</w:t>
        </w:r>
        <w:r>
          <w:rPr>
            <w:noProof/>
            <w:webHidden/>
          </w:rPr>
          <w:tab/>
        </w:r>
        <w:r>
          <w:rPr>
            <w:noProof/>
            <w:webHidden/>
          </w:rPr>
          <w:fldChar w:fldCharType="begin"/>
        </w:r>
        <w:r>
          <w:rPr>
            <w:noProof/>
            <w:webHidden/>
          </w:rPr>
          <w:instrText xml:space="preserve"> PAGEREF _Toc233626185 \h </w:instrText>
        </w:r>
        <w:r>
          <w:rPr>
            <w:noProof/>
            <w:webHidden/>
          </w:rPr>
        </w:r>
        <w:r>
          <w:rPr>
            <w:noProof/>
            <w:webHidden/>
          </w:rPr>
          <w:fldChar w:fldCharType="separate"/>
        </w:r>
        <w:r w:rsidR="001E3978">
          <w:rPr>
            <w:noProof/>
            <w:webHidden/>
          </w:rPr>
          <w:t>71</w:t>
        </w:r>
        <w:r>
          <w:rPr>
            <w:noProof/>
            <w:webHidden/>
          </w:rPr>
          <w:fldChar w:fldCharType="end"/>
        </w:r>
      </w:hyperlink>
    </w:p>
    <w:p w14:paraId="4F77C1F2" w14:textId="61C4BADB" w:rsidR="00266B1F" w:rsidRDefault="00266B1F">
      <w:pPr>
        <w:pStyle w:val="TM3"/>
        <w:tabs>
          <w:tab w:val="left" w:pos="960"/>
          <w:tab w:val="right" w:leader="dot" w:pos="8630"/>
        </w:tabs>
        <w:rPr>
          <w:noProof/>
          <w:kern w:val="2"/>
          <w:sz w:val="24"/>
          <w:szCs w:val="24"/>
          <w:lang w:eastAsia="fr-BE"/>
          <w14:ligatures w14:val="standardContextual"/>
        </w:rPr>
      </w:pPr>
      <w:hyperlink w:anchor="_Toc233626186"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Hôpitaux publics, Maisons de repos et MRS</w:t>
        </w:r>
        <w:r>
          <w:rPr>
            <w:noProof/>
            <w:webHidden/>
          </w:rPr>
          <w:tab/>
        </w:r>
        <w:r>
          <w:rPr>
            <w:noProof/>
            <w:webHidden/>
          </w:rPr>
          <w:fldChar w:fldCharType="begin"/>
        </w:r>
        <w:r>
          <w:rPr>
            <w:noProof/>
            <w:webHidden/>
          </w:rPr>
          <w:instrText xml:space="preserve"> PAGEREF _Toc233626186 \h </w:instrText>
        </w:r>
        <w:r>
          <w:rPr>
            <w:noProof/>
            <w:webHidden/>
          </w:rPr>
        </w:r>
        <w:r>
          <w:rPr>
            <w:noProof/>
            <w:webHidden/>
          </w:rPr>
          <w:fldChar w:fldCharType="separate"/>
        </w:r>
        <w:r w:rsidR="001E3978">
          <w:rPr>
            <w:noProof/>
            <w:webHidden/>
          </w:rPr>
          <w:t>75</w:t>
        </w:r>
        <w:r>
          <w:rPr>
            <w:noProof/>
            <w:webHidden/>
          </w:rPr>
          <w:fldChar w:fldCharType="end"/>
        </w:r>
      </w:hyperlink>
    </w:p>
    <w:p w14:paraId="405834FC" w14:textId="0A78513D" w:rsidR="00266B1F" w:rsidRDefault="00266B1F">
      <w:pPr>
        <w:pStyle w:val="TM3"/>
        <w:tabs>
          <w:tab w:val="left" w:pos="960"/>
          <w:tab w:val="right" w:leader="dot" w:pos="8630"/>
        </w:tabs>
        <w:rPr>
          <w:noProof/>
          <w:kern w:val="2"/>
          <w:sz w:val="24"/>
          <w:szCs w:val="24"/>
          <w:lang w:eastAsia="fr-BE"/>
          <w14:ligatures w14:val="standardContextual"/>
        </w:rPr>
      </w:pPr>
      <w:hyperlink w:anchor="_Toc233626187"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Zones de police</w:t>
        </w:r>
        <w:r>
          <w:rPr>
            <w:noProof/>
            <w:webHidden/>
          </w:rPr>
          <w:tab/>
        </w:r>
        <w:r>
          <w:rPr>
            <w:noProof/>
            <w:webHidden/>
          </w:rPr>
          <w:fldChar w:fldCharType="begin"/>
        </w:r>
        <w:r>
          <w:rPr>
            <w:noProof/>
            <w:webHidden/>
          </w:rPr>
          <w:instrText xml:space="preserve"> PAGEREF _Toc233626187 \h </w:instrText>
        </w:r>
        <w:r>
          <w:rPr>
            <w:noProof/>
            <w:webHidden/>
          </w:rPr>
        </w:r>
        <w:r>
          <w:rPr>
            <w:noProof/>
            <w:webHidden/>
          </w:rPr>
          <w:fldChar w:fldCharType="separate"/>
        </w:r>
        <w:r w:rsidR="001E3978">
          <w:rPr>
            <w:noProof/>
            <w:webHidden/>
          </w:rPr>
          <w:t>75</w:t>
        </w:r>
        <w:r>
          <w:rPr>
            <w:noProof/>
            <w:webHidden/>
          </w:rPr>
          <w:fldChar w:fldCharType="end"/>
        </w:r>
      </w:hyperlink>
    </w:p>
    <w:p w14:paraId="12F579BF" w14:textId="291DEB97" w:rsidR="00266B1F" w:rsidRDefault="00266B1F">
      <w:pPr>
        <w:pStyle w:val="TM3"/>
        <w:tabs>
          <w:tab w:val="left" w:pos="960"/>
          <w:tab w:val="right" w:leader="dot" w:pos="8630"/>
        </w:tabs>
        <w:rPr>
          <w:noProof/>
          <w:kern w:val="2"/>
          <w:sz w:val="24"/>
          <w:szCs w:val="24"/>
          <w:lang w:eastAsia="fr-BE"/>
          <w14:ligatures w14:val="standardContextual"/>
        </w:rPr>
      </w:pPr>
      <w:hyperlink w:anchor="_Toc233626188"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Zones de secours</w:t>
        </w:r>
        <w:r>
          <w:rPr>
            <w:noProof/>
            <w:webHidden/>
          </w:rPr>
          <w:tab/>
        </w:r>
        <w:r>
          <w:rPr>
            <w:noProof/>
            <w:webHidden/>
          </w:rPr>
          <w:fldChar w:fldCharType="begin"/>
        </w:r>
        <w:r>
          <w:rPr>
            <w:noProof/>
            <w:webHidden/>
          </w:rPr>
          <w:instrText xml:space="preserve"> PAGEREF _Toc233626188 \h </w:instrText>
        </w:r>
        <w:r>
          <w:rPr>
            <w:noProof/>
            <w:webHidden/>
          </w:rPr>
        </w:r>
        <w:r>
          <w:rPr>
            <w:noProof/>
            <w:webHidden/>
          </w:rPr>
          <w:fldChar w:fldCharType="separate"/>
        </w:r>
        <w:r w:rsidR="001E3978">
          <w:rPr>
            <w:noProof/>
            <w:webHidden/>
          </w:rPr>
          <w:t>76</w:t>
        </w:r>
        <w:r>
          <w:rPr>
            <w:noProof/>
            <w:webHidden/>
          </w:rPr>
          <w:fldChar w:fldCharType="end"/>
        </w:r>
      </w:hyperlink>
    </w:p>
    <w:p w14:paraId="6E4C51D3" w14:textId="6C4C140E" w:rsidR="00266B1F" w:rsidRDefault="00266B1F">
      <w:pPr>
        <w:pStyle w:val="TM3"/>
        <w:tabs>
          <w:tab w:val="left" w:pos="960"/>
          <w:tab w:val="right" w:leader="dot" w:pos="8630"/>
        </w:tabs>
        <w:rPr>
          <w:noProof/>
          <w:kern w:val="2"/>
          <w:sz w:val="24"/>
          <w:szCs w:val="24"/>
          <w:lang w:eastAsia="fr-BE"/>
          <w14:ligatures w14:val="standardContextual"/>
        </w:rPr>
      </w:pPr>
      <w:hyperlink w:anchor="_Toc233626189"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Régies et ASBL communales</w:t>
        </w:r>
        <w:r>
          <w:rPr>
            <w:noProof/>
            <w:webHidden/>
          </w:rPr>
          <w:tab/>
        </w:r>
        <w:r>
          <w:rPr>
            <w:noProof/>
            <w:webHidden/>
          </w:rPr>
          <w:fldChar w:fldCharType="begin"/>
        </w:r>
        <w:r>
          <w:rPr>
            <w:noProof/>
            <w:webHidden/>
          </w:rPr>
          <w:instrText xml:space="preserve"> PAGEREF _Toc233626189 \h </w:instrText>
        </w:r>
        <w:r>
          <w:rPr>
            <w:noProof/>
            <w:webHidden/>
          </w:rPr>
        </w:r>
        <w:r>
          <w:rPr>
            <w:noProof/>
            <w:webHidden/>
          </w:rPr>
          <w:fldChar w:fldCharType="separate"/>
        </w:r>
        <w:r w:rsidR="001E3978">
          <w:rPr>
            <w:noProof/>
            <w:webHidden/>
          </w:rPr>
          <w:t>76</w:t>
        </w:r>
        <w:r>
          <w:rPr>
            <w:noProof/>
            <w:webHidden/>
          </w:rPr>
          <w:fldChar w:fldCharType="end"/>
        </w:r>
      </w:hyperlink>
    </w:p>
    <w:p w14:paraId="00EC09C3" w14:textId="470128B9" w:rsidR="00266B1F" w:rsidRDefault="00266B1F">
      <w:pPr>
        <w:pStyle w:val="TM3"/>
        <w:tabs>
          <w:tab w:val="left" w:pos="960"/>
          <w:tab w:val="right" w:leader="dot" w:pos="8630"/>
        </w:tabs>
        <w:rPr>
          <w:noProof/>
          <w:kern w:val="2"/>
          <w:sz w:val="24"/>
          <w:szCs w:val="24"/>
          <w:lang w:eastAsia="fr-BE"/>
          <w14:ligatures w14:val="standardContextual"/>
        </w:rPr>
      </w:pPr>
      <w:hyperlink w:anchor="_Toc233626190" w:history="1">
        <w:r w:rsidRPr="0027322A">
          <w:rPr>
            <w:rStyle w:val="Lienhypertexte"/>
            <w:smallCaps/>
            <w:noProof/>
          </w:rPr>
          <w:t>F.</w:t>
        </w:r>
        <w:r>
          <w:rPr>
            <w:noProof/>
            <w:kern w:val="2"/>
            <w:sz w:val="24"/>
            <w:szCs w:val="24"/>
            <w:lang w:eastAsia="fr-BE"/>
            <w14:ligatures w14:val="standardContextual"/>
          </w:rPr>
          <w:tab/>
        </w:r>
        <w:r w:rsidRPr="0027322A">
          <w:rPr>
            <w:rStyle w:val="Lienhypertexte"/>
            <w:noProof/>
          </w:rPr>
          <w:t>Fabriques d’église et communautés philosophiques non confessionnelles reconnues</w:t>
        </w:r>
        <w:r>
          <w:rPr>
            <w:noProof/>
            <w:webHidden/>
          </w:rPr>
          <w:tab/>
        </w:r>
        <w:r>
          <w:rPr>
            <w:noProof/>
            <w:webHidden/>
          </w:rPr>
          <w:fldChar w:fldCharType="begin"/>
        </w:r>
        <w:r>
          <w:rPr>
            <w:noProof/>
            <w:webHidden/>
          </w:rPr>
          <w:instrText xml:space="preserve"> PAGEREF _Toc233626190 \h </w:instrText>
        </w:r>
        <w:r>
          <w:rPr>
            <w:noProof/>
            <w:webHidden/>
          </w:rPr>
        </w:r>
        <w:r>
          <w:rPr>
            <w:noProof/>
            <w:webHidden/>
          </w:rPr>
          <w:fldChar w:fldCharType="separate"/>
        </w:r>
        <w:r w:rsidR="001E3978">
          <w:rPr>
            <w:noProof/>
            <w:webHidden/>
          </w:rPr>
          <w:t>76</w:t>
        </w:r>
        <w:r>
          <w:rPr>
            <w:noProof/>
            <w:webHidden/>
          </w:rPr>
          <w:fldChar w:fldCharType="end"/>
        </w:r>
      </w:hyperlink>
    </w:p>
    <w:p w14:paraId="7A3F25EC" w14:textId="70A9D18E" w:rsidR="00266B1F" w:rsidRDefault="00266B1F">
      <w:pPr>
        <w:pStyle w:val="TM2"/>
        <w:tabs>
          <w:tab w:val="left" w:pos="720"/>
          <w:tab w:val="right" w:leader="dot" w:pos="8630"/>
        </w:tabs>
        <w:rPr>
          <w:noProof/>
          <w:kern w:val="2"/>
          <w:sz w:val="24"/>
          <w:szCs w:val="24"/>
          <w:lang w:eastAsia="fr-BE"/>
          <w14:ligatures w14:val="standardContextual"/>
        </w:rPr>
      </w:pPr>
      <w:hyperlink w:anchor="_Toc233626191" w:history="1">
        <w:r w:rsidRPr="0027322A">
          <w:rPr>
            <w:rStyle w:val="Lienhypertexte"/>
            <w:noProof/>
          </w:rPr>
          <w:t>4.</w:t>
        </w:r>
        <w:r>
          <w:rPr>
            <w:noProof/>
            <w:kern w:val="2"/>
            <w:sz w:val="24"/>
            <w:szCs w:val="24"/>
            <w:lang w:eastAsia="fr-BE"/>
            <w14:ligatures w14:val="standardContextual"/>
          </w:rPr>
          <w:tab/>
        </w:r>
        <w:r w:rsidRPr="0027322A">
          <w:rPr>
            <w:rStyle w:val="Lienhypertexte"/>
            <w:noProof/>
          </w:rPr>
          <w:t>Dépenses de dette : principes</w:t>
        </w:r>
        <w:r>
          <w:rPr>
            <w:noProof/>
            <w:webHidden/>
          </w:rPr>
          <w:tab/>
        </w:r>
        <w:r>
          <w:rPr>
            <w:noProof/>
            <w:webHidden/>
          </w:rPr>
          <w:fldChar w:fldCharType="begin"/>
        </w:r>
        <w:r>
          <w:rPr>
            <w:noProof/>
            <w:webHidden/>
          </w:rPr>
          <w:instrText xml:space="preserve"> PAGEREF _Toc233626191 \h </w:instrText>
        </w:r>
        <w:r>
          <w:rPr>
            <w:noProof/>
            <w:webHidden/>
          </w:rPr>
        </w:r>
        <w:r>
          <w:rPr>
            <w:noProof/>
            <w:webHidden/>
          </w:rPr>
          <w:fldChar w:fldCharType="separate"/>
        </w:r>
        <w:r w:rsidR="001E3978">
          <w:rPr>
            <w:noProof/>
            <w:webHidden/>
          </w:rPr>
          <w:t>77</w:t>
        </w:r>
        <w:r>
          <w:rPr>
            <w:noProof/>
            <w:webHidden/>
          </w:rPr>
          <w:fldChar w:fldCharType="end"/>
        </w:r>
      </w:hyperlink>
    </w:p>
    <w:p w14:paraId="639ED5C1" w14:textId="4F582BE3" w:rsidR="00266B1F" w:rsidRDefault="00266B1F">
      <w:pPr>
        <w:pStyle w:val="TM3"/>
        <w:tabs>
          <w:tab w:val="left" w:pos="960"/>
          <w:tab w:val="right" w:leader="dot" w:pos="8630"/>
        </w:tabs>
        <w:rPr>
          <w:noProof/>
          <w:kern w:val="2"/>
          <w:sz w:val="24"/>
          <w:szCs w:val="24"/>
          <w:lang w:eastAsia="fr-BE"/>
          <w14:ligatures w14:val="standardContextual"/>
        </w:rPr>
      </w:pPr>
      <w:hyperlink w:anchor="_Toc233626192"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Stabilisation de la charge de la dette</w:t>
        </w:r>
        <w:r>
          <w:rPr>
            <w:noProof/>
            <w:webHidden/>
          </w:rPr>
          <w:tab/>
        </w:r>
        <w:r>
          <w:rPr>
            <w:noProof/>
            <w:webHidden/>
          </w:rPr>
          <w:fldChar w:fldCharType="begin"/>
        </w:r>
        <w:r>
          <w:rPr>
            <w:noProof/>
            <w:webHidden/>
          </w:rPr>
          <w:instrText xml:space="preserve"> PAGEREF _Toc233626192 \h </w:instrText>
        </w:r>
        <w:r>
          <w:rPr>
            <w:noProof/>
            <w:webHidden/>
          </w:rPr>
        </w:r>
        <w:r>
          <w:rPr>
            <w:noProof/>
            <w:webHidden/>
          </w:rPr>
          <w:fldChar w:fldCharType="separate"/>
        </w:r>
        <w:r w:rsidR="001E3978">
          <w:rPr>
            <w:noProof/>
            <w:webHidden/>
          </w:rPr>
          <w:t>77</w:t>
        </w:r>
        <w:r>
          <w:rPr>
            <w:noProof/>
            <w:webHidden/>
          </w:rPr>
          <w:fldChar w:fldCharType="end"/>
        </w:r>
      </w:hyperlink>
    </w:p>
    <w:p w14:paraId="5F7B3EA1" w14:textId="6A3F7D2B" w:rsidR="00266B1F" w:rsidRDefault="00266B1F">
      <w:pPr>
        <w:pStyle w:val="TM3"/>
        <w:tabs>
          <w:tab w:val="left" w:pos="960"/>
          <w:tab w:val="right" w:leader="dot" w:pos="8630"/>
        </w:tabs>
        <w:rPr>
          <w:noProof/>
          <w:kern w:val="2"/>
          <w:sz w:val="24"/>
          <w:szCs w:val="24"/>
          <w:lang w:eastAsia="fr-BE"/>
          <w14:ligatures w14:val="standardContextual"/>
        </w:rPr>
      </w:pPr>
      <w:hyperlink w:anchor="_Toc233626193"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Leasing financier</w:t>
        </w:r>
        <w:r>
          <w:rPr>
            <w:noProof/>
            <w:webHidden/>
          </w:rPr>
          <w:tab/>
        </w:r>
        <w:r>
          <w:rPr>
            <w:noProof/>
            <w:webHidden/>
          </w:rPr>
          <w:fldChar w:fldCharType="begin"/>
        </w:r>
        <w:r>
          <w:rPr>
            <w:noProof/>
            <w:webHidden/>
          </w:rPr>
          <w:instrText xml:space="preserve"> PAGEREF _Toc233626193 \h </w:instrText>
        </w:r>
        <w:r>
          <w:rPr>
            <w:noProof/>
            <w:webHidden/>
          </w:rPr>
        </w:r>
        <w:r>
          <w:rPr>
            <w:noProof/>
            <w:webHidden/>
          </w:rPr>
          <w:fldChar w:fldCharType="separate"/>
        </w:r>
        <w:r w:rsidR="001E3978">
          <w:rPr>
            <w:noProof/>
            <w:webHidden/>
          </w:rPr>
          <w:t>77</w:t>
        </w:r>
        <w:r>
          <w:rPr>
            <w:noProof/>
            <w:webHidden/>
          </w:rPr>
          <w:fldChar w:fldCharType="end"/>
        </w:r>
      </w:hyperlink>
    </w:p>
    <w:p w14:paraId="161E8773" w14:textId="5F3C23D1" w:rsidR="00266B1F" w:rsidRDefault="00266B1F">
      <w:pPr>
        <w:pStyle w:val="TM3"/>
        <w:tabs>
          <w:tab w:val="left" w:pos="960"/>
          <w:tab w:val="right" w:leader="dot" w:pos="8630"/>
        </w:tabs>
        <w:rPr>
          <w:noProof/>
          <w:kern w:val="2"/>
          <w:sz w:val="24"/>
          <w:szCs w:val="24"/>
          <w:lang w:eastAsia="fr-BE"/>
          <w14:ligatures w14:val="standardContextual"/>
        </w:rPr>
      </w:pPr>
      <w:hyperlink w:anchor="_Toc233626194"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Emprunts à contracter prévus aux exercices antérieurs</w:t>
        </w:r>
        <w:r>
          <w:rPr>
            <w:noProof/>
            <w:webHidden/>
          </w:rPr>
          <w:tab/>
        </w:r>
        <w:r>
          <w:rPr>
            <w:noProof/>
            <w:webHidden/>
          </w:rPr>
          <w:fldChar w:fldCharType="begin"/>
        </w:r>
        <w:r>
          <w:rPr>
            <w:noProof/>
            <w:webHidden/>
          </w:rPr>
          <w:instrText xml:space="preserve"> PAGEREF _Toc233626194 \h </w:instrText>
        </w:r>
        <w:r>
          <w:rPr>
            <w:noProof/>
            <w:webHidden/>
          </w:rPr>
        </w:r>
        <w:r>
          <w:rPr>
            <w:noProof/>
            <w:webHidden/>
          </w:rPr>
          <w:fldChar w:fldCharType="separate"/>
        </w:r>
        <w:r w:rsidR="001E3978">
          <w:rPr>
            <w:noProof/>
            <w:webHidden/>
          </w:rPr>
          <w:t>78</w:t>
        </w:r>
        <w:r>
          <w:rPr>
            <w:noProof/>
            <w:webHidden/>
          </w:rPr>
          <w:fldChar w:fldCharType="end"/>
        </w:r>
      </w:hyperlink>
    </w:p>
    <w:p w14:paraId="2C3EFBE7" w14:textId="564F3534" w:rsidR="00266B1F" w:rsidRDefault="00266B1F">
      <w:pPr>
        <w:pStyle w:val="TM3"/>
        <w:tabs>
          <w:tab w:val="left" w:pos="960"/>
          <w:tab w:val="right" w:leader="dot" w:pos="8630"/>
        </w:tabs>
        <w:rPr>
          <w:noProof/>
          <w:kern w:val="2"/>
          <w:sz w:val="24"/>
          <w:szCs w:val="24"/>
          <w:lang w:eastAsia="fr-BE"/>
          <w14:ligatures w14:val="standardContextual"/>
        </w:rPr>
      </w:pPr>
      <w:hyperlink w:anchor="_Toc233626195"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Garanties d’emprunts</w:t>
        </w:r>
        <w:r>
          <w:rPr>
            <w:noProof/>
            <w:webHidden/>
          </w:rPr>
          <w:tab/>
        </w:r>
        <w:r>
          <w:rPr>
            <w:noProof/>
            <w:webHidden/>
          </w:rPr>
          <w:fldChar w:fldCharType="begin"/>
        </w:r>
        <w:r>
          <w:rPr>
            <w:noProof/>
            <w:webHidden/>
          </w:rPr>
          <w:instrText xml:space="preserve"> PAGEREF _Toc233626195 \h </w:instrText>
        </w:r>
        <w:r>
          <w:rPr>
            <w:noProof/>
            <w:webHidden/>
          </w:rPr>
        </w:r>
        <w:r>
          <w:rPr>
            <w:noProof/>
            <w:webHidden/>
          </w:rPr>
          <w:fldChar w:fldCharType="separate"/>
        </w:r>
        <w:r w:rsidR="001E3978">
          <w:rPr>
            <w:noProof/>
            <w:webHidden/>
          </w:rPr>
          <w:t>78</w:t>
        </w:r>
        <w:r>
          <w:rPr>
            <w:noProof/>
            <w:webHidden/>
          </w:rPr>
          <w:fldChar w:fldCharType="end"/>
        </w:r>
      </w:hyperlink>
    </w:p>
    <w:p w14:paraId="07529E72" w14:textId="4DAACD93" w:rsidR="00266B1F" w:rsidRDefault="00266B1F">
      <w:pPr>
        <w:pStyle w:val="TM3"/>
        <w:tabs>
          <w:tab w:val="left" w:pos="960"/>
          <w:tab w:val="right" w:leader="dot" w:pos="8630"/>
        </w:tabs>
        <w:rPr>
          <w:noProof/>
          <w:kern w:val="2"/>
          <w:sz w:val="24"/>
          <w:szCs w:val="24"/>
          <w:lang w:eastAsia="fr-BE"/>
          <w14:ligatures w14:val="standardContextual"/>
        </w:rPr>
      </w:pPr>
      <w:hyperlink w:anchor="_Toc233626196"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Rééchelonnements d’emprunts</w:t>
        </w:r>
        <w:r>
          <w:rPr>
            <w:noProof/>
            <w:webHidden/>
          </w:rPr>
          <w:tab/>
        </w:r>
        <w:r>
          <w:rPr>
            <w:noProof/>
            <w:webHidden/>
          </w:rPr>
          <w:fldChar w:fldCharType="begin"/>
        </w:r>
        <w:r>
          <w:rPr>
            <w:noProof/>
            <w:webHidden/>
          </w:rPr>
          <w:instrText xml:space="preserve"> PAGEREF _Toc233626196 \h </w:instrText>
        </w:r>
        <w:r>
          <w:rPr>
            <w:noProof/>
            <w:webHidden/>
          </w:rPr>
        </w:r>
        <w:r>
          <w:rPr>
            <w:noProof/>
            <w:webHidden/>
          </w:rPr>
          <w:fldChar w:fldCharType="separate"/>
        </w:r>
        <w:r w:rsidR="001E3978">
          <w:rPr>
            <w:noProof/>
            <w:webHidden/>
          </w:rPr>
          <w:t>78</w:t>
        </w:r>
        <w:r>
          <w:rPr>
            <w:noProof/>
            <w:webHidden/>
          </w:rPr>
          <w:fldChar w:fldCharType="end"/>
        </w:r>
      </w:hyperlink>
    </w:p>
    <w:p w14:paraId="07952082" w14:textId="2EB24AA2" w:rsidR="00266B1F" w:rsidRDefault="00266B1F">
      <w:pPr>
        <w:pStyle w:val="TM3"/>
        <w:tabs>
          <w:tab w:val="left" w:pos="960"/>
          <w:tab w:val="right" w:leader="dot" w:pos="8630"/>
        </w:tabs>
        <w:rPr>
          <w:noProof/>
          <w:kern w:val="2"/>
          <w:sz w:val="24"/>
          <w:szCs w:val="24"/>
          <w:lang w:eastAsia="fr-BE"/>
          <w14:ligatures w14:val="standardContextual"/>
        </w:rPr>
      </w:pPr>
      <w:hyperlink w:anchor="_Toc233626197" w:history="1">
        <w:r w:rsidRPr="0027322A">
          <w:rPr>
            <w:rStyle w:val="Lienhypertexte"/>
            <w:smallCaps/>
            <w:noProof/>
          </w:rPr>
          <w:t>F.</w:t>
        </w:r>
        <w:r>
          <w:rPr>
            <w:noProof/>
            <w:kern w:val="2"/>
            <w:sz w:val="24"/>
            <w:szCs w:val="24"/>
            <w:lang w:eastAsia="fr-BE"/>
            <w14:ligatures w14:val="standardContextual"/>
          </w:rPr>
          <w:tab/>
        </w:r>
        <w:r w:rsidRPr="0027322A">
          <w:rPr>
            <w:rStyle w:val="Lienhypertexte"/>
            <w:noProof/>
          </w:rPr>
          <w:t>Charge des nouveaux emprunts</w:t>
        </w:r>
        <w:r>
          <w:rPr>
            <w:noProof/>
            <w:webHidden/>
          </w:rPr>
          <w:tab/>
        </w:r>
        <w:r>
          <w:rPr>
            <w:noProof/>
            <w:webHidden/>
          </w:rPr>
          <w:fldChar w:fldCharType="begin"/>
        </w:r>
        <w:r>
          <w:rPr>
            <w:noProof/>
            <w:webHidden/>
          </w:rPr>
          <w:instrText xml:space="preserve"> PAGEREF _Toc233626197 \h </w:instrText>
        </w:r>
        <w:r>
          <w:rPr>
            <w:noProof/>
            <w:webHidden/>
          </w:rPr>
        </w:r>
        <w:r>
          <w:rPr>
            <w:noProof/>
            <w:webHidden/>
          </w:rPr>
          <w:fldChar w:fldCharType="separate"/>
        </w:r>
        <w:r w:rsidR="001E3978">
          <w:rPr>
            <w:noProof/>
            <w:webHidden/>
          </w:rPr>
          <w:t>78</w:t>
        </w:r>
        <w:r>
          <w:rPr>
            <w:noProof/>
            <w:webHidden/>
          </w:rPr>
          <w:fldChar w:fldCharType="end"/>
        </w:r>
      </w:hyperlink>
    </w:p>
    <w:p w14:paraId="7F0CCB54" w14:textId="77D49692" w:rsidR="00266B1F" w:rsidRDefault="00266B1F">
      <w:pPr>
        <w:pStyle w:val="TM2"/>
        <w:tabs>
          <w:tab w:val="left" w:pos="720"/>
          <w:tab w:val="right" w:leader="dot" w:pos="8630"/>
        </w:tabs>
        <w:rPr>
          <w:noProof/>
          <w:kern w:val="2"/>
          <w:sz w:val="24"/>
          <w:szCs w:val="24"/>
          <w:lang w:eastAsia="fr-BE"/>
          <w14:ligatures w14:val="standardContextual"/>
        </w:rPr>
      </w:pPr>
      <w:hyperlink w:anchor="_Toc233626198" w:history="1">
        <w:r w:rsidRPr="0027322A">
          <w:rPr>
            <w:rStyle w:val="Lienhypertexte"/>
            <w:noProof/>
          </w:rPr>
          <w:t>5.</w:t>
        </w:r>
        <w:r>
          <w:rPr>
            <w:noProof/>
            <w:kern w:val="2"/>
            <w:sz w:val="24"/>
            <w:szCs w:val="24"/>
            <w:lang w:eastAsia="fr-BE"/>
            <w14:ligatures w14:val="standardContextual"/>
          </w:rPr>
          <w:tab/>
        </w:r>
        <w:r w:rsidRPr="0027322A">
          <w:rPr>
            <w:rStyle w:val="Lienhypertexte"/>
            <w:noProof/>
          </w:rPr>
          <w:t>Prélèvements et provisions pour risques et charges</w:t>
        </w:r>
        <w:r>
          <w:rPr>
            <w:noProof/>
            <w:webHidden/>
          </w:rPr>
          <w:tab/>
        </w:r>
        <w:r>
          <w:rPr>
            <w:noProof/>
            <w:webHidden/>
          </w:rPr>
          <w:fldChar w:fldCharType="begin"/>
        </w:r>
        <w:r>
          <w:rPr>
            <w:noProof/>
            <w:webHidden/>
          </w:rPr>
          <w:instrText xml:space="preserve"> PAGEREF _Toc233626198 \h </w:instrText>
        </w:r>
        <w:r>
          <w:rPr>
            <w:noProof/>
            <w:webHidden/>
          </w:rPr>
        </w:r>
        <w:r>
          <w:rPr>
            <w:noProof/>
            <w:webHidden/>
          </w:rPr>
          <w:fldChar w:fldCharType="separate"/>
        </w:r>
        <w:r w:rsidR="001E3978">
          <w:rPr>
            <w:noProof/>
            <w:webHidden/>
          </w:rPr>
          <w:t>79</w:t>
        </w:r>
        <w:r>
          <w:rPr>
            <w:noProof/>
            <w:webHidden/>
          </w:rPr>
          <w:fldChar w:fldCharType="end"/>
        </w:r>
      </w:hyperlink>
    </w:p>
    <w:p w14:paraId="28E146E2" w14:textId="134BE7D4" w:rsidR="00266B1F" w:rsidRDefault="00266B1F">
      <w:pPr>
        <w:pStyle w:val="TM3"/>
        <w:tabs>
          <w:tab w:val="left" w:pos="960"/>
          <w:tab w:val="right" w:leader="dot" w:pos="8630"/>
        </w:tabs>
        <w:rPr>
          <w:noProof/>
          <w:kern w:val="2"/>
          <w:sz w:val="24"/>
          <w:szCs w:val="24"/>
          <w:lang w:eastAsia="fr-BE"/>
          <w14:ligatures w14:val="standardContextual"/>
        </w:rPr>
      </w:pPr>
      <w:hyperlink w:anchor="_Toc233626199"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Prélèvements</w:t>
        </w:r>
        <w:r>
          <w:rPr>
            <w:noProof/>
            <w:webHidden/>
          </w:rPr>
          <w:tab/>
        </w:r>
        <w:r>
          <w:rPr>
            <w:noProof/>
            <w:webHidden/>
          </w:rPr>
          <w:fldChar w:fldCharType="begin"/>
        </w:r>
        <w:r>
          <w:rPr>
            <w:noProof/>
            <w:webHidden/>
          </w:rPr>
          <w:instrText xml:space="preserve"> PAGEREF _Toc233626199 \h </w:instrText>
        </w:r>
        <w:r>
          <w:rPr>
            <w:noProof/>
            <w:webHidden/>
          </w:rPr>
        </w:r>
        <w:r>
          <w:rPr>
            <w:noProof/>
            <w:webHidden/>
          </w:rPr>
          <w:fldChar w:fldCharType="separate"/>
        </w:r>
        <w:r w:rsidR="001E3978">
          <w:rPr>
            <w:noProof/>
            <w:webHidden/>
          </w:rPr>
          <w:t>79</w:t>
        </w:r>
        <w:r>
          <w:rPr>
            <w:noProof/>
            <w:webHidden/>
          </w:rPr>
          <w:fldChar w:fldCharType="end"/>
        </w:r>
      </w:hyperlink>
    </w:p>
    <w:p w14:paraId="65691F32" w14:textId="1D154C21" w:rsidR="00266B1F" w:rsidRDefault="00266B1F">
      <w:pPr>
        <w:pStyle w:val="TM3"/>
        <w:tabs>
          <w:tab w:val="left" w:pos="960"/>
          <w:tab w:val="right" w:leader="dot" w:pos="8630"/>
        </w:tabs>
        <w:rPr>
          <w:noProof/>
          <w:kern w:val="2"/>
          <w:sz w:val="24"/>
          <w:szCs w:val="24"/>
          <w:lang w:eastAsia="fr-BE"/>
          <w14:ligatures w14:val="standardContextual"/>
        </w:rPr>
      </w:pPr>
      <w:hyperlink w:anchor="_Toc233626200"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Provisions pour risques et charges</w:t>
        </w:r>
        <w:r>
          <w:rPr>
            <w:noProof/>
            <w:webHidden/>
          </w:rPr>
          <w:tab/>
        </w:r>
        <w:r>
          <w:rPr>
            <w:noProof/>
            <w:webHidden/>
          </w:rPr>
          <w:fldChar w:fldCharType="begin"/>
        </w:r>
        <w:r>
          <w:rPr>
            <w:noProof/>
            <w:webHidden/>
          </w:rPr>
          <w:instrText xml:space="preserve"> PAGEREF _Toc233626200 \h </w:instrText>
        </w:r>
        <w:r>
          <w:rPr>
            <w:noProof/>
            <w:webHidden/>
          </w:rPr>
        </w:r>
        <w:r>
          <w:rPr>
            <w:noProof/>
            <w:webHidden/>
          </w:rPr>
          <w:fldChar w:fldCharType="separate"/>
        </w:r>
        <w:r w:rsidR="001E3978">
          <w:rPr>
            <w:noProof/>
            <w:webHidden/>
          </w:rPr>
          <w:t>79</w:t>
        </w:r>
        <w:r>
          <w:rPr>
            <w:noProof/>
            <w:webHidden/>
          </w:rPr>
          <w:fldChar w:fldCharType="end"/>
        </w:r>
      </w:hyperlink>
    </w:p>
    <w:p w14:paraId="0CDEABDE" w14:textId="54108A6D" w:rsidR="00266B1F" w:rsidRDefault="00266B1F">
      <w:pPr>
        <w:pStyle w:val="TM2"/>
        <w:tabs>
          <w:tab w:val="left" w:pos="720"/>
          <w:tab w:val="right" w:leader="dot" w:pos="8630"/>
        </w:tabs>
        <w:rPr>
          <w:noProof/>
          <w:kern w:val="2"/>
          <w:sz w:val="24"/>
          <w:szCs w:val="24"/>
          <w:lang w:eastAsia="fr-BE"/>
          <w14:ligatures w14:val="standardContextual"/>
        </w:rPr>
      </w:pPr>
      <w:hyperlink w:anchor="_Toc233626201" w:history="1">
        <w:r w:rsidRPr="0027322A">
          <w:rPr>
            <w:rStyle w:val="Lienhypertexte"/>
            <w:noProof/>
          </w:rPr>
          <w:t>6.</w:t>
        </w:r>
        <w:r>
          <w:rPr>
            <w:noProof/>
            <w:kern w:val="2"/>
            <w:sz w:val="24"/>
            <w:szCs w:val="24"/>
            <w:lang w:eastAsia="fr-BE"/>
            <w14:ligatures w14:val="standardContextual"/>
          </w:rPr>
          <w:tab/>
        </w:r>
        <w:r w:rsidRPr="0027322A">
          <w:rPr>
            <w:rStyle w:val="Lienhypertexte"/>
            <w:noProof/>
          </w:rPr>
          <w:t>Délégation</w:t>
        </w:r>
        <w:r>
          <w:rPr>
            <w:noProof/>
            <w:webHidden/>
          </w:rPr>
          <w:tab/>
        </w:r>
        <w:r>
          <w:rPr>
            <w:noProof/>
            <w:webHidden/>
          </w:rPr>
          <w:fldChar w:fldCharType="begin"/>
        </w:r>
        <w:r>
          <w:rPr>
            <w:noProof/>
            <w:webHidden/>
          </w:rPr>
          <w:instrText xml:space="preserve"> PAGEREF _Toc233626201 \h </w:instrText>
        </w:r>
        <w:r>
          <w:rPr>
            <w:noProof/>
            <w:webHidden/>
          </w:rPr>
        </w:r>
        <w:r>
          <w:rPr>
            <w:noProof/>
            <w:webHidden/>
          </w:rPr>
          <w:fldChar w:fldCharType="separate"/>
        </w:r>
        <w:r w:rsidR="001E3978">
          <w:rPr>
            <w:noProof/>
            <w:webHidden/>
          </w:rPr>
          <w:t>81</w:t>
        </w:r>
        <w:r>
          <w:rPr>
            <w:noProof/>
            <w:webHidden/>
          </w:rPr>
          <w:fldChar w:fldCharType="end"/>
        </w:r>
      </w:hyperlink>
    </w:p>
    <w:p w14:paraId="557409F0" w14:textId="759032DE" w:rsidR="00266B1F" w:rsidRDefault="00266B1F">
      <w:pPr>
        <w:pStyle w:val="TM1"/>
        <w:rPr>
          <w:b w:val="0"/>
          <w:bCs w:val="0"/>
        </w:rPr>
      </w:pPr>
      <w:hyperlink w:anchor="_Toc233626202" w:history="1">
        <w:r w:rsidRPr="0027322A">
          <w:rPr>
            <w:rStyle w:val="Lienhypertexte"/>
          </w:rPr>
          <w:t>V.</w:t>
        </w:r>
        <w:r>
          <w:rPr>
            <w:b w:val="0"/>
            <w:bCs w:val="0"/>
          </w:rPr>
          <w:tab/>
        </w:r>
        <w:r w:rsidRPr="0027322A">
          <w:rPr>
            <w:rStyle w:val="Lienhypertexte"/>
          </w:rPr>
          <w:t>Service extraordinaire</w:t>
        </w:r>
        <w:r>
          <w:rPr>
            <w:webHidden/>
          </w:rPr>
          <w:tab/>
        </w:r>
        <w:r>
          <w:rPr>
            <w:webHidden/>
          </w:rPr>
          <w:fldChar w:fldCharType="begin"/>
        </w:r>
        <w:r>
          <w:rPr>
            <w:webHidden/>
          </w:rPr>
          <w:instrText xml:space="preserve"> PAGEREF _Toc233626202 \h </w:instrText>
        </w:r>
        <w:r>
          <w:rPr>
            <w:webHidden/>
          </w:rPr>
        </w:r>
        <w:r>
          <w:rPr>
            <w:webHidden/>
          </w:rPr>
          <w:fldChar w:fldCharType="separate"/>
        </w:r>
        <w:r w:rsidR="001E3978">
          <w:rPr>
            <w:webHidden/>
          </w:rPr>
          <w:t>81</w:t>
        </w:r>
        <w:r>
          <w:rPr>
            <w:webHidden/>
          </w:rPr>
          <w:fldChar w:fldCharType="end"/>
        </w:r>
      </w:hyperlink>
    </w:p>
    <w:p w14:paraId="5FAE0F0E" w14:textId="679D70BD" w:rsidR="00266B1F" w:rsidRDefault="00266B1F">
      <w:pPr>
        <w:pStyle w:val="TM2"/>
        <w:tabs>
          <w:tab w:val="left" w:pos="720"/>
          <w:tab w:val="right" w:leader="dot" w:pos="8630"/>
        </w:tabs>
        <w:rPr>
          <w:noProof/>
          <w:kern w:val="2"/>
          <w:sz w:val="24"/>
          <w:szCs w:val="24"/>
          <w:lang w:eastAsia="fr-BE"/>
          <w14:ligatures w14:val="standardContextual"/>
        </w:rPr>
      </w:pPr>
      <w:hyperlink w:anchor="_Toc233626203" w:history="1">
        <w:r w:rsidRPr="0027322A">
          <w:rPr>
            <w:rStyle w:val="Lienhypertexte"/>
            <w:noProof/>
          </w:rPr>
          <w:t>1.</w:t>
        </w:r>
        <w:r>
          <w:rPr>
            <w:noProof/>
            <w:kern w:val="2"/>
            <w:sz w:val="24"/>
            <w:szCs w:val="24"/>
            <w:lang w:eastAsia="fr-BE"/>
            <w14:ligatures w14:val="standardContextual"/>
          </w:rPr>
          <w:tab/>
        </w:r>
        <w:r w:rsidRPr="0027322A">
          <w:rPr>
            <w:rStyle w:val="Lienhypertexte"/>
            <w:noProof/>
          </w:rPr>
          <w:t>Généralités</w:t>
        </w:r>
        <w:r>
          <w:rPr>
            <w:noProof/>
            <w:webHidden/>
          </w:rPr>
          <w:tab/>
        </w:r>
        <w:r>
          <w:rPr>
            <w:noProof/>
            <w:webHidden/>
          </w:rPr>
          <w:fldChar w:fldCharType="begin"/>
        </w:r>
        <w:r>
          <w:rPr>
            <w:noProof/>
            <w:webHidden/>
          </w:rPr>
          <w:instrText xml:space="preserve"> PAGEREF _Toc233626203 \h </w:instrText>
        </w:r>
        <w:r>
          <w:rPr>
            <w:noProof/>
            <w:webHidden/>
          </w:rPr>
        </w:r>
        <w:r>
          <w:rPr>
            <w:noProof/>
            <w:webHidden/>
          </w:rPr>
          <w:fldChar w:fldCharType="separate"/>
        </w:r>
        <w:r w:rsidR="001E3978">
          <w:rPr>
            <w:noProof/>
            <w:webHidden/>
          </w:rPr>
          <w:t>81</w:t>
        </w:r>
        <w:r>
          <w:rPr>
            <w:noProof/>
            <w:webHidden/>
          </w:rPr>
          <w:fldChar w:fldCharType="end"/>
        </w:r>
      </w:hyperlink>
    </w:p>
    <w:p w14:paraId="3384883E" w14:textId="40875705" w:rsidR="00266B1F" w:rsidRDefault="00266B1F">
      <w:pPr>
        <w:pStyle w:val="TM2"/>
        <w:tabs>
          <w:tab w:val="left" w:pos="720"/>
          <w:tab w:val="right" w:leader="dot" w:pos="8630"/>
        </w:tabs>
        <w:rPr>
          <w:noProof/>
          <w:kern w:val="2"/>
          <w:sz w:val="24"/>
          <w:szCs w:val="24"/>
          <w:lang w:eastAsia="fr-BE"/>
          <w14:ligatures w14:val="standardContextual"/>
        </w:rPr>
      </w:pPr>
      <w:hyperlink w:anchor="_Toc233626204" w:history="1">
        <w:r w:rsidRPr="0027322A">
          <w:rPr>
            <w:rStyle w:val="Lienhypertexte"/>
            <w:noProof/>
          </w:rPr>
          <w:t>2.</w:t>
        </w:r>
        <w:r>
          <w:rPr>
            <w:noProof/>
            <w:kern w:val="2"/>
            <w:sz w:val="24"/>
            <w:szCs w:val="24"/>
            <w:lang w:eastAsia="fr-BE"/>
            <w14:ligatures w14:val="standardContextual"/>
          </w:rPr>
          <w:tab/>
        </w:r>
        <w:r w:rsidRPr="0027322A">
          <w:rPr>
            <w:rStyle w:val="Lienhypertexte"/>
            <w:noProof/>
          </w:rPr>
          <w:t>Ratios de charge de dette et d’endettement</w:t>
        </w:r>
        <w:r>
          <w:rPr>
            <w:noProof/>
            <w:webHidden/>
          </w:rPr>
          <w:tab/>
        </w:r>
        <w:r>
          <w:rPr>
            <w:noProof/>
            <w:webHidden/>
          </w:rPr>
          <w:fldChar w:fldCharType="begin"/>
        </w:r>
        <w:r>
          <w:rPr>
            <w:noProof/>
            <w:webHidden/>
          </w:rPr>
          <w:instrText xml:space="preserve"> PAGEREF _Toc233626204 \h </w:instrText>
        </w:r>
        <w:r>
          <w:rPr>
            <w:noProof/>
            <w:webHidden/>
          </w:rPr>
        </w:r>
        <w:r>
          <w:rPr>
            <w:noProof/>
            <w:webHidden/>
          </w:rPr>
          <w:fldChar w:fldCharType="separate"/>
        </w:r>
        <w:r w:rsidR="001E3978">
          <w:rPr>
            <w:noProof/>
            <w:webHidden/>
          </w:rPr>
          <w:t>82</w:t>
        </w:r>
        <w:r>
          <w:rPr>
            <w:noProof/>
            <w:webHidden/>
          </w:rPr>
          <w:fldChar w:fldCharType="end"/>
        </w:r>
      </w:hyperlink>
    </w:p>
    <w:p w14:paraId="7E6B8B89" w14:textId="715C4D6F" w:rsidR="00266B1F" w:rsidRDefault="00266B1F">
      <w:pPr>
        <w:pStyle w:val="TM2"/>
        <w:tabs>
          <w:tab w:val="left" w:pos="720"/>
          <w:tab w:val="right" w:leader="dot" w:pos="8630"/>
        </w:tabs>
        <w:rPr>
          <w:noProof/>
          <w:kern w:val="2"/>
          <w:sz w:val="24"/>
          <w:szCs w:val="24"/>
          <w:lang w:eastAsia="fr-BE"/>
          <w14:ligatures w14:val="standardContextual"/>
        </w:rPr>
      </w:pPr>
      <w:hyperlink w:anchor="_Toc233626205" w:history="1">
        <w:r w:rsidRPr="0027322A">
          <w:rPr>
            <w:rStyle w:val="Lienhypertexte"/>
            <w:noProof/>
          </w:rPr>
          <w:t>3.</w:t>
        </w:r>
        <w:r>
          <w:rPr>
            <w:noProof/>
            <w:kern w:val="2"/>
            <w:sz w:val="24"/>
            <w:szCs w:val="24"/>
            <w:lang w:eastAsia="fr-BE"/>
            <w14:ligatures w14:val="standardContextual"/>
          </w:rPr>
          <w:tab/>
        </w:r>
        <w:r w:rsidRPr="0027322A">
          <w:rPr>
            <w:rStyle w:val="Lienhypertexte"/>
            <w:noProof/>
          </w:rPr>
          <w:t>Fonds extraordinaire régional d’investissement FERI</w:t>
        </w:r>
        <w:r>
          <w:rPr>
            <w:noProof/>
            <w:webHidden/>
          </w:rPr>
          <w:tab/>
        </w:r>
        <w:r>
          <w:rPr>
            <w:noProof/>
            <w:webHidden/>
          </w:rPr>
          <w:fldChar w:fldCharType="begin"/>
        </w:r>
        <w:r>
          <w:rPr>
            <w:noProof/>
            <w:webHidden/>
          </w:rPr>
          <w:instrText xml:space="preserve"> PAGEREF _Toc233626205 \h </w:instrText>
        </w:r>
        <w:r>
          <w:rPr>
            <w:noProof/>
            <w:webHidden/>
          </w:rPr>
        </w:r>
        <w:r>
          <w:rPr>
            <w:noProof/>
            <w:webHidden/>
          </w:rPr>
          <w:fldChar w:fldCharType="separate"/>
        </w:r>
        <w:r w:rsidR="001E3978">
          <w:rPr>
            <w:noProof/>
            <w:webHidden/>
          </w:rPr>
          <w:t>83</w:t>
        </w:r>
        <w:r>
          <w:rPr>
            <w:noProof/>
            <w:webHidden/>
          </w:rPr>
          <w:fldChar w:fldCharType="end"/>
        </w:r>
      </w:hyperlink>
    </w:p>
    <w:p w14:paraId="7ED4FEE0" w14:textId="73B58233" w:rsidR="00266B1F" w:rsidRDefault="00266B1F">
      <w:pPr>
        <w:pStyle w:val="TM2"/>
        <w:tabs>
          <w:tab w:val="left" w:pos="720"/>
          <w:tab w:val="right" w:leader="dot" w:pos="8630"/>
        </w:tabs>
        <w:rPr>
          <w:noProof/>
          <w:kern w:val="2"/>
          <w:sz w:val="24"/>
          <w:szCs w:val="24"/>
          <w:lang w:eastAsia="fr-BE"/>
          <w14:ligatures w14:val="standardContextual"/>
        </w:rPr>
      </w:pPr>
      <w:hyperlink w:anchor="_Toc233626206" w:history="1">
        <w:r w:rsidRPr="0027322A">
          <w:rPr>
            <w:rStyle w:val="Lienhypertexte"/>
            <w:noProof/>
          </w:rPr>
          <w:t>4.</w:t>
        </w:r>
        <w:r>
          <w:rPr>
            <w:noProof/>
            <w:kern w:val="2"/>
            <w:sz w:val="24"/>
            <w:szCs w:val="24"/>
            <w:lang w:eastAsia="fr-BE"/>
            <w14:ligatures w14:val="standardContextual"/>
          </w:rPr>
          <w:tab/>
        </w:r>
        <w:r w:rsidRPr="0027322A">
          <w:rPr>
            <w:rStyle w:val="Lienhypertexte"/>
            <w:noProof/>
          </w:rPr>
          <w:t>Petites dépenses d’investissement : comptabilisation</w:t>
        </w:r>
        <w:r>
          <w:rPr>
            <w:noProof/>
            <w:webHidden/>
          </w:rPr>
          <w:tab/>
        </w:r>
        <w:r>
          <w:rPr>
            <w:noProof/>
            <w:webHidden/>
          </w:rPr>
          <w:fldChar w:fldCharType="begin"/>
        </w:r>
        <w:r>
          <w:rPr>
            <w:noProof/>
            <w:webHidden/>
          </w:rPr>
          <w:instrText xml:space="preserve"> PAGEREF _Toc233626206 \h </w:instrText>
        </w:r>
        <w:r>
          <w:rPr>
            <w:noProof/>
            <w:webHidden/>
          </w:rPr>
        </w:r>
        <w:r>
          <w:rPr>
            <w:noProof/>
            <w:webHidden/>
          </w:rPr>
          <w:fldChar w:fldCharType="separate"/>
        </w:r>
        <w:r w:rsidR="001E3978">
          <w:rPr>
            <w:noProof/>
            <w:webHidden/>
          </w:rPr>
          <w:t>85</w:t>
        </w:r>
        <w:r>
          <w:rPr>
            <w:noProof/>
            <w:webHidden/>
          </w:rPr>
          <w:fldChar w:fldCharType="end"/>
        </w:r>
      </w:hyperlink>
    </w:p>
    <w:p w14:paraId="4C42DE2C" w14:textId="584A1707" w:rsidR="00266B1F" w:rsidRDefault="00266B1F">
      <w:pPr>
        <w:pStyle w:val="TM2"/>
        <w:tabs>
          <w:tab w:val="left" w:pos="720"/>
          <w:tab w:val="right" w:leader="dot" w:pos="8630"/>
        </w:tabs>
        <w:rPr>
          <w:noProof/>
          <w:kern w:val="2"/>
          <w:sz w:val="24"/>
          <w:szCs w:val="24"/>
          <w:lang w:eastAsia="fr-BE"/>
          <w14:ligatures w14:val="standardContextual"/>
        </w:rPr>
      </w:pPr>
      <w:hyperlink w:anchor="_Toc233626207" w:history="1">
        <w:r w:rsidRPr="0027322A">
          <w:rPr>
            <w:rStyle w:val="Lienhypertexte"/>
            <w:noProof/>
          </w:rPr>
          <w:t>5.</w:t>
        </w:r>
        <w:r>
          <w:rPr>
            <w:noProof/>
            <w:kern w:val="2"/>
            <w:sz w:val="24"/>
            <w:szCs w:val="24"/>
            <w:lang w:eastAsia="fr-BE"/>
            <w14:ligatures w14:val="standardContextual"/>
          </w:rPr>
          <w:tab/>
        </w:r>
        <w:r w:rsidRPr="0027322A">
          <w:rPr>
            <w:rStyle w:val="Lienhypertexte"/>
            <w:noProof/>
          </w:rPr>
          <w:t>Boni des exercices antérieurs</w:t>
        </w:r>
        <w:r>
          <w:rPr>
            <w:noProof/>
            <w:webHidden/>
          </w:rPr>
          <w:tab/>
        </w:r>
        <w:r>
          <w:rPr>
            <w:noProof/>
            <w:webHidden/>
          </w:rPr>
          <w:fldChar w:fldCharType="begin"/>
        </w:r>
        <w:r>
          <w:rPr>
            <w:noProof/>
            <w:webHidden/>
          </w:rPr>
          <w:instrText xml:space="preserve"> PAGEREF _Toc233626207 \h </w:instrText>
        </w:r>
        <w:r>
          <w:rPr>
            <w:noProof/>
            <w:webHidden/>
          </w:rPr>
        </w:r>
        <w:r>
          <w:rPr>
            <w:noProof/>
            <w:webHidden/>
          </w:rPr>
          <w:fldChar w:fldCharType="separate"/>
        </w:r>
        <w:r w:rsidR="001E3978">
          <w:rPr>
            <w:noProof/>
            <w:webHidden/>
          </w:rPr>
          <w:t>85</w:t>
        </w:r>
        <w:r>
          <w:rPr>
            <w:noProof/>
            <w:webHidden/>
          </w:rPr>
          <w:fldChar w:fldCharType="end"/>
        </w:r>
      </w:hyperlink>
    </w:p>
    <w:p w14:paraId="3C520F22" w14:textId="2EBDAF67" w:rsidR="00266B1F" w:rsidRDefault="00266B1F">
      <w:pPr>
        <w:pStyle w:val="TM2"/>
        <w:tabs>
          <w:tab w:val="left" w:pos="720"/>
          <w:tab w:val="right" w:leader="dot" w:pos="8630"/>
        </w:tabs>
        <w:rPr>
          <w:noProof/>
          <w:kern w:val="2"/>
          <w:sz w:val="24"/>
          <w:szCs w:val="24"/>
          <w:lang w:eastAsia="fr-BE"/>
          <w14:ligatures w14:val="standardContextual"/>
        </w:rPr>
      </w:pPr>
      <w:hyperlink w:anchor="_Toc233626208" w:history="1">
        <w:r w:rsidRPr="0027322A">
          <w:rPr>
            <w:rStyle w:val="Lienhypertexte"/>
            <w:noProof/>
          </w:rPr>
          <w:t>6.</w:t>
        </w:r>
        <w:r>
          <w:rPr>
            <w:noProof/>
            <w:kern w:val="2"/>
            <w:sz w:val="24"/>
            <w:szCs w:val="24"/>
            <w:lang w:eastAsia="fr-BE"/>
            <w14:ligatures w14:val="standardContextual"/>
          </w:rPr>
          <w:tab/>
        </w:r>
        <w:r w:rsidRPr="0027322A">
          <w:rPr>
            <w:rStyle w:val="Lienhypertexte"/>
            <w:noProof/>
          </w:rPr>
          <w:t>Réserves extraordinaires</w:t>
        </w:r>
        <w:r>
          <w:rPr>
            <w:noProof/>
            <w:webHidden/>
          </w:rPr>
          <w:tab/>
        </w:r>
        <w:r>
          <w:rPr>
            <w:noProof/>
            <w:webHidden/>
          </w:rPr>
          <w:fldChar w:fldCharType="begin"/>
        </w:r>
        <w:r>
          <w:rPr>
            <w:noProof/>
            <w:webHidden/>
          </w:rPr>
          <w:instrText xml:space="preserve"> PAGEREF _Toc233626208 \h </w:instrText>
        </w:r>
        <w:r>
          <w:rPr>
            <w:noProof/>
            <w:webHidden/>
          </w:rPr>
        </w:r>
        <w:r>
          <w:rPr>
            <w:noProof/>
            <w:webHidden/>
          </w:rPr>
          <w:fldChar w:fldCharType="separate"/>
        </w:r>
        <w:r w:rsidR="001E3978">
          <w:rPr>
            <w:noProof/>
            <w:webHidden/>
          </w:rPr>
          <w:t>85</w:t>
        </w:r>
        <w:r>
          <w:rPr>
            <w:noProof/>
            <w:webHidden/>
          </w:rPr>
          <w:fldChar w:fldCharType="end"/>
        </w:r>
      </w:hyperlink>
    </w:p>
    <w:p w14:paraId="331B5A54" w14:textId="733B19D4" w:rsidR="00266B1F" w:rsidRDefault="00266B1F">
      <w:pPr>
        <w:pStyle w:val="TM2"/>
        <w:tabs>
          <w:tab w:val="left" w:pos="720"/>
          <w:tab w:val="right" w:leader="dot" w:pos="8630"/>
        </w:tabs>
        <w:rPr>
          <w:noProof/>
          <w:kern w:val="2"/>
          <w:sz w:val="24"/>
          <w:szCs w:val="24"/>
          <w:lang w:eastAsia="fr-BE"/>
          <w14:ligatures w14:val="standardContextual"/>
        </w:rPr>
      </w:pPr>
      <w:hyperlink w:anchor="_Toc233626209" w:history="1">
        <w:r w:rsidRPr="0027322A">
          <w:rPr>
            <w:rStyle w:val="Lienhypertexte"/>
            <w:noProof/>
          </w:rPr>
          <w:t>7.</w:t>
        </w:r>
        <w:r>
          <w:rPr>
            <w:noProof/>
            <w:kern w:val="2"/>
            <w:sz w:val="24"/>
            <w:szCs w:val="24"/>
            <w:lang w:eastAsia="fr-BE"/>
            <w14:ligatures w14:val="standardContextual"/>
          </w:rPr>
          <w:tab/>
        </w:r>
        <w:r w:rsidRPr="0027322A">
          <w:rPr>
            <w:rStyle w:val="Lienhypertexte"/>
            <w:noProof/>
          </w:rPr>
          <w:t>Marchés publics</w:t>
        </w:r>
        <w:r>
          <w:rPr>
            <w:noProof/>
            <w:webHidden/>
          </w:rPr>
          <w:tab/>
        </w:r>
        <w:r>
          <w:rPr>
            <w:noProof/>
            <w:webHidden/>
          </w:rPr>
          <w:fldChar w:fldCharType="begin"/>
        </w:r>
        <w:r>
          <w:rPr>
            <w:noProof/>
            <w:webHidden/>
          </w:rPr>
          <w:instrText xml:space="preserve"> PAGEREF _Toc233626209 \h </w:instrText>
        </w:r>
        <w:r>
          <w:rPr>
            <w:noProof/>
            <w:webHidden/>
          </w:rPr>
        </w:r>
        <w:r>
          <w:rPr>
            <w:noProof/>
            <w:webHidden/>
          </w:rPr>
          <w:fldChar w:fldCharType="separate"/>
        </w:r>
        <w:r w:rsidR="001E3978">
          <w:rPr>
            <w:noProof/>
            <w:webHidden/>
          </w:rPr>
          <w:t>85</w:t>
        </w:r>
        <w:r>
          <w:rPr>
            <w:noProof/>
            <w:webHidden/>
          </w:rPr>
          <w:fldChar w:fldCharType="end"/>
        </w:r>
      </w:hyperlink>
    </w:p>
    <w:p w14:paraId="3B650D3A" w14:textId="61E2831F" w:rsidR="00266B1F" w:rsidRDefault="00266B1F">
      <w:pPr>
        <w:pStyle w:val="TM2"/>
        <w:tabs>
          <w:tab w:val="left" w:pos="720"/>
          <w:tab w:val="right" w:leader="dot" w:pos="8630"/>
        </w:tabs>
        <w:rPr>
          <w:noProof/>
          <w:kern w:val="2"/>
          <w:sz w:val="24"/>
          <w:szCs w:val="24"/>
          <w:lang w:eastAsia="fr-BE"/>
          <w14:ligatures w14:val="standardContextual"/>
        </w:rPr>
      </w:pPr>
      <w:hyperlink w:anchor="_Toc233626210" w:history="1">
        <w:r w:rsidRPr="0027322A">
          <w:rPr>
            <w:rStyle w:val="Lienhypertexte"/>
            <w:noProof/>
          </w:rPr>
          <w:t>8.</w:t>
        </w:r>
        <w:r>
          <w:rPr>
            <w:noProof/>
            <w:kern w:val="2"/>
            <w:sz w:val="24"/>
            <w:szCs w:val="24"/>
            <w:lang w:eastAsia="fr-BE"/>
            <w14:ligatures w14:val="standardContextual"/>
          </w:rPr>
          <w:tab/>
        </w:r>
        <w:r w:rsidRPr="0027322A">
          <w:rPr>
            <w:rStyle w:val="Lienhypertexte"/>
            <w:noProof/>
          </w:rPr>
          <w:t>Investissement par leasing</w:t>
        </w:r>
        <w:r>
          <w:rPr>
            <w:noProof/>
            <w:webHidden/>
          </w:rPr>
          <w:tab/>
        </w:r>
        <w:r>
          <w:rPr>
            <w:noProof/>
            <w:webHidden/>
          </w:rPr>
          <w:fldChar w:fldCharType="begin"/>
        </w:r>
        <w:r>
          <w:rPr>
            <w:noProof/>
            <w:webHidden/>
          </w:rPr>
          <w:instrText xml:space="preserve"> PAGEREF _Toc233626210 \h </w:instrText>
        </w:r>
        <w:r>
          <w:rPr>
            <w:noProof/>
            <w:webHidden/>
          </w:rPr>
        </w:r>
        <w:r>
          <w:rPr>
            <w:noProof/>
            <w:webHidden/>
          </w:rPr>
          <w:fldChar w:fldCharType="separate"/>
        </w:r>
        <w:r w:rsidR="001E3978">
          <w:rPr>
            <w:noProof/>
            <w:webHidden/>
          </w:rPr>
          <w:t>87</w:t>
        </w:r>
        <w:r>
          <w:rPr>
            <w:noProof/>
            <w:webHidden/>
          </w:rPr>
          <w:fldChar w:fldCharType="end"/>
        </w:r>
      </w:hyperlink>
    </w:p>
    <w:p w14:paraId="2EB93334" w14:textId="5CC44A62" w:rsidR="00266B1F" w:rsidRDefault="00266B1F">
      <w:pPr>
        <w:pStyle w:val="TM2"/>
        <w:tabs>
          <w:tab w:val="left" w:pos="720"/>
          <w:tab w:val="right" w:leader="dot" w:pos="8630"/>
        </w:tabs>
        <w:rPr>
          <w:noProof/>
          <w:kern w:val="2"/>
          <w:sz w:val="24"/>
          <w:szCs w:val="24"/>
          <w:lang w:eastAsia="fr-BE"/>
          <w14:ligatures w14:val="standardContextual"/>
        </w:rPr>
      </w:pPr>
      <w:hyperlink w:anchor="_Toc233626211" w:history="1">
        <w:r w:rsidRPr="0027322A">
          <w:rPr>
            <w:rStyle w:val="Lienhypertexte"/>
            <w:noProof/>
          </w:rPr>
          <w:t>9.</w:t>
        </w:r>
        <w:r>
          <w:rPr>
            <w:noProof/>
            <w:kern w:val="2"/>
            <w:sz w:val="24"/>
            <w:szCs w:val="24"/>
            <w:lang w:eastAsia="fr-BE"/>
            <w14:ligatures w14:val="standardContextual"/>
          </w:rPr>
          <w:tab/>
        </w:r>
        <w:r w:rsidRPr="0027322A">
          <w:rPr>
            <w:rStyle w:val="Lienhypertexte"/>
            <w:noProof/>
          </w:rPr>
          <w:t>Achat et vente de biens immobiliers</w:t>
        </w:r>
        <w:r>
          <w:rPr>
            <w:noProof/>
            <w:webHidden/>
          </w:rPr>
          <w:tab/>
        </w:r>
        <w:r>
          <w:rPr>
            <w:noProof/>
            <w:webHidden/>
          </w:rPr>
          <w:fldChar w:fldCharType="begin"/>
        </w:r>
        <w:r>
          <w:rPr>
            <w:noProof/>
            <w:webHidden/>
          </w:rPr>
          <w:instrText xml:space="preserve"> PAGEREF _Toc233626211 \h </w:instrText>
        </w:r>
        <w:r>
          <w:rPr>
            <w:noProof/>
            <w:webHidden/>
          </w:rPr>
        </w:r>
        <w:r>
          <w:rPr>
            <w:noProof/>
            <w:webHidden/>
          </w:rPr>
          <w:fldChar w:fldCharType="separate"/>
        </w:r>
        <w:r w:rsidR="001E3978">
          <w:rPr>
            <w:noProof/>
            <w:webHidden/>
          </w:rPr>
          <w:t>87</w:t>
        </w:r>
        <w:r>
          <w:rPr>
            <w:noProof/>
            <w:webHidden/>
          </w:rPr>
          <w:fldChar w:fldCharType="end"/>
        </w:r>
      </w:hyperlink>
    </w:p>
    <w:p w14:paraId="11EE1029" w14:textId="019EFAF1" w:rsidR="00266B1F" w:rsidRDefault="00266B1F">
      <w:pPr>
        <w:pStyle w:val="TM1"/>
        <w:rPr>
          <w:b w:val="0"/>
          <w:bCs w:val="0"/>
        </w:rPr>
      </w:pPr>
      <w:hyperlink w:anchor="_Toc233626212" w:history="1">
        <w:r w:rsidRPr="0027322A">
          <w:rPr>
            <w:rStyle w:val="Lienhypertexte"/>
          </w:rPr>
          <w:t>VI.</w:t>
        </w:r>
        <w:r>
          <w:rPr>
            <w:b w:val="0"/>
            <w:bCs w:val="0"/>
          </w:rPr>
          <w:tab/>
        </w:r>
        <w:r w:rsidRPr="0027322A">
          <w:rPr>
            <w:rStyle w:val="Lienhypertexte"/>
          </w:rPr>
          <w:t>FISCALITE COMMUNALE : RECOMMANDATIONS GENERALES</w:t>
        </w:r>
        <w:r>
          <w:rPr>
            <w:webHidden/>
          </w:rPr>
          <w:tab/>
        </w:r>
        <w:r>
          <w:rPr>
            <w:webHidden/>
          </w:rPr>
          <w:fldChar w:fldCharType="begin"/>
        </w:r>
        <w:r>
          <w:rPr>
            <w:webHidden/>
          </w:rPr>
          <w:instrText xml:space="preserve"> PAGEREF _Toc233626212 \h </w:instrText>
        </w:r>
        <w:r>
          <w:rPr>
            <w:webHidden/>
          </w:rPr>
        </w:r>
        <w:r>
          <w:rPr>
            <w:webHidden/>
          </w:rPr>
          <w:fldChar w:fldCharType="separate"/>
        </w:r>
        <w:r w:rsidR="001E3978">
          <w:rPr>
            <w:webHidden/>
          </w:rPr>
          <w:t>88</w:t>
        </w:r>
        <w:r>
          <w:rPr>
            <w:webHidden/>
          </w:rPr>
          <w:fldChar w:fldCharType="end"/>
        </w:r>
      </w:hyperlink>
    </w:p>
    <w:p w14:paraId="74EEA632" w14:textId="654B142E" w:rsidR="00266B1F" w:rsidRDefault="00266B1F">
      <w:pPr>
        <w:pStyle w:val="TM2"/>
        <w:tabs>
          <w:tab w:val="left" w:pos="720"/>
          <w:tab w:val="right" w:leader="dot" w:pos="8630"/>
        </w:tabs>
        <w:rPr>
          <w:noProof/>
          <w:kern w:val="2"/>
          <w:sz w:val="24"/>
          <w:szCs w:val="24"/>
          <w:lang w:eastAsia="fr-BE"/>
          <w14:ligatures w14:val="standardContextual"/>
        </w:rPr>
      </w:pPr>
      <w:hyperlink w:anchor="_Toc233626213" w:history="1">
        <w:r w:rsidRPr="0027322A">
          <w:rPr>
            <w:rStyle w:val="Lienhypertexte"/>
            <w:noProof/>
          </w:rPr>
          <w:t>1.</w:t>
        </w:r>
        <w:r>
          <w:rPr>
            <w:noProof/>
            <w:kern w:val="2"/>
            <w:sz w:val="24"/>
            <w:szCs w:val="24"/>
            <w:lang w:eastAsia="fr-BE"/>
            <w14:ligatures w14:val="standardContextual"/>
          </w:rPr>
          <w:tab/>
        </w:r>
        <w:r w:rsidRPr="0027322A">
          <w:rPr>
            <w:rStyle w:val="Lienhypertexte"/>
            <w:noProof/>
          </w:rPr>
          <w:t>Introduction</w:t>
        </w:r>
        <w:r>
          <w:rPr>
            <w:noProof/>
            <w:webHidden/>
          </w:rPr>
          <w:tab/>
        </w:r>
        <w:r>
          <w:rPr>
            <w:noProof/>
            <w:webHidden/>
          </w:rPr>
          <w:fldChar w:fldCharType="begin"/>
        </w:r>
        <w:r>
          <w:rPr>
            <w:noProof/>
            <w:webHidden/>
          </w:rPr>
          <w:instrText xml:space="preserve"> PAGEREF _Toc233626213 \h </w:instrText>
        </w:r>
        <w:r>
          <w:rPr>
            <w:noProof/>
            <w:webHidden/>
          </w:rPr>
        </w:r>
        <w:r>
          <w:rPr>
            <w:noProof/>
            <w:webHidden/>
          </w:rPr>
          <w:fldChar w:fldCharType="separate"/>
        </w:r>
        <w:r w:rsidR="001E3978">
          <w:rPr>
            <w:noProof/>
            <w:webHidden/>
          </w:rPr>
          <w:t>88</w:t>
        </w:r>
        <w:r>
          <w:rPr>
            <w:noProof/>
            <w:webHidden/>
          </w:rPr>
          <w:fldChar w:fldCharType="end"/>
        </w:r>
      </w:hyperlink>
    </w:p>
    <w:p w14:paraId="026AB9F0" w14:textId="43AE3092" w:rsidR="00266B1F" w:rsidRDefault="00266B1F">
      <w:pPr>
        <w:pStyle w:val="TM3"/>
        <w:tabs>
          <w:tab w:val="left" w:pos="960"/>
          <w:tab w:val="right" w:leader="dot" w:pos="8630"/>
        </w:tabs>
        <w:rPr>
          <w:noProof/>
          <w:kern w:val="2"/>
          <w:sz w:val="24"/>
          <w:szCs w:val="24"/>
          <w:lang w:eastAsia="fr-BE"/>
          <w14:ligatures w14:val="standardContextual"/>
        </w:rPr>
      </w:pPr>
      <w:hyperlink w:anchor="_Toc233626214"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Comment rendre opposable un règlement ?</w:t>
        </w:r>
        <w:r>
          <w:rPr>
            <w:noProof/>
            <w:webHidden/>
          </w:rPr>
          <w:tab/>
        </w:r>
        <w:r>
          <w:rPr>
            <w:noProof/>
            <w:webHidden/>
          </w:rPr>
          <w:fldChar w:fldCharType="begin"/>
        </w:r>
        <w:r>
          <w:rPr>
            <w:noProof/>
            <w:webHidden/>
          </w:rPr>
          <w:instrText xml:space="preserve"> PAGEREF _Toc233626214 \h </w:instrText>
        </w:r>
        <w:r>
          <w:rPr>
            <w:noProof/>
            <w:webHidden/>
          </w:rPr>
        </w:r>
        <w:r>
          <w:rPr>
            <w:noProof/>
            <w:webHidden/>
          </w:rPr>
          <w:fldChar w:fldCharType="separate"/>
        </w:r>
        <w:r w:rsidR="001E3978">
          <w:rPr>
            <w:noProof/>
            <w:webHidden/>
          </w:rPr>
          <w:t>90</w:t>
        </w:r>
        <w:r>
          <w:rPr>
            <w:noProof/>
            <w:webHidden/>
          </w:rPr>
          <w:fldChar w:fldCharType="end"/>
        </w:r>
      </w:hyperlink>
    </w:p>
    <w:p w14:paraId="536BE3B5" w14:textId="2E450CC3" w:rsidR="00266B1F" w:rsidRDefault="00266B1F">
      <w:pPr>
        <w:pStyle w:val="TM3"/>
        <w:tabs>
          <w:tab w:val="left" w:pos="960"/>
          <w:tab w:val="right" w:leader="dot" w:pos="8630"/>
        </w:tabs>
        <w:rPr>
          <w:noProof/>
          <w:kern w:val="2"/>
          <w:sz w:val="24"/>
          <w:szCs w:val="24"/>
          <w:lang w:eastAsia="fr-BE"/>
          <w14:ligatures w14:val="standardContextual"/>
        </w:rPr>
      </w:pPr>
      <w:hyperlink w:anchor="_Toc233626215"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Quel est le calendrier de vote afin de respecter les obligations légales et la soumission à la tutelle ?</w:t>
        </w:r>
        <w:r>
          <w:rPr>
            <w:noProof/>
            <w:webHidden/>
          </w:rPr>
          <w:tab/>
        </w:r>
        <w:r>
          <w:rPr>
            <w:noProof/>
            <w:webHidden/>
          </w:rPr>
          <w:fldChar w:fldCharType="begin"/>
        </w:r>
        <w:r>
          <w:rPr>
            <w:noProof/>
            <w:webHidden/>
          </w:rPr>
          <w:instrText xml:space="preserve"> PAGEREF _Toc233626215 \h </w:instrText>
        </w:r>
        <w:r>
          <w:rPr>
            <w:noProof/>
            <w:webHidden/>
          </w:rPr>
        </w:r>
        <w:r>
          <w:rPr>
            <w:noProof/>
            <w:webHidden/>
          </w:rPr>
          <w:fldChar w:fldCharType="separate"/>
        </w:r>
        <w:r w:rsidR="001E3978">
          <w:rPr>
            <w:noProof/>
            <w:webHidden/>
          </w:rPr>
          <w:t>91</w:t>
        </w:r>
        <w:r>
          <w:rPr>
            <w:noProof/>
            <w:webHidden/>
          </w:rPr>
          <w:fldChar w:fldCharType="end"/>
        </w:r>
      </w:hyperlink>
    </w:p>
    <w:p w14:paraId="6D0B8772" w14:textId="77791A0C" w:rsidR="00266B1F" w:rsidRDefault="00266B1F">
      <w:pPr>
        <w:pStyle w:val="TM2"/>
        <w:tabs>
          <w:tab w:val="left" w:pos="720"/>
          <w:tab w:val="right" w:leader="dot" w:pos="8630"/>
        </w:tabs>
        <w:rPr>
          <w:noProof/>
          <w:kern w:val="2"/>
          <w:sz w:val="24"/>
          <w:szCs w:val="24"/>
          <w:lang w:eastAsia="fr-BE"/>
          <w14:ligatures w14:val="standardContextual"/>
        </w:rPr>
      </w:pPr>
      <w:hyperlink w:anchor="_Toc233626216" w:history="1">
        <w:r w:rsidRPr="0027322A">
          <w:rPr>
            <w:rStyle w:val="Lienhypertexte"/>
            <w:noProof/>
          </w:rPr>
          <w:t>2.</w:t>
        </w:r>
        <w:r>
          <w:rPr>
            <w:noProof/>
            <w:kern w:val="2"/>
            <w:sz w:val="24"/>
            <w:szCs w:val="24"/>
            <w:lang w:eastAsia="fr-BE"/>
            <w14:ligatures w14:val="standardContextual"/>
          </w:rPr>
          <w:tab/>
        </w:r>
        <w:r w:rsidRPr="0027322A">
          <w:rPr>
            <w:rStyle w:val="Lienhypertexte"/>
            <w:noProof/>
          </w:rPr>
          <w:t>Définitions</w:t>
        </w:r>
        <w:r>
          <w:rPr>
            <w:noProof/>
            <w:webHidden/>
          </w:rPr>
          <w:tab/>
        </w:r>
        <w:r>
          <w:rPr>
            <w:noProof/>
            <w:webHidden/>
          </w:rPr>
          <w:fldChar w:fldCharType="begin"/>
        </w:r>
        <w:r>
          <w:rPr>
            <w:noProof/>
            <w:webHidden/>
          </w:rPr>
          <w:instrText xml:space="preserve"> PAGEREF _Toc233626216 \h </w:instrText>
        </w:r>
        <w:r>
          <w:rPr>
            <w:noProof/>
            <w:webHidden/>
          </w:rPr>
        </w:r>
        <w:r>
          <w:rPr>
            <w:noProof/>
            <w:webHidden/>
          </w:rPr>
          <w:fldChar w:fldCharType="separate"/>
        </w:r>
        <w:r w:rsidR="001E3978">
          <w:rPr>
            <w:noProof/>
            <w:webHidden/>
          </w:rPr>
          <w:t>92</w:t>
        </w:r>
        <w:r>
          <w:rPr>
            <w:noProof/>
            <w:webHidden/>
          </w:rPr>
          <w:fldChar w:fldCharType="end"/>
        </w:r>
      </w:hyperlink>
    </w:p>
    <w:p w14:paraId="6E581872" w14:textId="3D5CD422" w:rsidR="00266B1F" w:rsidRDefault="00266B1F">
      <w:pPr>
        <w:pStyle w:val="TM3"/>
        <w:tabs>
          <w:tab w:val="left" w:pos="960"/>
          <w:tab w:val="right" w:leader="dot" w:pos="8630"/>
        </w:tabs>
        <w:rPr>
          <w:noProof/>
          <w:kern w:val="2"/>
          <w:sz w:val="24"/>
          <w:szCs w:val="24"/>
          <w:lang w:eastAsia="fr-BE"/>
          <w14:ligatures w14:val="standardContextual"/>
        </w:rPr>
      </w:pPr>
      <w:hyperlink w:anchor="_Toc233626217"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Quelle est la différence fondamentale entre un impôt communal et une redevance communale ?</w:t>
        </w:r>
        <w:r>
          <w:rPr>
            <w:noProof/>
            <w:webHidden/>
          </w:rPr>
          <w:tab/>
        </w:r>
        <w:r>
          <w:rPr>
            <w:noProof/>
            <w:webHidden/>
          </w:rPr>
          <w:fldChar w:fldCharType="begin"/>
        </w:r>
        <w:r>
          <w:rPr>
            <w:noProof/>
            <w:webHidden/>
          </w:rPr>
          <w:instrText xml:space="preserve"> PAGEREF _Toc233626217 \h </w:instrText>
        </w:r>
        <w:r>
          <w:rPr>
            <w:noProof/>
            <w:webHidden/>
          </w:rPr>
        </w:r>
        <w:r>
          <w:rPr>
            <w:noProof/>
            <w:webHidden/>
          </w:rPr>
          <w:fldChar w:fldCharType="separate"/>
        </w:r>
        <w:r w:rsidR="001E3978">
          <w:rPr>
            <w:noProof/>
            <w:webHidden/>
          </w:rPr>
          <w:t>92</w:t>
        </w:r>
        <w:r>
          <w:rPr>
            <w:noProof/>
            <w:webHidden/>
          </w:rPr>
          <w:fldChar w:fldCharType="end"/>
        </w:r>
      </w:hyperlink>
    </w:p>
    <w:p w14:paraId="44AECD51" w14:textId="7B871781" w:rsidR="00266B1F" w:rsidRDefault="00266B1F">
      <w:pPr>
        <w:pStyle w:val="TM3"/>
        <w:tabs>
          <w:tab w:val="left" w:pos="960"/>
          <w:tab w:val="right" w:leader="dot" w:pos="8630"/>
        </w:tabs>
        <w:rPr>
          <w:noProof/>
          <w:kern w:val="2"/>
          <w:sz w:val="24"/>
          <w:szCs w:val="24"/>
          <w:lang w:eastAsia="fr-BE"/>
          <w14:ligatures w14:val="standardContextual"/>
        </w:rPr>
      </w:pPr>
      <w:hyperlink w:anchor="_Toc233626218"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Intérêt de la distinction entre taxe communale et redevance communale</w:t>
        </w:r>
        <w:r>
          <w:rPr>
            <w:noProof/>
            <w:webHidden/>
          </w:rPr>
          <w:tab/>
        </w:r>
        <w:r>
          <w:rPr>
            <w:noProof/>
            <w:webHidden/>
          </w:rPr>
          <w:fldChar w:fldCharType="begin"/>
        </w:r>
        <w:r>
          <w:rPr>
            <w:noProof/>
            <w:webHidden/>
          </w:rPr>
          <w:instrText xml:space="preserve"> PAGEREF _Toc233626218 \h </w:instrText>
        </w:r>
        <w:r>
          <w:rPr>
            <w:noProof/>
            <w:webHidden/>
          </w:rPr>
        </w:r>
        <w:r>
          <w:rPr>
            <w:noProof/>
            <w:webHidden/>
          </w:rPr>
          <w:fldChar w:fldCharType="separate"/>
        </w:r>
        <w:r w:rsidR="001E3978">
          <w:rPr>
            <w:noProof/>
            <w:webHidden/>
          </w:rPr>
          <w:t>93</w:t>
        </w:r>
        <w:r>
          <w:rPr>
            <w:noProof/>
            <w:webHidden/>
          </w:rPr>
          <w:fldChar w:fldCharType="end"/>
        </w:r>
      </w:hyperlink>
    </w:p>
    <w:p w14:paraId="010778AB" w14:textId="263E797E" w:rsidR="00266B1F" w:rsidRDefault="00266B1F">
      <w:pPr>
        <w:pStyle w:val="TM3"/>
        <w:tabs>
          <w:tab w:val="left" w:pos="960"/>
          <w:tab w:val="right" w:leader="dot" w:pos="8630"/>
        </w:tabs>
        <w:rPr>
          <w:noProof/>
          <w:kern w:val="2"/>
          <w:sz w:val="24"/>
          <w:szCs w:val="24"/>
          <w:lang w:eastAsia="fr-BE"/>
          <w14:ligatures w14:val="standardContextual"/>
        </w:rPr>
      </w:pPr>
      <w:hyperlink w:anchor="_Toc233626219"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Les 3 grandes catégories d’impôts</w:t>
        </w:r>
        <w:r>
          <w:rPr>
            <w:noProof/>
            <w:webHidden/>
          </w:rPr>
          <w:tab/>
        </w:r>
        <w:r>
          <w:rPr>
            <w:noProof/>
            <w:webHidden/>
          </w:rPr>
          <w:fldChar w:fldCharType="begin"/>
        </w:r>
        <w:r>
          <w:rPr>
            <w:noProof/>
            <w:webHidden/>
          </w:rPr>
          <w:instrText xml:space="preserve"> PAGEREF _Toc233626219 \h </w:instrText>
        </w:r>
        <w:r>
          <w:rPr>
            <w:noProof/>
            <w:webHidden/>
          </w:rPr>
        </w:r>
        <w:r>
          <w:rPr>
            <w:noProof/>
            <w:webHidden/>
          </w:rPr>
          <w:fldChar w:fldCharType="separate"/>
        </w:r>
        <w:r w:rsidR="001E3978">
          <w:rPr>
            <w:noProof/>
            <w:webHidden/>
          </w:rPr>
          <w:t>94</w:t>
        </w:r>
        <w:r>
          <w:rPr>
            <w:noProof/>
            <w:webHidden/>
          </w:rPr>
          <w:fldChar w:fldCharType="end"/>
        </w:r>
      </w:hyperlink>
    </w:p>
    <w:p w14:paraId="16ACDC3D" w14:textId="1431DDDD" w:rsidR="00266B1F" w:rsidRDefault="00266B1F">
      <w:pPr>
        <w:pStyle w:val="TM3"/>
        <w:tabs>
          <w:tab w:val="left" w:pos="960"/>
          <w:tab w:val="right" w:leader="dot" w:pos="8630"/>
        </w:tabs>
        <w:rPr>
          <w:noProof/>
          <w:kern w:val="2"/>
          <w:sz w:val="24"/>
          <w:szCs w:val="24"/>
          <w:lang w:eastAsia="fr-BE"/>
          <w14:ligatures w14:val="standardContextual"/>
        </w:rPr>
      </w:pPr>
      <w:hyperlink w:anchor="_Toc233626220"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Les impôts directs et indirects</w:t>
        </w:r>
        <w:r>
          <w:rPr>
            <w:noProof/>
            <w:webHidden/>
          </w:rPr>
          <w:tab/>
        </w:r>
        <w:r>
          <w:rPr>
            <w:noProof/>
            <w:webHidden/>
          </w:rPr>
          <w:fldChar w:fldCharType="begin"/>
        </w:r>
        <w:r>
          <w:rPr>
            <w:noProof/>
            <w:webHidden/>
          </w:rPr>
          <w:instrText xml:space="preserve"> PAGEREF _Toc233626220 \h </w:instrText>
        </w:r>
        <w:r>
          <w:rPr>
            <w:noProof/>
            <w:webHidden/>
          </w:rPr>
        </w:r>
        <w:r>
          <w:rPr>
            <w:noProof/>
            <w:webHidden/>
          </w:rPr>
          <w:fldChar w:fldCharType="separate"/>
        </w:r>
        <w:r w:rsidR="001E3978">
          <w:rPr>
            <w:noProof/>
            <w:webHidden/>
          </w:rPr>
          <w:t>96</w:t>
        </w:r>
        <w:r>
          <w:rPr>
            <w:noProof/>
            <w:webHidden/>
          </w:rPr>
          <w:fldChar w:fldCharType="end"/>
        </w:r>
      </w:hyperlink>
    </w:p>
    <w:p w14:paraId="0089D8C5" w14:textId="56F09354" w:rsidR="00266B1F" w:rsidRDefault="00266B1F">
      <w:pPr>
        <w:pStyle w:val="TM2"/>
        <w:tabs>
          <w:tab w:val="left" w:pos="720"/>
          <w:tab w:val="right" w:leader="dot" w:pos="8630"/>
        </w:tabs>
        <w:rPr>
          <w:noProof/>
          <w:kern w:val="2"/>
          <w:sz w:val="24"/>
          <w:szCs w:val="24"/>
          <w:lang w:eastAsia="fr-BE"/>
          <w14:ligatures w14:val="standardContextual"/>
        </w:rPr>
      </w:pPr>
      <w:hyperlink w:anchor="_Toc233626221" w:history="1">
        <w:r w:rsidRPr="0027322A">
          <w:rPr>
            <w:rStyle w:val="Lienhypertexte"/>
            <w:noProof/>
          </w:rPr>
          <w:t>3.</w:t>
        </w:r>
        <w:r>
          <w:rPr>
            <w:noProof/>
            <w:kern w:val="2"/>
            <w:sz w:val="24"/>
            <w:szCs w:val="24"/>
            <w:lang w:eastAsia="fr-BE"/>
            <w14:ligatures w14:val="standardContextual"/>
          </w:rPr>
          <w:tab/>
        </w:r>
        <w:r w:rsidRPr="0027322A">
          <w:rPr>
            <w:rStyle w:val="Lienhypertexte"/>
            <w:noProof/>
          </w:rPr>
          <w:t>Principes généraux des taxes et redevances communales</w:t>
        </w:r>
        <w:r>
          <w:rPr>
            <w:noProof/>
            <w:webHidden/>
          </w:rPr>
          <w:tab/>
        </w:r>
        <w:r>
          <w:rPr>
            <w:noProof/>
            <w:webHidden/>
          </w:rPr>
          <w:fldChar w:fldCharType="begin"/>
        </w:r>
        <w:r>
          <w:rPr>
            <w:noProof/>
            <w:webHidden/>
          </w:rPr>
          <w:instrText xml:space="preserve"> PAGEREF _Toc233626221 \h </w:instrText>
        </w:r>
        <w:r>
          <w:rPr>
            <w:noProof/>
            <w:webHidden/>
          </w:rPr>
        </w:r>
        <w:r>
          <w:rPr>
            <w:noProof/>
            <w:webHidden/>
          </w:rPr>
          <w:fldChar w:fldCharType="separate"/>
        </w:r>
        <w:r w:rsidR="001E3978">
          <w:rPr>
            <w:noProof/>
            <w:webHidden/>
          </w:rPr>
          <w:t>96</w:t>
        </w:r>
        <w:r>
          <w:rPr>
            <w:noProof/>
            <w:webHidden/>
          </w:rPr>
          <w:fldChar w:fldCharType="end"/>
        </w:r>
      </w:hyperlink>
    </w:p>
    <w:p w14:paraId="434DBCEB" w14:textId="487657CE" w:rsidR="00266B1F" w:rsidRDefault="00266B1F">
      <w:pPr>
        <w:pStyle w:val="TM3"/>
        <w:tabs>
          <w:tab w:val="left" w:pos="960"/>
          <w:tab w:val="right" w:leader="dot" w:pos="8630"/>
        </w:tabs>
        <w:rPr>
          <w:noProof/>
          <w:kern w:val="2"/>
          <w:sz w:val="24"/>
          <w:szCs w:val="24"/>
          <w:lang w:eastAsia="fr-BE"/>
          <w14:ligatures w14:val="standardContextual"/>
        </w:rPr>
      </w:pPr>
      <w:hyperlink w:anchor="_Toc233626222"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Autonomie fiscale</w:t>
        </w:r>
        <w:r>
          <w:rPr>
            <w:noProof/>
            <w:webHidden/>
          </w:rPr>
          <w:tab/>
        </w:r>
        <w:r>
          <w:rPr>
            <w:noProof/>
            <w:webHidden/>
          </w:rPr>
          <w:fldChar w:fldCharType="begin"/>
        </w:r>
        <w:r>
          <w:rPr>
            <w:noProof/>
            <w:webHidden/>
          </w:rPr>
          <w:instrText xml:space="preserve"> PAGEREF _Toc233626222 \h </w:instrText>
        </w:r>
        <w:r>
          <w:rPr>
            <w:noProof/>
            <w:webHidden/>
          </w:rPr>
        </w:r>
        <w:r>
          <w:rPr>
            <w:noProof/>
            <w:webHidden/>
          </w:rPr>
          <w:fldChar w:fldCharType="separate"/>
        </w:r>
        <w:r w:rsidR="001E3978">
          <w:rPr>
            <w:noProof/>
            <w:webHidden/>
          </w:rPr>
          <w:t>96</w:t>
        </w:r>
        <w:r>
          <w:rPr>
            <w:noProof/>
            <w:webHidden/>
          </w:rPr>
          <w:fldChar w:fldCharType="end"/>
        </w:r>
      </w:hyperlink>
    </w:p>
    <w:p w14:paraId="1855602C" w14:textId="24277DE4" w:rsidR="00266B1F" w:rsidRDefault="00266B1F">
      <w:pPr>
        <w:pStyle w:val="TM3"/>
        <w:tabs>
          <w:tab w:val="left" w:pos="960"/>
          <w:tab w:val="right" w:leader="dot" w:pos="8630"/>
        </w:tabs>
        <w:rPr>
          <w:noProof/>
          <w:kern w:val="2"/>
          <w:sz w:val="24"/>
          <w:szCs w:val="24"/>
          <w:lang w:eastAsia="fr-BE"/>
          <w14:ligatures w14:val="standardContextual"/>
        </w:rPr>
      </w:pPr>
      <w:hyperlink w:anchor="_Toc233626223"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Principe d’égalité et de non-discrimination</w:t>
        </w:r>
        <w:r>
          <w:rPr>
            <w:noProof/>
            <w:webHidden/>
          </w:rPr>
          <w:tab/>
        </w:r>
        <w:r>
          <w:rPr>
            <w:noProof/>
            <w:webHidden/>
          </w:rPr>
          <w:fldChar w:fldCharType="begin"/>
        </w:r>
        <w:r>
          <w:rPr>
            <w:noProof/>
            <w:webHidden/>
          </w:rPr>
          <w:instrText xml:space="preserve"> PAGEREF _Toc233626223 \h </w:instrText>
        </w:r>
        <w:r>
          <w:rPr>
            <w:noProof/>
            <w:webHidden/>
          </w:rPr>
        </w:r>
        <w:r>
          <w:rPr>
            <w:noProof/>
            <w:webHidden/>
          </w:rPr>
          <w:fldChar w:fldCharType="separate"/>
        </w:r>
        <w:r w:rsidR="001E3978">
          <w:rPr>
            <w:noProof/>
            <w:webHidden/>
          </w:rPr>
          <w:t>97</w:t>
        </w:r>
        <w:r>
          <w:rPr>
            <w:noProof/>
            <w:webHidden/>
          </w:rPr>
          <w:fldChar w:fldCharType="end"/>
        </w:r>
      </w:hyperlink>
    </w:p>
    <w:p w14:paraId="1E5748AF" w14:textId="411D61D0" w:rsidR="00266B1F" w:rsidRDefault="00266B1F">
      <w:pPr>
        <w:pStyle w:val="TM3"/>
        <w:tabs>
          <w:tab w:val="left" w:pos="960"/>
          <w:tab w:val="right" w:leader="dot" w:pos="8630"/>
        </w:tabs>
        <w:rPr>
          <w:noProof/>
          <w:kern w:val="2"/>
          <w:sz w:val="24"/>
          <w:szCs w:val="24"/>
          <w:lang w:eastAsia="fr-BE"/>
          <w14:ligatures w14:val="standardContextual"/>
        </w:rPr>
      </w:pPr>
      <w:hyperlink w:anchor="_Toc233626224"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Principe « non bis in idem »</w:t>
        </w:r>
        <w:r>
          <w:rPr>
            <w:noProof/>
            <w:webHidden/>
          </w:rPr>
          <w:tab/>
        </w:r>
        <w:r>
          <w:rPr>
            <w:noProof/>
            <w:webHidden/>
          </w:rPr>
          <w:fldChar w:fldCharType="begin"/>
        </w:r>
        <w:r>
          <w:rPr>
            <w:noProof/>
            <w:webHidden/>
          </w:rPr>
          <w:instrText xml:space="preserve"> PAGEREF _Toc233626224 \h </w:instrText>
        </w:r>
        <w:r>
          <w:rPr>
            <w:noProof/>
            <w:webHidden/>
          </w:rPr>
        </w:r>
        <w:r>
          <w:rPr>
            <w:noProof/>
            <w:webHidden/>
          </w:rPr>
          <w:fldChar w:fldCharType="separate"/>
        </w:r>
        <w:r w:rsidR="001E3978">
          <w:rPr>
            <w:noProof/>
            <w:webHidden/>
          </w:rPr>
          <w:t>98</w:t>
        </w:r>
        <w:r>
          <w:rPr>
            <w:noProof/>
            <w:webHidden/>
          </w:rPr>
          <w:fldChar w:fldCharType="end"/>
        </w:r>
      </w:hyperlink>
    </w:p>
    <w:p w14:paraId="158C2D1B" w14:textId="332733D9" w:rsidR="00266B1F" w:rsidRDefault="00266B1F">
      <w:pPr>
        <w:pStyle w:val="TM3"/>
        <w:tabs>
          <w:tab w:val="left" w:pos="960"/>
          <w:tab w:val="right" w:leader="dot" w:pos="8630"/>
        </w:tabs>
        <w:rPr>
          <w:noProof/>
          <w:kern w:val="2"/>
          <w:sz w:val="24"/>
          <w:szCs w:val="24"/>
          <w:lang w:eastAsia="fr-BE"/>
          <w14:ligatures w14:val="standardContextual"/>
        </w:rPr>
      </w:pPr>
      <w:hyperlink w:anchor="_Toc233626225"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Adéquation avec les codes fonctionnels et économiques</w:t>
        </w:r>
        <w:r>
          <w:rPr>
            <w:noProof/>
            <w:webHidden/>
          </w:rPr>
          <w:tab/>
        </w:r>
        <w:r>
          <w:rPr>
            <w:noProof/>
            <w:webHidden/>
          </w:rPr>
          <w:fldChar w:fldCharType="begin"/>
        </w:r>
        <w:r>
          <w:rPr>
            <w:noProof/>
            <w:webHidden/>
          </w:rPr>
          <w:instrText xml:space="preserve"> PAGEREF _Toc233626225 \h </w:instrText>
        </w:r>
        <w:r>
          <w:rPr>
            <w:noProof/>
            <w:webHidden/>
          </w:rPr>
        </w:r>
        <w:r>
          <w:rPr>
            <w:noProof/>
            <w:webHidden/>
          </w:rPr>
          <w:fldChar w:fldCharType="separate"/>
        </w:r>
        <w:r w:rsidR="001E3978">
          <w:rPr>
            <w:noProof/>
            <w:webHidden/>
          </w:rPr>
          <w:t>100</w:t>
        </w:r>
        <w:r>
          <w:rPr>
            <w:noProof/>
            <w:webHidden/>
          </w:rPr>
          <w:fldChar w:fldCharType="end"/>
        </w:r>
      </w:hyperlink>
    </w:p>
    <w:p w14:paraId="3DAB1BE2" w14:textId="5DDB8AF7" w:rsidR="00266B1F" w:rsidRDefault="00266B1F">
      <w:pPr>
        <w:pStyle w:val="TM3"/>
        <w:tabs>
          <w:tab w:val="left" w:pos="960"/>
          <w:tab w:val="right" w:leader="dot" w:pos="8630"/>
        </w:tabs>
        <w:rPr>
          <w:noProof/>
          <w:kern w:val="2"/>
          <w:sz w:val="24"/>
          <w:szCs w:val="24"/>
          <w:lang w:eastAsia="fr-BE"/>
          <w14:ligatures w14:val="standardContextual"/>
        </w:rPr>
      </w:pPr>
      <w:hyperlink w:anchor="_Toc233626226"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Sanctions en matière de règlements-taxes</w:t>
        </w:r>
        <w:r>
          <w:rPr>
            <w:noProof/>
            <w:webHidden/>
          </w:rPr>
          <w:tab/>
        </w:r>
        <w:r>
          <w:rPr>
            <w:noProof/>
            <w:webHidden/>
          </w:rPr>
          <w:fldChar w:fldCharType="begin"/>
        </w:r>
        <w:r>
          <w:rPr>
            <w:noProof/>
            <w:webHidden/>
          </w:rPr>
          <w:instrText xml:space="preserve"> PAGEREF _Toc233626226 \h </w:instrText>
        </w:r>
        <w:r>
          <w:rPr>
            <w:noProof/>
            <w:webHidden/>
          </w:rPr>
        </w:r>
        <w:r>
          <w:rPr>
            <w:noProof/>
            <w:webHidden/>
          </w:rPr>
          <w:fldChar w:fldCharType="separate"/>
        </w:r>
        <w:r w:rsidR="001E3978">
          <w:rPr>
            <w:noProof/>
            <w:webHidden/>
          </w:rPr>
          <w:t>100</w:t>
        </w:r>
        <w:r>
          <w:rPr>
            <w:noProof/>
            <w:webHidden/>
          </w:rPr>
          <w:fldChar w:fldCharType="end"/>
        </w:r>
      </w:hyperlink>
    </w:p>
    <w:p w14:paraId="685973FB" w14:textId="2223CC20" w:rsidR="00266B1F" w:rsidRDefault="00266B1F">
      <w:pPr>
        <w:pStyle w:val="TM3"/>
        <w:tabs>
          <w:tab w:val="left" w:pos="960"/>
          <w:tab w:val="right" w:leader="dot" w:pos="8630"/>
        </w:tabs>
        <w:rPr>
          <w:noProof/>
          <w:kern w:val="2"/>
          <w:sz w:val="24"/>
          <w:szCs w:val="24"/>
          <w:lang w:eastAsia="fr-BE"/>
          <w14:ligatures w14:val="standardContextual"/>
        </w:rPr>
      </w:pPr>
      <w:hyperlink w:anchor="_Toc233626227" w:history="1">
        <w:r w:rsidRPr="0027322A">
          <w:rPr>
            <w:rStyle w:val="Lienhypertexte"/>
            <w:smallCaps/>
            <w:noProof/>
          </w:rPr>
          <w:t>F.</w:t>
        </w:r>
        <w:r>
          <w:rPr>
            <w:noProof/>
            <w:kern w:val="2"/>
            <w:sz w:val="24"/>
            <w:szCs w:val="24"/>
            <w:lang w:eastAsia="fr-BE"/>
            <w14:ligatures w14:val="standardContextual"/>
          </w:rPr>
          <w:tab/>
        </w:r>
        <w:r w:rsidRPr="0027322A">
          <w:rPr>
            <w:rStyle w:val="Lienhypertexte"/>
            <w:noProof/>
          </w:rPr>
          <w:t>Lisibilité des règlements</w:t>
        </w:r>
        <w:r>
          <w:rPr>
            <w:noProof/>
            <w:webHidden/>
          </w:rPr>
          <w:tab/>
        </w:r>
        <w:r>
          <w:rPr>
            <w:noProof/>
            <w:webHidden/>
          </w:rPr>
          <w:fldChar w:fldCharType="begin"/>
        </w:r>
        <w:r>
          <w:rPr>
            <w:noProof/>
            <w:webHidden/>
          </w:rPr>
          <w:instrText xml:space="preserve"> PAGEREF _Toc233626227 \h </w:instrText>
        </w:r>
        <w:r>
          <w:rPr>
            <w:noProof/>
            <w:webHidden/>
          </w:rPr>
        </w:r>
        <w:r>
          <w:rPr>
            <w:noProof/>
            <w:webHidden/>
          </w:rPr>
          <w:fldChar w:fldCharType="separate"/>
        </w:r>
        <w:r w:rsidR="001E3978">
          <w:rPr>
            <w:noProof/>
            <w:webHidden/>
          </w:rPr>
          <w:t>102</w:t>
        </w:r>
        <w:r>
          <w:rPr>
            <w:noProof/>
            <w:webHidden/>
          </w:rPr>
          <w:fldChar w:fldCharType="end"/>
        </w:r>
      </w:hyperlink>
    </w:p>
    <w:p w14:paraId="4AC35DF1" w14:textId="7CE838FB" w:rsidR="00266B1F" w:rsidRDefault="00266B1F">
      <w:pPr>
        <w:pStyle w:val="TM3"/>
        <w:tabs>
          <w:tab w:val="left" w:pos="960"/>
          <w:tab w:val="right" w:leader="dot" w:pos="8630"/>
        </w:tabs>
        <w:rPr>
          <w:noProof/>
          <w:kern w:val="2"/>
          <w:sz w:val="24"/>
          <w:szCs w:val="24"/>
          <w:lang w:eastAsia="fr-BE"/>
          <w14:ligatures w14:val="standardContextual"/>
        </w:rPr>
      </w:pPr>
      <w:hyperlink w:anchor="_Toc233626228" w:history="1">
        <w:r w:rsidRPr="0027322A">
          <w:rPr>
            <w:rStyle w:val="Lienhypertexte"/>
            <w:smallCaps/>
            <w:noProof/>
          </w:rPr>
          <w:t>G.</w:t>
        </w:r>
        <w:r>
          <w:rPr>
            <w:noProof/>
            <w:kern w:val="2"/>
            <w:sz w:val="24"/>
            <w:szCs w:val="24"/>
            <w:lang w:eastAsia="fr-BE"/>
            <w14:ligatures w14:val="standardContextual"/>
          </w:rPr>
          <w:tab/>
        </w:r>
        <w:r w:rsidRPr="0027322A">
          <w:rPr>
            <w:rStyle w:val="Lienhypertexte"/>
            <w:noProof/>
          </w:rPr>
          <w:t>Formalités de publication</w:t>
        </w:r>
        <w:r>
          <w:rPr>
            <w:noProof/>
            <w:webHidden/>
          </w:rPr>
          <w:tab/>
        </w:r>
        <w:r>
          <w:rPr>
            <w:noProof/>
            <w:webHidden/>
          </w:rPr>
          <w:fldChar w:fldCharType="begin"/>
        </w:r>
        <w:r>
          <w:rPr>
            <w:noProof/>
            <w:webHidden/>
          </w:rPr>
          <w:instrText xml:space="preserve"> PAGEREF _Toc233626228 \h </w:instrText>
        </w:r>
        <w:r>
          <w:rPr>
            <w:noProof/>
            <w:webHidden/>
          </w:rPr>
        </w:r>
        <w:r>
          <w:rPr>
            <w:noProof/>
            <w:webHidden/>
          </w:rPr>
          <w:fldChar w:fldCharType="separate"/>
        </w:r>
        <w:r w:rsidR="001E3978">
          <w:rPr>
            <w:noProof/>
            <w:webHidden/>
          </w:rPr>
          <w:t>102</w:t>
        </w:r>
        <w:r>
          <w:rPr>
            <w:noProof/>
            <w:webHidden/>
          </w:rPr>
          <w:fldChar w:fldCharType="end"/>
        </w:r>
      </w:hyperlink>
    </w:p>
    <w:p w14:paraId="43F7C6C2" w14:textId="4895EA06" w:rsidR="00266B1F" w:rsidRDefault="00266B1F">
      <w:pPr>
        <w:pStyle w:val="TM3"/>
        <w:tabs>
          <w:tab w:val="left" w:pos="960"/>
          <w:tab w:val="right" w:leader="dot" w:pos="8630"/>
        </w:tabs>
        <w:rPr>
          <w:noProof/>
          <w:kern w:val="2"/>
          <w:sz w:val="24"/>
          <w:szCs w:val="24"/>
          <w:lang w:eastAsia="fr-BE"/>
          <w14:ligatures w14:val="standardContextual"/>
        </w:rPr>
      </w:pPr>
      <w:hyperlink w:anchor="_Toc233626229" w:history="1">
        <w:r w:rsidRPr="0027322A">
          <w:rPr>
            <w:rStyle w:val="Lienhypertexte"/>
            <w:smallCaps/>
            <w:noProof/>
          </w:rPr>
          <w:t>H.</w:t>
        </w:r>
        <w:r>
          <w:rPr>
            <w:noProof/>
            <w:kern w:val="2"/>
            <w:sz w:val="24"/>
            <w:szCs w:val="24"/>
            <w:lang w:eastAsia="fr-BE"/>
            <w14:ligatures w14:val="standardContextual"/>
          </w:rPr>
          <w:tab/>
        </w:r>
        <w:r w:rsidRPr="0027322A">
          <w:rPr>
            <w:rStyle w:val="Lienhypertexte"/>
            <w:noProof/>
          </w:rPr>
          <w:t>Consignation</w:t>
        </w:r>
        <w:r>
          <w:rPr>
            <w:noProof/>
            <w:webHidden/>
          </w:rPr>
          <w:tab/>
        </w:r>
        <w:r>
          <w:rPr>
            <w:noProof/>
            <w:webHidden/>
          </w:rPr>
          <w:fldChar w:fldCharType="begin"/>
        </w:r>
        <w:r>
          <w:rPr>
            <w:noProof/>
            <w:webHidden/>
          </w:rPr>
          <w:instrText xml:space="preserve"> PAGEREF _Toc233626229 \h </w:instrText>
        </w:r>
        <w:r>
          <w:rPr>
            <w:noProof/>
            <w:webHidden/>
          </w:rPr>
        </w:r>
        <w:r>
          <w:rPr>
            <w:noProof/>
            <w:webHidden/>
          </w:rPr>
          <w:fldChar w:fldCharType="separate"/>
        </w:r>
        <w:r w:rsidR="001E3978">
          <w:rPr>
            <w:noProof/>
            <w:webHidden/>
          </w:rPr>
          <w:t>103</w:t>
        </w:r>
        <w:r>
          <w:rPr>
            <w:noProof/>
            <w:webHidden/>
          </w:rPr>
          <w:fldChar w:fldCharType="end"/>
        </w:r>
      </w:hyperlink>
    </w:p>
    <w:p w14:paraId="1390E303" w14:textId="3AC98E13" w:rsidR="00266B1F" w:rsidRDefault="00266B1F">
      <w:pPr>
        <w:pStyle w:val="TM2"/>
        <w:tabs>
          <w:tab w:val="left" w:pos="720"/>
          <w:tab w:val="right" w:leader="dot" w:pos="8630"/>
        </w:tabs>
        <w:rPr>
          <w:noProof/>
          <w:kern w:val="2"/>
          <w:sz w:val="24"/>
          <w:szCs w:val="24"/>
          <w:lang w:eastAsia="fr-BE"/>
          <w14:ligatures w14:val="standardContextual"/>
        </w:rPr>
      </w:pPr>
      <w:hyperlink w:anchor="_Toc233626230" w:history="1">
        <w:r w:rsidRPr="0027322A">
          <w:rPr>
            <w:rStyle w:val="Lienhypertexte"/>
            <w:noProof/>
          </w:rPr>
          <w:t>4.</w:t>
        </w:r>
        <w:r>
          <w:rPr>
            <w:noProof/>
            <w:kern w:val="2"/>
            <w:sz w:val="24"/>
            <w:szCs w:val="24"/>
            <w:lang w:eastAsia="fr-BE"/>
            <w14:ligatures w14:val="standardContextual"/>
          </w:rPr>
          <w:tab/>
        </w:r>
        <w:r w:rsidRPr="0027322A">
          <w:rPr>
            <w:rStyle w:val="Lienhypertexte"/>
            <w:noProof/>
          </w:rPr>
          <w:t>Recommandations particulières</w:t>
        </w:r>
        <w:r>
          <w:rPr>
            <w:noProof/>
            <w:webHidden/>
          </w:rPr>
          <w:tab/>
        </w:r>
        <w:r>
          <w:rPr>
            <w:noProof/>
            <w:webHidden/>
          </w:rPr>
          <w:fldChar w:fldCharType="begin"/>
        </w:r>
        <w:r>
          <w:rPr>
            <w:noProof/>
            <w:webHidden/>
          </w:rPr>
          <w:instrText xml:space="preserve"> PAGEREF _Toc233626230 \h </w:instrText>
        </w:r>
        <w:r>
          <w:rPr>
            <w:noProof/>
            <w:webHidden/>
          </w:rPr>
        </w:r>
        <w:r>
          <w:rPr>
            <w:noProof/>
            <w:webHidden/>
          </w:rPr>
          <w:fldChar w:fldCharType="separate"/>
        </w:r>
        <w:r w:rsidR="001E3978">
          <w:rPr>
            <w:noProof/>
            <w:webHidden/>
          </w:rPr>
          <w:t>104</w:t>
        </w:r>
        <w:r>
          <w:rPr>
            <w:noProof/>
            <w:webHidden/>
          </w:rPr>
          <w:fldChar w:fldCharType="end"/>
        </w:r>
      </w:hyperlink>
    </w:p>
    <w:p w14:paraId="38619819" w14:textId="2D28A9A5" w:rsidR="00266B1F" w:rsidRDefault="00266B1F">
      <w:pPr>
        <w:pStyle w:val="TM3"/>
        <w:tabs>
          <w:tab w:val="left" w:pos="960"/>
          <w:tab w:val="right" w:leader="dot" w:pos="8630"/>
        </w:tabs>
        <w:rPr>
          <w:noProof/>
          <w:kern w:val="2"/>
          <w:sz w:val="24"/>
          <w:szCs w:val="24"/>
          <w:lang w:eastAsia="fr-BE"/>
          <w14:ligatures w14:val="standardContextual"/>
        </w:rPr>
      </w:pPr>
      <w:hyperlink w:anchor="_Toc233626231"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Perception des recettes</w:t>
        </w:r>
        <w:r>
          <w:rPr>
            <w:noProof/>
            <w:webHidden/>
          </w:rPr>
          <w:tab/>
        </w:r>
        <w:r>
          <w:rPr>
            <w:noProof/>
            <w:webHidden/>
          </w:rPr>
          <w:fldChar w:fldCharType="begin"/>
        </w:r>
        <w:r>
          <w:rPr>
            <w:noProof/>
            <w:webHidden/>
          </w:rPr>
          <w:instrText xml:space="preserve"> PAGEREF _Toc233626231 \h </w:instrText>
        </w:r>
        <w:r>
          <w:rPr>
            <w:noProof/>
            <w:webHidden/>
          </w:rPr>
        </w:r>
        <w:r>
          <w:rPr>
            <w:noProof/>
            <w:webHidden/>
          </w:rPr>
          <w:fldChar w:fldCharType="separate"/>
        </w:r>
        <w:r w:rsidR="001E3978">
          <w:rPr>
            <w:noProof/>
            <w:webHidden/>
          </w:rPr>
          <w:t>104</w:t>
        </w:r>
        <w:r>
          <w:rPr>
            <w:noProof/>
            <w:webHidden/>
          </w:rPr>
          <w:fldChar w:fldCharType="end"/>
        </w:r>
      </w:hyperlink>
    </w:p>
    <w:p w14:paraId="1314BECB" w14:textId="19470582" w:rsidR="00266B1F" w:rsidRDefault="00266B1F">
      <w:pPr>
        <w:pStyle w:val="TM3"/>
        <w:tabs>
          <w:tab w:val="left" w:pos="960"/>
          <w:tab w:val="right" w:leader="dot" w:pos="8630"/>
        </w:tabs>
        <w:rPr>
          <w:noProof/>
          <w:kern w:val="2"/>
          <w:sz w:val="24"/>
          <w:szCs w:val="24"/>
          <w:lang w:eastAsia="fr-BE"/>
          <w14:ligatures w14:val="standardContextual"/>
        </w:rPr>
      </w:pPr>
      <w:hyperlink w:anchor="_Toc233626232"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Interdiction de lever certaines taxes</w:t>
        </w:r>
        <w:r>
          <w:rPr>
            <w:noProof/>
            <w:webHidden/>
          </w:rPr>
          <w:tab/>
        </w:r>
        <w:r>
          <w:rPr>
            <w:noProof/>
            <w:webHidden/>
          </w:rPr>
          <w:fldChar w:fldCharType="begin"/>
        </w:r>
        <w:r>
          <w:rPr>
            <w:noProof/>
            <w:webHidden/>
          </w:rPr>
          <w:instrText xml:space="preserve"> PAGEREF _Toc233626232 \h </w:instrText>
        </w:r>
        <w:r>
          <w:rPr>
            <w:noProof/>
            <w:webHidden/>
          </w:rPr>
        </w:r>
        <w:r>
          <w:rPr>
            <w:noProof/>
            <w:webHidden/>
          </w:rPr>
          <w:fldChar w:fldCharType="separate"/>
        </w:r>
        <w:r w:rsidR="001E3978">
          <w:rPr>
            <w:noProof/>
            <w:webHidden/>
          </w:rPr>
          <w:t>104</w:t>
        </w:r>
        <w:r>
          <w:rPr>
            <w:noProof/>
            <w:webHidden/>
          </w:rPr>
          <w:fldChar w:fldCharType="end"/>
        </w:r>
      </w:hyperlink>
    </w:p>
    <w:p w14:paraId="1DE81EB5" w14:textId="4051205B" w:rsidR="00266B1F" w:rsidRDefault="00266B1F">
      <w:pPr>
        <w:pStyle w:val="TM3"/>
        <w:tabs>
          <w:tab w:val="left" w:pos="960"/>
          <w:tab w:val="right" w:leader="dot" w:pos="8630"/>
        </w:tabs>
        <w:rPr>
          <w:noProof/>
          <w:kern w:val="2"/>
          <w:sz w:val="24"/>
          <w:szCs w:val="24"/>
          <w:lang w:eastAsia="fr-BE"/>
          <w14:ligatures w14:val="standardContextual"/>
        </w:rPr>
      </w:pPr>
      <w:hyperlink w:anchor="_Toc233626233"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Interdiction d’établir des taxes prohibitives</w:t>
        </w:r>
        <w:r>
          <w:rPr>
            <w:noProof/>
            <w:webHidden/>
          </w:rPr>
          <w:tab/>
        </w:r>
        <w:r>
          <w:rPr>
            <w:noProof/>
            <w:webHidden/>
          </w:rPr>
          <w:fldChar w:fldCharType="begin"/>
        </w:r>
        <w:r>
          <w:rPr>
            <w:noProof/>
            <w:webHidden/>
          </w:rPr>
          <w:instrText xml:space="preserve"> PAGEREF _Toc233626233 \h </w:instrText>
        </w:r>
        <w:r>
          <w:rPr>
            <w:noProof/>
            <w:webHidden/>
          </w:rPr>
        </w:r>
        <w:r>
          <w:rPr>
            <w:noProof/>
            <w:webHidden/>
          </w:rPr>
          <w:fldChar w:fldCharType="separate"/>
        </w:r>
        <w:r w:rsidR="001E3978">
          <w:rPr>
            <w:noProof/>
            <w:webHidden/>
          </w:rPr>
          <w:t>104</w:t>
        </w:r>
        <w:r>
          <w:rPr>
            <w:noProof/>
            <w:webHidden/>
          </w:rPr>
          <w:fldChar w:fldCharType="end"/>
        </w:r>
      </w:hyperlink>
    </w:p>
    <w:p w14:paraId="6CEEB8A1" w14:textId="243E0F9C" w:rsidR="00266B1F" w:rsidRDefault="00266B1F">
      <w:pPr>
        <w:pStyle w:val="TM3"/>
        <w:tabs>
          <w:tab w:val="left" w:pos="960"/>
          <w:tab w:val="right" w:leader="dot" w:pos="8630"/>
        </w:tabs>
        <w:rPr>
          <w:noProof/>
          <w:kern w:val="2"/>
          <w:sz w:val="24"/>
          <w:szCs w:val="24"/>
          <w:lang w:eastAsia="fr-BE"/>
          <w14:ligatures w14:val="standardContextual"/>
        </w:rPr>
      </w:pPr>
      <w:hyperlink w:anchor="_Toc233626234"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Transmission des taxes additionnelles (IPP et PrI)</w:t>
        </w:r>
        <w:r>
          <w:rPr>
            <w:noProof/>
            <w:webHidden/>
          </w:rPr>
          <w:tab/>
        </w:r>
        <w:r>
          <w:rPr>
            <w:noProof/>
            <w:webHidden/>
          </w:rPr>
          <w:fldChar w:fldCharType="begin"/>
        </w:r>
        <w:r>
          <w:rPr>
            <w:noProof/>
            <w:webHidden/>
          </w:rPr>
          <w:instrText xml:space="preserve"> PAGEREF _Toc233626234 \h </w:instrText>
        </w:r>
        <w:r>
          <w:rPr>
            <w:noProof/>
            <w:webHidden/>
          </w:rPr>
        </w:r>
        <w:r>
          <w:rPr>
            <w:noProof/>
            <w:webHidden/>
          </w:rPr>
          <w:fldChar w:fldCharType="separate"/>
        </w:r>
        <w:r w:rsidR="001E3978">
          <w:rPr>
            <w:noProof/>
            <w:webHidden/>
          </w:rPr>
          <w:t>105</w:t>
        </w:r>
        <w:r>
          <w:rPr>
            <w:noProof/>
            <w:webHidden/>
          </w:rPr>
          <w:fldChar w:fldCharType="end"/>
        </w:r>
      </w:hyperlink>
    </w:p>
    <w:p w14:paraId="1D2DDF24" w14:textId="4E22A9BB" w:rsidR="00266B1F" w:rsidRDefault="00266B1F">
      <w:pPr>
        <w:pStyle w:val="TM3"/>
        <w:tabs>
          <w:tab w:val="left" w:pos="960"/>
          <w:tab w:val="right" w:leader="dot" w:pos="8630"/>
        </w:tabs>
        <w:rPr>
          <w:noProof/>
          <w:kern w:val="2"/>
          <w:sz w:val="24"/>
          <w:szCs w:val="24"/>
          <w:lang w:eastAsia="fr-BE"/>
          <w14:ligatures w14:val="standardContextual"/>
        </w:rPr>
      </w:pPr>
      <w:hyperlink w:anchor="_Toc233626235"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Exonérations en faveur des industries nouvelles et des investissements</w:t>
        </w:r>
        <w:r>
          <w:rPr>
            <w:noProof/>
            <w:webHidden/>
          </w:rPr>
          <w:tab/>
        </w:r>
        <w:r>
          <w:rPr>
            <w:noProof/>
            <w:webHidden/>
          </w:rPr>
          <w:fldChar w:fldCharType="begin"/>
        </w:r>
        <w:r>
          <w:rPr>
            <w:noProof/>
            <w:webHidden/>
          </w:rPr>
          <w:instrText xml:space="preserve"> PAGEREF _Toc233626235 \h </w:instrText>
        </w:r>
        <w:r>
          <w:rPr>
            <w:noProof/>
            <w:webHidden/>
          </w:rPr>
        </w:r>
        <w:r>
          <w:rPr>
            <w:noProof/>
            <w:webHidden/>
          </w:rPr>
          <w:fldChar w:fldCharType="separate"/>
        </w:r>
        <w:r w:rsidR="001E3978">
          <w:rPr>
            <w:noProof/>
            <w:webHidden/>
          </w:rPr>
          <w:t>106</w:t>
        </w:r>
        <w:r>
          <w:rPr>
            <w:noProof/>
            <w:webHidden/>
          </w:rPr>
          <w:fldChar w:fldCharType="end"/>
        </w:r>
      </w:hyperlink>
    </w:p>
    <w:p w14:paraId="03D63C3A" w14:textId="11D12954" w:rsidR="00266B1F" w:rsidRDefault="00266B1F">
      <w:pPr>
        <w:pStyle w:val="TM3"/>
        <w:tabs>
          <w:tab w:val="left" w:pos="960"/>
          <w:tab w:val="right" w:leader="dot" w:pos="8630"/>
        </w:tabs>
        <w:rPr>
          <w:noProof/>
          <w:kern w:val="2"/>
          <w:sz w:val="24"/>
          <w:szCs w:val="24"/>
          <w:lang w:eastAsia="fr-BE"/>
          <w14:ligatures w14:val="standardContextual"/>
        </w:rPr>
      </w:pPr>
      <w:hyperlink w:anchor="_Toc233626236" w:history="1">
        <w:r w:rsidRPr="0027322A">
          <w:rPr>
            <w:rStyle w:val="Lienhypertexte"/>
            <w:smallCaps/>
            <w:noProof/>
          </w:rPr>
          <w:t>F.</w:t>
        </w:r>
        <w:r>
          <w:rPr>
            <w:noProof/>
            <w:kern w:val="2"/>
            <w:sz w:val="24"/>
            <w:szCs w:val="24"/>
            <w:lang w:eastAsia="fr-BE"/>
            <w14:ligatures w14:val="standardContextual"/>
          </w:rPr>
          <w:tab/>
        </w:r>
        <w:r w:rsidRPr="0027322A">
          <w:rPr>
            <w:rStyle w:val="Lienhypertexte"/>
            <w:noProof/>
          </w:rPr>
          <w:t>Exonération en faveur des bâtiments publics</w:t>
        </w:r>
        <w:r>
          <w:rPr>
            <w:noProof/>
            <w:webHidden/>
          </w:rPr>
          <w:tab/>
        </w:r>
        <w:r>
          <w:rPr>
            <w:noProof/>
            <w:webHidden/>
          </w:rPr>
          <w:fldChar w:fldCharType="begin"/>
        </w:r>
        <w:r>
          <w:rPr>
            <w:noProof/>
            <w:webHidden/>
          </w:rPr>
          <w:instrText xml:space="preserve"> PAGEREF _Toc233626236 \h </w:instrText>
        </w:r>
        <w:r>
          <w:rPr>
            <w:noProof/>
            <w:webHidden/>
          </w:rPr>
        </w:r>
        <w:r>
          <w:rPr>
            <w:noProof/>
            <w:webHidden/>
          </w:rPr>
          <w:fldChar w:fldCharType="separate"/>
        </w:r>
        <w:r w:rsidR="001E3978">
          <w:rPr>
            <w:noProof/>
            <w:webHidden/>
          </w:rPr>
          <w:t>106</w:t>
        </w:r>
        <w:r>
          <w:rPr>
            <w:noProof/>
            <w:webHidden/>
          </w:rPr>
          <w:fldChar w:fldCharType="end"/>
        </w:r>
      </w:hyperlink>
    </w:p>
    <w:p w14:paraId="4CD12FDF" w14:textId="345D5072" w:rsidR="00266B1F" w:rsidRDefault="00266B1F">
      <w:pPr>
        <w:pStyle w:val="TM3"/>
        <w:tabs>
          <w:tab w:val="left" w:pos="960"/>
          <w:tab w:val="right" w:leader="dot" w:pos="8630"/>
        </w:tabs>
        <w:rPr>
          <w:noProof/>
          <w:kern w:val="2"/>
          <w:sz w:val="24"/>
          <w:szCs w:val="24"/>
          <w:lang w:eastAsia="fr-BE"/>
          <w14:ligatures w14:val="standardContextual"/>
        </w:rPr>
      </w:pPr>
      <w:hyperlink w:anchor="_Toc233626237" w:history="1">
        <w:r w:rsidRPr="0027322A">
          <w:rPr>
            <w:rStyle w:val="Lienhypertexte"/>
            <w:smallCaps/>
            <w:noProof/>
          </w:rPr>
          <w:t>G.</w:t>
        </w:r>
        <w:r>
          <w:rPr>
            <w:noProof/>
            <w:kern w:val="2"/>
            <w:sz w:val="24"/>
            <w:szCs w:val="24"/>
            <w:lang w:eastAsia="fr-BE"/>
            <w14:ligatures w14:val="standardContextual"/>
          </w:rPr>
          <w:tab/>
        </w:r>
        <w:r w:rsidRPr="0027322A">
          <w:rPr>
            <w:rStyle w:val="Lienhypertexte"/>
            <w:noProof/>
          </w:rPr>
          <w:t>Taxes additionnelles aux taxes provinciales</w:t>
        </w:r>
        <w:r>
          <w:rPr>
            <w:noProof/>
            <w:webHidden/>
          </w:rPr>
          <w:tab/>
        </w:r>
        <w:r>
          <w:rPr>
            <w:noProof/>
            <w:webHidden/>
          </w:rPr>
          <w:fldChar w:fldCharType="begin"/>
        </w:r>
        <w:r>
          <w:rPr>
            <w:noProof/>
            <w:webHidden/>
          </w:rPr>
          <w:instrText xml:space="preserve"> PAGEREF _Toc233626237 \h </w:instrText>
        </w:r>
        <w:r>
          <w:rPr>
            <w:noProof/>
            <w:webHidden/>
          </w:rPr>
        </w:r>
        <w:r>
          <w:rPr>
            <w:noProof/>
            <w:webHidden/>
          </w:rPr>
          <w:fldChar w:fldCharType="separate"/>
        </w:r>
        <w:r w:rsidR="001E3978">
          <w:rPr>
            <w:noProof/>
            <w:webHidden/>
          </w:rPr>
          <w:t>107</w:t>
        </w:r>
        <w:r>
          <w:rPr>
            <w:noProof/>
            <w:webHidden/>
          </w:rPr>
          <w:fldChar w:fldCharType="end"/>
        </w:r>
      </w:hyperlink>
    </w:p>
    <w:p w14:paraId="10265DB3" w14:textId="165FC253" w:rsidR="00266B1F" w:rsidRDefault="00266B1F">
      <w:pPr>
        <w:pStyle w:val="TM3"/>
        <w:tabs>
          <w:tab w:val="left" w:pos="960"/>
          <w:tab w:val="right" w:leader="dot" w:pos="8630"/>
        </w:tabs>
        <w:rPr>
          <w:noProof/>
          <w:kern w:val="2"/>
          <w:sz w:val="24"/>
          <w:szCs w:val="24"/>
          <w:lang w:eastAsia="fr-BE"/>
          <w14:ligatures w14:val="standardContextual"/>
        </w:rPr>
      </w:pPr>
      <w:hyperlink w:anchor="_Toc233626238" w:history="1">
        <w:r w:rsidRPr="0027322A">
          <w:rPr>
            <w:rStyle w:val="Lienhypertexte"/>
            <w:smallCaps/>
            <w:noProof/>
          </w:rPr>
          <w:t>H.</w:t>
        </w:r>
        <w:r>
          <w:rPr>
            <w:noProof/>
            <w:kern w:val="2"/>
            <w:sz w:val="24"/>
            <w:szCs w:val="24"/>
            <w:lang w:eastAsia="fr-BE"/>
            <w14:ligatures w14:val="standardContextual"/>
          </w:rPr>
          <w:tab/>
        </w:r>
        <w:r w:rsidRPr="0027322A">
          <w:rPr>
            <w:rStyle w:val="Lienhypertexte"/>
            <w:noProof/>
          </w:rPr>
          <w:t>Code du recouvrement amiable et forcé (CRAF)</w:t>
        </w:r>
        <w:r>
          <w:rPr>
            <w:noProof/>
            <w:webHidden/>
          </w:rPr>
          <w:tab/>
        </w:r>
        <w:r>
          <w:rPr>
            <w:noProof/>
            <w:webHidden/>
          </w:rPr>
          <w:fldChar w:fldCharType="begin"/>
        </w:r>
        <w:r>
          <w:rPr>
            <w:noProof/>
            <w:webHidden/>
          </w:rPr>
          <w:instrText xml:space="preserve"> PAGEREF _Toc233626238 \h </w:instrText>
        </w:r>
        <w:r>
          <w:rPr>
            <w:noProof/>
            <w:webHidden/>
          </w:rPr>
        </w:r>
        <w:r>
          <w:rPr>
            <w:noProof/>
            <w:webHidden/>
          </w:rPr>
          <w:fldChar w:fldCharType="separate"/>
        </w:r>
        <w:r w:rsidR="001E3978">
          <w:rPr>
            <w:noProof/>
            <w:webHidden/>
          </w:rPr>
          <w:t>107</w:t>
        </w:r>
        <w:r>
          <w:rPr>
            <w:noProof/>
            <w:webHidden/>
          </w:rPr>
          <w:fldChar w:fldCharType="end"/>
        </w:r>
      </w:hyperlink>
    </w:p>
    <w:p w14:paraId="2AE54DC8" w14:textId="31ADE678" w:rsidR="00266B1F" w:rsidRDefault="00266B1F">
      <w:pPr>
        <w:pStyle w:val="TM3"/>
        <w:tabs>
          <w:tab w:val="left" w:pos="960"/>
          <w:tab w:val="right" w:leader="dot" w:pos="8630"/>
        </w:tabs>
        <w:rPr>
          <w:noProof/>
          <w:kern w:val="2"/>
          <w:sz w:val="24"/>
          <w:szCs w:val="24"/>
          <w:lang w:eastAsia="fr-BE"/>
          <w14:ligatures w14:val="standardContextual"/>
        </w:rPr>
      </w:pPr>
      <w:hyperlink w:anchor="_Toc233626239" w:history="1">
        <w:r w:rsidRPr="0027322A">
          <w:rPr>
            <w:rStyle w:val="Lienhypertexte"/>
            <w:smallCaps/>
            <w:noProof/>
          </w:rPr>
          <w:t>I.</w:t>
        </w:r>
        <w:r>
          <w:rPr>
            <w:noProof/>
            <w:kern w:val="2"/>
            <w:sz w:val="24"/>
            <w:szCs w:val="24"/>
            <w:lang w:eastAsia="fr-BE"/>
            <w14:ligatures w14:val="standardContextual"/>
          </w:rPr>
          <w:tab/>
        </w:r>
        <w:r w:rsidRPr="0027322A">
          <w:rPr>
            <w:rStyle w:val="Lienhypertexte"/>
            <w:noProof/>
          </w:rPr>
          <w:t>Recouvrement des taxes : amiable et forcé</w:t>
        </w:r>
        <w:r>
          <w:rPr>
            <w:noProof/>
            <w:webHidden/>
          </w:rPr>
          <w:tab/>
        </w:r>
        <w:r>
          <w:rPr>
            <w:noProof/>
            <w:webHidden/>
          </w:rPr>
          <w:fldChar w:fldCharType="begin"/>
        </w:r>
        <w:r>
          <w:rPr>
            <w:noProof/>
            <w:webHidden/>
          </w:rPr>
          <w:instrText xml:space="preserve"> PAGEREF _Toc233626239 \h </w:instrText>
        </w:r>
        <w:r>
          <w:rPr>
            <w:noProof/>
            <w:webHidden/>
          </w:rPr>
        </w:r>
        <w:r>
          <w:rPr>
            <w:noProof/>
            <w:webHidden/>
          </w:rPr>
          <w:fldChar w:fldCharType="separate"/>
        </w:r>
        <w:r w:rsidR="001E3978">
          <w:rPr>
            <w:noProof/>
            <w:webHidden/>
          </w:rPr>
          <w:t>107</w:t>
        </w:r>
        <w:r>
          <w:rPr>
            <w:noProof/>
            <w:webHidden/>
          </w:rPr>
          <w:fldChar w:fldCharType="end"/>
        </w:r>
      </w:hyperlink>
    </w:p>
    <w:p w14:paraId="39E5BC83" w14:textId="0626F7EF" w:rsidR="00266B1F" w:rsidRDefault="00266B1F">
      <w:pPr>
        <w:pStyle w:val="TM3"/>
        <w:tabs>
          <w:tab w:val="left" w:pos="960"/>
          <w:tab w:val="right" w:leader="dot" w:pos="8630"/>
        </w:tabs>
        <w:rPr>
          <w:noProof/>
          <w:kern w:val="2"/>
          <w:sz w:val="24"/>
          <w:szCs w:val="24"/>
          <w:lang w:eastAsia="fr-BE"/>
          <w14:ligatures w14:val="standardContextual"/>
        </w:rPr>
      </w:pPr>
      <w:hyperlink w:anchor="_Toc233626240" w:history="1">
        <w:r w:rsidRPr="0027322A">
          <w:rPr>
            <w:rStyle w:val="Lienhypertexte"/>
            <w:smallCaps/>
            <w:noProof/>
          </w:rPr>
          <w:t>J.</w:t>
        </w:r>
        <w:r>
          <w:rPr>
            <w:noProof/>
            <w:kern w:val="2"/>
            <w:sz w:val="24"/>
            <w:szCs w:val="24"/>
            <w:lang w:eastAsia="fr-BE"/>
            <w14:ligatures w14:val="standardContextual"/>
          </w:rPr>
          <w:tab/>
        </w:r>
        <w:r w:rsidRPr="0027322A">
          <w:rPr>
            <w:rStyle w:val="Lienhypertexte"/>
            <w:noProof/>
          </w:rPr>
          <w:t>Comment faire un recouvrement forcé à l’étranger ?</w:t>
        </w:r>
        <w:r>
          <w:rPr>
            <w:noProof/>
            <w:webHidden/>
          </w:rPr>
          <w:tab/>
        </w:r>
        <w:r>
          <w:rPr>
            <w:noProof/>
            <w:webHidden/>
          </w:rPr>
          <w:fldChar w:fldCharType="begin"/>
        </w:r>
        <w:r>
          <w:rPr>
            <w:noProof/>
            <w:webHidden/>
          </w:rPr>
          <w:instrText xml:space="preserve"> PAGEREF _Toc233626240 \h </w:instrText>
        </w:r>
        <w:r>
          <w:rPr>
            <w:noProof/>
            <w:webHidden/>
          </w:rPr>
        </w:r>
        <w:r>
          <w:rPr>
            <w:noProof/>
            <w:webHidden/>
          </w:rPr>
          <w:fldChar w:fldCharType="separate"/>
        </w:r>
        <w:r w:rsidR="001E3978">
          <w:rPr>
            <w:noProof/>
            <w:webHidden/>
          </w:rPr>
          <w:t>110</w:t>
        </w:r>
        <w:r>
          <w:rPr>
            <w:noProof/>
            <w:webHidden/>
          </w:rPr>
          <w:fldChar w:fldCharType="end"/>
        </w:r>
      </w:hyperlink>
    </w:p>
    <w:p w14:paraId="3D7DB2AD" w14:textId="0FBC503C" w:rsidR="00266B1F" w:rsidRDefault="00266B1F">
      <w:pPr>
        <w:pStyle w:val="TM3"/>
        <w:tabs>
          <w:tab w:val="left" w:pos="960"/>
          <w:tab w:val="right" w:leader="dot" w:pos="8630"/>
        </w:tabs>
        <w:rPr>
          <w:noProof/>
          <w:kern w:val="2"/>
          <w:sz w:val="24"/>
          <w:szCs w:val="24"/>
          <w:lang w:eastAsia="fr-BE"/>
          <w14:ligatures w14:val="standardContextual"/>
        </w:rPr>
      </w:pPr>
      <w:hyperlink w:anchor="_Toc233626241" w:history="1">
        <w:r w:rsidRPr="0027322A">
          <w:rPr>
            <w:rStyle w:val="Lienhypertexte"/>
            <w:smallCaps/>
            <w:noProof/>
          </w:rPr>
          <w:t>K.</w:t>
        </w:r>
        <w:r>
          <w:rPr>
            <w:noProof/>
            <w:kern w:val="2"/>
            <w:sz w:val="24"/>
            <w:szCs w:val="24"/>
            <w:lang w:eastAsia="fr-BE"/>
            <w14:ligatures w14:val="standardContextual"/>
          </w:rPr>
          <w:tab/>
        </w:r>
        <w:r w:rsidRPr="0027322A">
          <w:rPr>
            <w:rStyle w:val="Lienhypertexte"/>
            <w:noProof/>
          </w:rPr>
          <w:t>Recouvrement amiable et forcé d’une redevance</w:t>
        </w:r>
        <w:r>
          <w:rPr>
            <w:noProof/>
            <w:webHidden/>
          </w:rPr>
          <w:tab/>
        </w:r>
        <w:r>
          <w:rPr>
            <w:noProof/>
            <w:webHidden/>
          </w:rPr>
          <w:fldChar w:fldCharType="begin"/>
        </w:r>
        <w:r>
          <w:rPr>
            <w:noProof/>
            <w:webHidden/>
          </w:rPr>
          <w:instrText xml:space="preserve"> PAGEREF _Toc233626241 \h </w:instrText>
        </w:r>
        <w:r>
          <w:rPr>
            <w:noProof/>
            <w:webHidden/>
          </w:rPr>
        </w:r>
        <w:r>
          <w:rPr>
            <w:noProof/>
            <w:webHidden/>
          </w:rPr>
          <w:fldChar w:fldCharType="separate"/>
        </w:r>
        <w:r w:rsidR="001E3978">
          <w:rPr>
            <w:noProof/>
            <w:webHidden/>
          </w:rPr>
          <w:t>111</w:t>
        </w:r>
        <w:r>
          <w:rPr>
            <w:noProof/>
            <w:webHidden/>
          </w:rPr>
          <w:fldChar w:fldCharType="end"/>
        </w:r>
      </w:hyperlink>
    </w:p>
    <w:p w14:paraId="1A3C5C75" w14:textId="3F990487" w:rsidR="00266B1F" w:rsidRDefault="00266B1F">
      <w:pPr>
        <w:pStyle w:val="TM3"/>
        <w:tabs>
          <w:tab w:val="left" w:pos="960"/>
          <w:tab w:val="right" w:leader="dot" w:pos="8630"/>
        </w:tabs>
        <w:rPr>
          <w:noProof/>
          <w:kern w:val="2"/>
          <w:sz w:val="24"/>
          <w:szCs w:val="24"/>
          <w:lang w:eastAsia="fr-BE"/>
          <w14:ligatures w14:val="standardContextual"/>
        </w:rPr>
      </w:pPr>
      <w:hyperlink w:anchor="_Toc233626242" w:history="1">
        <w:r w:rsidRPr="0027322A">
          <w:rPr>
            <w:rStyle w:val="Lienhypertexte"/>
            <w:smallCaps/>
            <w:noProof/>
          </w:rPr>
          <w:t>L.</w:t>
        </w:r>
        <w:r>
          <w:rPr>
            <w:noProof/>
            <w:kern w:val="2"/>
            <w:sz w:val="24"/>
            <w:szCs w:val="24"/>
            <w:lang w:eastAsia="fr-BE"/>
            <w14:ligatures w14:val="standardContextual"/>
          </w:rPr>
          <w:tab/>
        </w:r>
        <w:r w:rsidRPr="0027322A">
          <w:rPr>
            <w:rStyle w:val="Lienhypertexte"/>
            <w:noProof/>
          </w:rPr>
          <w:t>Réclamation contre les taxes communales et effets sur le recouvrement</w:t>
        </w:r>
        <w:r>
          <w:rPr>
            <w:noProof/>
            <w:webHidden/>
          </w:rPr>
          <w:tab/>
        </w:r>
        <w:r>
          <w:rPr>
            <w:noProof/>
            <w:webHidden/>
          </w:rPr>
          <w:fldChar w:fldCharType="begin"/>
        </w:r>
        <w:r>
          <w:rPr>
            <w:noProof/>
            <w:webHidden/>
          </w:rPr>
          <w:instrText xml:space="preserve"> PAGEREF _Toc233626242 \h </w:instrText>
        </w:r>
        <w:r>
          <w:rPr>
            <w:noProof/>
            <w:webHidden/>
          </w:rPr>
        </w:r>
        <w:r>
          <w:rPr>
            <w:noProof/>
            <w:webHidden/>
          </w:rPr>
          <w:fldChar w:fldCharType="separate"/>
        </w:r>
        <w:r w:rsidR="001E3978">
          <w:rPr>
            <w:noProof/>
            <w:webHidden/>
          </w:rPr>
          <w:t>114</w:t>
        </w:r>
        <w:r>
          <w:rPr>
            <w:noProof/>
            <w:webHidden/>
          </w:rPr>
          <w:fldChar w:fldCharType="end"/>
        </w:r>
      </w:hyperlink>
    </w:p>
    <w:p w14:paraId="18B3C488" w14:textId="42EF9004" w:rsidR="00266B1F" w:rsidRDefault="00266B1F">
      <w:pPr>
        <w:pStyle w:val="TM3"/>
        <w:tabs>
          <w:tab w:val="left" w:pos="960"/>
          <w:tab w:val="right" w:leader="dot" w:pos="8630"/>
        </w:tabs>
        <w:rPr>
          <w:noProof/>
          <w:kern w:val="2"/>
          <w:sz w:val="24"/>
          <w:szCs w:val="24"/>
          <w:lang w:eastAsia="fr-BE"/>
          <w14:ligatures w14:val="standardContextual"/>
        </w:rPr>
      </w:pPr>
      <w:hyperlink w:anchor="_Toc233626243" w:history="1">
        <w:r w:rsidRPr="0027322A">
          <w:rPr>
            <w:rStyle w:val="Lienhypertexte"/>
            <w:smallCaps/>
            <w:noProof/>
          </w:rPr>
          <w:t>M.</w:t>
        </w:r>
        <w:r>
          <w:rPr>
            <w:noProof/>
            <w:kern w:val="2"/>
            <w:sz w:val="24"/>
            <w:szCs w:val="24"/>
            <w:lang w:eastAsia="fr-BE"/>
            <w14:ligatures w14:val="standardContextual"/>
          </w:rPr>
          <w:tab/>
        </w:r>
        <w:r w:rsidRPr="0027322A">
          <w:rPr>
            <w:rStyle w:val="Lienhypertexte"/>
            <w:noProof/>
          </w:rPr>
          <w:t>Réclamation contre les redevances communales</w:t>
        </w:r>
        <w:r>
          <w:rPr>
            <w:noProof/>
            <w:webHidden/>
          </w:rPr>
          <w:tab/>
        </w:r>
        <w:r>
          <w:rPr>
            <w:noProof/>
            <w:webHidden/>
          </w:rPr>
          <w:fldChar w:fldCharType="begin"/>
        </w:r>
        <w:r>
          <w:rPr>
            <w:noProof/>
            <w:webHidden/>
          </w:rPr>
          <w:instrText xml:space="preserve"> PAGEREF _Toc233626243 \h </w:instrText>
        </w:r>
        <w:r>
          <w:rPr>
            <w:noProof/>
            <w:webHidden/>
          </w:rPr>
        </w:r>
        <w:r>
          <w:rPr>
            <w:noProof/>
            <w:webHidden/>
          </w:rPr>
          <w:fldChar w:fldCharType="separate"/>
        </w:r>
        <w:r w:rsidR="001E3978">
          <w:rPr>
            <w:noProof/>
            <w:webHidden/>
          </w:rPr>
          <w:t>121</w:t>
        </w:r>
        <w:r>
          <w:rPr>
            <w:noProof/>
            <w:webHidden/>
          </w:rPr>
          <w:fldChar w:fldCharType="end"/>
        </w:r>
      </w:hyperlink>
    </w:p>
    <w:p w14:paraId="43874895" w14:textId="46DA03EC" w:rsidR="00266B1F" w:rsidRDefault="00266B1F">
      <w:pPr>
        <w:pStyle w:val="TM3"/>
        <w:tabs>
          <w:tab w:val="left" w:pos="960"/>
          <w:tab w:val="right" w:leader="dot" w:pos="8630"/>
        </w:tabs>
        <w:rPr>
          <w:noProof/>
          <w:kern w:val="2"/>
          <w:sz w:val="24"/>
          <w:szCs w:val="24"/>
          <w:lang w:eastAsia="fr-BE"/>
          <w14:ligatures w14:val="standardContextual"/>
        </w:rPr>
      </w:pPr>
      <w:hyperlink w:anchor="_Toc233626244" w:history="1">
        <w:r w:rsidRPr="0027322A">
          <w:rPr>
            <w:rStyle w:val="Lienhypertexte"/>
            <w:smallCaps/>
            <w:noProof/>
          </w:rPr>
          <w:t>N.</w:t>
        </w:r>
        <w:r>
          <w:rPr>
            <w:noProof/>
            <w:kern w:val="2"/>
            <w:sz w:val="24"/>
            <w:szCs w:val="24"/>
            <w:lang w:eastAsia="fr-BE"/>
            <w14:ligatures w14:val="standardContextual"/>
          </w:rPr>
          <w:tab/>
        </w:r>
        <w:r w:rsidRPr="0027322A">
          <w:rPr>
            <w:rStyle w:val="Lienhypertexte"/>
            <w:noProof/>
          </w:rPr>
          <w:t>Formalité de déclaration du contribuable</w:t>
        </w:r>
        <w:r>
          <w:rPr>
            <w:noProof/>
            <w:webHidden/>
          </w:rPr>
          <w:tab/>
        </w:r>
        <w:r>
          <w:rPr>
            <w:noProof/>
            <w:webHidden/>
          </w:rPr>
          <w:fldChar w:fldCharType="begin"/>
        </w:r>
        <w:r>
          <w:rPr>
            <w:noProof/>
            <w:webHidden/>
          </w:rPr>
          <w:instrText xml:space="preserve"> PAGEREF _Toc233626244 \h </w:instrText>
        </w:r>
        <w:r>
          <w:rPr>
            <w:noProof/>
            <w:webHidden/>
          </w:rPr>
        </w:r>
        <w:r>
          <w:rPr>
            <w:noProof/>
            <w:webHidden/>
          </w:rPr>
          <w:fldChar w:fldCharType="separate"/>
        </w:r>
        <w:r w:rsidR="001E3978">
          <w:rPr>
            <w:noProof/>
            <w:webHidden/>
          </w:rPr>
          <w:t>121</w:t>
        </w:r>
        <w:r>
          <w:rPr>
            <w:noProof/>
            <w:webHidden/>
          </w:rPr>
          <w:fldChar w:fldCharType="end"/>
        </w:r>
      </w:hyperlink>
    </w:p>
    <w:p w14:paraId="37F8584B" w14:textId="75B5B4C3" w:rsidR="00266B1F" w:rsidRDefault="00266B1F">
      <w:pPr>
        <w:pStyle w:val="TM3"/>
        <w:tabs>
          <w:tab w:val="left" w:pos="960"/>
          <w:tab w:val="right" w:leader="dot" w:pos="8630"/>
        </w:tabs>
        <w:rPr>
          <w:noProof/>
          <w:kern w:val="2"/>
          <w:sz w:val="24"/>
          <w:szCs w:val="24"/>
          <w:lang w:eastAsia="fr-BE"/>
          <w14:ligatures w14:val="standardContextual"/>
        </w:rPr>
      </w:pPr>
      <w:hyperlink w:anchor="_Toc233626245" w:history="1">
        <w:r w:rsidRPr="0027322A">
          <w:rPr>
            <w:rStyle w:val="Lienhypertexte"/>
            <w:smallCaps/>
            <w:noProof/>
          </w:rPr>
          <w:t>O.</w:t>
        </w:r>
        <w:r>
          <w:rPr>
            <w:noProof/>
            <w:kern w:val="2"/>
            <w:sz w:val="24"/>
            <w:szCs w:val="24"/>
            <w:lang w:eastAsia="fr-BE"/>
            <w14:ligatures w14:val="standardContextual"/>
          </w:rPr>
          <w:tab/>
        </w:r>
        <w:r w:rsidRPr="0027322A">
          <w:rPr>
            <w:rStyle w:val="Lienhypertexte"/>
            <w:noProof/>
          </w:rPr>
          <w:t>Procédure de taxation d’office</w:t>
        </w:r>
        <w:r>
          <w:rPr>
            <w:noProof/>
            <w:webHidden/>
          </w:rPr>
          <w:tab/>
        </w:r>
        <w:r>
          <w:rPr>
            <w:noProof/>
            <w:webHidden/>
          </w:rPr>
          <w:fldChar w:fldCharType="begin"/>
        </w:r>
        <w:r>
          <w:rPr>
            <w:noProof/>
            <w:webHidden/>
          </w:rPr>
          <w:instrText xml:space="preserve"> PAGEREF _Toc233626245 \h </w:instrText>
        </w:r>
        <w:r>
          <w:rPr>
            <w:noProof/>
            <w:webHidden/>
          </w:rPr>
        </w:r>
        <w:r>
          <w:rPr>
            <w:noProof/>
            <w:webHidden/>
          </w:rPr>
          <w:fldChar w:fldCharType="separate"/>
        </w:r>
        <w:r w:rsidR="001E3978">
          <w:rPr>
            <w:noProof/>
            <w:webHidden/>
          </w:rPr>
          <w:t>122</w:t>
        </w:r>
        <w:r>
          <w:rPr>
            <w:noProof/>
            <w:webHidden/>
          </w:rPr>
          <w:fldChar w:fldCharType="end"/>
        </w:r>
      </w:hyperlink>
    </w:p>
    <w:p w14:paraId="4D5FF8C2" w14:textId="19C5D3A1" w:rsidR="00266B1F" w:rsidRDefault="00266B1F">
      <w:pPr>
        <w:pStyle w:val="TM3"/>
        <w:tabs>
          <w:tab w:val="left" w:pos="960"/>
          <w:tab w:val="right" w:leader="dot" w:pos="8630"/>
        </w:tabs>
        <w:rPr>
          <w:noProof/>
          <w:kern w:val="2"/>
          <w:sz w:val="24"/>
          <w:szCs w:val="24"/>
          <w:lang w:eastAsia="fr-BE"/>
          <w14:ligatures w14:val="standardContextual"/>
        </w:rPr>
      </w:pPr>
      <w:hyperlink w:anchor="_Toc233626246" w:history="1">
        <w:r w:rsidRPr="0027322A">
          <w:rPr>
            <w:rStyle w:val="Lienhypertexte"/>
            <w:smallCaps/>
            <w:noProof/>
          </w:rPr>
          <w:t>P.</w:t>
        </w:r>
        <w:r>
          <w:rPr>
            <w:noProof/>
            <w:kern w:val="2"/>
            <w:sz w:val="24"/>
            <w:szCs w:val="24"/>
            <w:lang w:eastAsia="fr-BE"/>
            <w14:ligatures w14:val="standardContextual"/>
          </w:rPr>
          <w:tab/>
        </w:r>
        <w:r w:rsidRPr="0027322A">
          <w:rPr>
            <w:rStyle w:val="Lienhypertexte"/>
            <w:noProof/>
          </w:rPr>
          <w:t>Articles 355 à 357 du CIR (nouvelles et subsidiaires)</w:t>
        </w:r>
        <w:r>
          <w:rPr>
            <w:noProof/>
            <w:webHidden/>
          </w:rPr>
          <w:tab/>
        </w:r>
        <w:r>
          <w:rPr>
            <w:noProof/>
            <w:webHidden/>
          </w:rPr>
          <w:fldChar w:fldCharType="begin"/>
        </w:r>
        <w:r>
          <w:rPr>
            <w:noProof/>
            <w:webHidden/>
          </w:rPr>
          <w:instrText xml:space="preserve"> PAGEREF _Toc233626246 \h </w:instrText>
        </w:r>
        <w:r>
          <w:rPr>
            <w:noProof/>
            <w:webHidden/>
          </w:rPr>
        </w:r>
        <w:r>
          <w:rPr>
            <w:noProof/>
            <w:webHidden/>
          </w:rPr>
          <w:fldChar w:fldCharType="separate"/>
        </w:r>
        <w:r w:rsidR="001E3978">
          <w:rPr>
            <w:noProof/>
            <w:webHidden/>
          </w:rPr>
          <w:t>124</w:t>
        </w:r>
        <w:r>
          <w:rPr>
            <w:noProof/>
            <w:webHidden/>
          </w:rPr>
          <w:fldChar w:fldCharType="end"/>
        </w:r>
      </w:hyperlink>
    </w:p>
    <w:p w14:paraId="75D6F733" w14:textId="2426911B" w:rsidR="00266B1F" w:rsidRDefault="00266B1F">
      <w:pPr>
        <w:pStyle w:val="TM3"/>
        <w:tabs>
          <w:tab w:val="left" w:pos="960"/>
          <w:tab w:val="right" w:leader="dot" w:pos="8630"/>
        </w:tabs>
        <w:rPr>
          <w:noProof/>
          <w:kern w:val="2"/>
          <w:sz w:val="24"/>
          <w:szCs w:val="24"/>
          <w:lang w:eastAsia="fr-BE"/>
          <w14:ligatures w14:val="standardContextual"/>
        </w:rPr>
      </w:pPr>
      <w:hyperlink w:anchor="_Toc233626247" w:history="1">
        <w:r w:rsidRPr="0027322A">
          <w:rPr>
            <w:rStyle w:val="Lienhypertexte"/>
            <w:smallCaps/>
            <w:noProof/>
          </w:rPr>
          <w:t>Q.</w:t>
        </w:r>
        <w:r>
          <w:rPr>
            <w:noProof/>
            <w:kern w:val="2"/>
            <w:sz w:val="24"/>
            <w:szCs w:val="24"/>
            <w:lang w:eastAsia="fr-BE"/>
            <w14:ligatures w14:val="standardContextual"/>
          </w:rPr>
          <w:tab/>
        </w:r>
        <w:r w:rsidRPr="0027322A">
          <w:rPr>
            <w:rStyle w:val="Lienhypertexte"/>
            <w:noProof/>
          </w:rPr>
          <w:t>Intérêts de retard et moratoires (taxes communales)</w:t>
        </w:r>
        <w:r>
          <w:rPr>
            <w:noProof/>
            <w:webHidden/>
          </w:rPr>
          <w:tab/>
        </w:r>
        <w:r>
          <w:rPr>
            <w:noProof/>
            <w:webHidden/>
          </w:rPr>
          <w:fldChar w:fldCharType="begin"/>
        </w:r>
        <w:r>
          <w:rPr>
            <w:noProof/>
            <w:webHidden/>
          </w:rPr>
          <w:instrText xml:space="preserve"> PAGEREF _Toc233626247 \h </w:instrText>
        </w:r>
        <w:r>
          <w:rPr>
            <w:noProof/>
            <w:webHidden/>
          </w:rPr>
        </w:r>
        <w:r>
          <w:rPr>
            <w:noProof/>
            <w:webHidden/>
          </w:rPr>
          <w:fldChar w:fldCharType="separate"/>
        </w:r>
        <w:r w:rsidR="001E3978">
          <w:rPr>
            <w:noProof/>
            <w:webHidden/>
          </w:rPr>
          <w:t>127</w:t>
        </w:r>
        <w:r>
          <w:rPr>
            <w:noProof/>
            <w:webHidden/>
          </w:rPr>
          <w:fldChar w:fldCharType="end"/>
        </w:r>
      </w:hyperlink>
    </w:p>
    <w:p w14:paraId="52D65FBB" w14:textId="771E1B37" w:rsidR="00266B1F" w:rsidRDefault="00266B1F">
      <w:pPr>
        <w:pStyle w:val="TM3"/>
        <w:tabs>
          <w:tab w:val="left" w:pos="960"/>
          <w:tab w:val="right" w:leader="dot" w:pos="8630"/>
        </w:tabs>
        <w:rPr>
          <w:noProof/>
          <w:kern w:val="2"/>
          <w:sz w:val="24"/>
          <w:szCs w:val="24"/>
          <w:lang w:eastAsia="fr-BE"/>
          <w14:ligatures w14:val="standardContextual"/>
        </w:rPr>
      </w:pPr>
      <w:hyperlink w:anchor="_Toc233626248" w:history="1">
        <w:r w:rsidRPr="0027322A">
          <w:rPr>
            <w:rStyle w:val="Lienhypertexte"/>
            <w:smallCaps/>
            <w:noProof/>
          </w:rPr>
          <w:t>R.</w:t>
        </w:r>
        <w:r>
          <w:rPr>
            <w:noProof/>
            <w:kern w:val="2"/>
            <w:sz w:val="24"/>
            <w:szCs w:val="24"/>
            <w:lang w:eastAsia="fr-BE"/>
            <w14:ligatures w14:val="standardContextual"/>
          </w:rPr>
          <w:tab/>
        </w:r>
        <w:r w:rsidRPr="0027322A">
          <w:rPr>
            <w:rStyle w:val="Lienhypertexte"/>
            <w:noProof/>
          </w:rPr>
          <w:t>Fixation du prix de l’eau (communes distributrices)</w:t>
        </w:r>
        <w:r>
          <w:rPr>
            <w:noProof/>
            <w:webHidden/>
          </w:rPr>
          <w:tab/>
        </w:r>
        <w:r>
          <w:rPr>
            <w:noProof/>
            <w:webHidden/>
          </w:rPr>
          <w:fldChar w:fldCharType="begin"/>
        </w:r>
        <w:r>
          <w:rPr>
            <w:noProof/>
            <w:webHidden/>
          </w:rPr>
          <w:instrText xml:space="preserve"> PAGEREF _Toc233626248 \h </w:instrText>
        </w:r>
        <w:r>
          <w:rPr>
            <w:noProof/>
            <w:webHidden/>
          </w:rPr>
        </w:r>
        <w:r>
          <w:rPr>
            <w:noProof/>
            <w:webHidden/>
          </w:rPr>
          <w:fldChar w:fldCharType="separate"/>
        </w:r>
        <w:r w:rsidR="001E3978">
          <w:rPr>
            <w:noProof/>
            <w:webHidden/>
          </w:rPr>
          <w:t>127</w:t>
        </w:r>
        <w:r>
          <w:rPr>
            <w:noProof/>
            <w:webHidden/>
          </w:rPr>
          <w:fldChar w:fldCharType="end"/>
        </w:r>
      </w:hyperlink>
    </w:p>
    <w:p w14:paraId="05235AAF" w14:textId="7BCE75A2" w:rsidR="00266B1F" w:rsidRDefault="00266B1F">
      <w:pPr>
        <w:pStyle w:val="TM3"/>
        <w:tabs>
          <w:tab w:val="left" w:pos="960"/>
          <w:tab w:val="right" w:leader="dot" w:pos="8630"/>
        </w:tabs>
        <w:rPr>
          <w:noProof/>
          <w:kern w:val="2"/>
          <w:sz w:val="24"/>
          <w:szCs w:val="24"/>
          <w:lang w:eastAsia="fr-BE"/>
          <w14:ligatures w14:val="standardContextual"/>
        </w:rPr>
      </w:pPr>
      <w:hyperlink w:anchor="_Toc233626249" w:history="1">
        <w:r w:rsidRPr="0027322A">
          <w:rPr>
            <w:rStyle w:val="Lienhypertexte"/>
            <w:smallCaps/>
            <w:noProof/>
          </w:rPr>
          <w:t>S.</w:t>
        </w:r>
        <w:r>
          <w:rPr>
            <w:noProof/>
            <w:kern w:val="2"/>
            <w:sz w:val="24"/>
            <w:szCs w:val="24"/>
            <w:lang w:eastAsia="fr-BE"/>
            <w14:ligatures w14:val="standardContextual"/>
          </w:rPr>
          <w:tab/>
        </w:r>
        <w:r w:rsidRPr="0027322A">
          <w:rPr>
            <w:rStyle w:val="Lienhypertexte"/>
            <w:noProof/>
          </w:rPr>
          <w:t>Précompte immobilier : droit à l’information</w:t>
        </w:r>
        <w:r>
          <w:rPr>
            <w:noProof/>
            <w:webHidden/>
          </w:rPr>
          <w:tab/>
        </w:r>
        <w:r>
          <w:rPr>
            <w:noProof/>
            <w:webHidden/>
          </w:rPr>
          <w:fldChar w:fldCharType="begin"/>
        </w:r>
        <w:r>
          <w:rPr>
            <w:noProof/>
            <w:webHidden/>
          </w:rPr>
          <w:instrText xml:space="preserve"> PAGEREF _Toc233626249 \h </w:instrText>
        </w:r>
        <w:r>
          <w:rPr>
            <w:noProof/>
            <w:webHidden/>
          </w:rPr>
        </w:r>
        <w:r>
          <w:rPr>
            <w:noProof/>
            <w:webHidden/>
          </w:rPr>
          <w:fldChar w:fldCharType="separate"/>
        </w:r>
        <w:r w:rsidR="001E3978">
          <w:rPr>
            <w:noProof/>
            <w:webHidden/>
          </w:rPr>
          <w:t>129</w:t>
        </w:r>
        <w:r>
          <w:rPr>
            <w:noProof/>
            <w:webHidden/>
          </w:rPr>
          <w:fldChar w:fldCharType="end"/>
        </w:r>
      </w:hyperlink>
    </w:p>
    <w:p w14:paraId="385AA592" w14:textId="6A4B8D87" w:rsidR="00266B1F" w:rsidRDefault="00266B1F">
      <w:pPr>
        <w:pStyle w:val="TM3"/>
        <w:tabs>
          <w:tab w:val="left" w:pos="960"/>
          <w:tab w:val="right" w:leader="dot" w:pos="8630"/>
        </w:tabs>
        <w:rPr>
          <w:noProof/>
          <w:kern w:val="2"/>
          <w:sz w:val="24"/>
          <w:szCs w:val="24"/>
          <w:lang w:eastAsia="fr-BE"/>
          <w14:ligatures w14:val="standardContextual"/>
        </w:rPr>
      </w:pPr>
      <w:hyperlink w:anchor="_Toc233626250" w:history="1">
        <w:r w:rsidRPr="0027322A">
          <w:rPr>
            <w:rStyle w:val="Lienhypertexte"/>
            <w:smallCaps/>
            <w:noProof/>
          </w:rPr>
          <w:t>T.</w:t>
        </w:r>
        <w:r>
          <w:rPr>
            <w:noProof/>
            <w:kern w:val="2"/>
            <w:sz w:val="24"/>
            <w:szCs w:val="24"/>
            <w:lang w:eastAsia="fr-BE"/>
            <w14:ligatures w14:val="standardContextual"/>
          </w:rPr>
          <w:tab/>
        </w:r>
        <w:r w:rsidRPr="0027322A">
          <w:rPr>
            <w:rStyle w:val="Lienhypertexte"/>
            <w:noProof/>
          </w:rPr>
          <w:t>Durée de conservation des documents et RGPD</w:t>
        </w:r>
        <w:r>
          <w:rPr>
            <w:noProof/>
            <w:webHidden/>
          </w:rPr>
          <w:tab/>
        </w:r>
        <w:r>
          <w:rPr>
            <w:noProof/>
            <w:webHidden/>
          </w:rPr>
          <w:fldChar w:fldCharType="begin"/>
        </w:r>
        <w:r>
          <w:rPr>
            <w:noProof/>
            <w:webHidden/>
          </w:rPr>
          <w:instrText xml:space="preserve"> PAGEREF _Toc233626250 \h </w:instrText>
        </w:r>
        <w:r>
          <w:rPr>
            <w:noProof/>
            <w:webHidden/>
          </w:rPr>
        </w:r>
        <w:r>
          <w:rPr>
            <w:noProof/>
            <w:webHidden/>
          </w:rPr>
          <w:fldChar w:fldCharType="separate"/>
        </w:r>
        <w:r w:rsidR="001E3978">
          <w:rPr>
            <w:noProof/>
            <w:webHidden/>
          </w:rPr>
          <w:t>129</w:t>
        </w:r>
        <w:r>
          <w:rPr>
            <w:noProof/>
            <w:webHidden/>
          </w:rPr>
          <w:fldChar w:fldCharType="end"/>
        </w:r>
      </w:hyperlink>
    </w:p>
    <w:p w14:paraId="088E9C26" w14:textId="4FE039E6" w:rsidR="00266B1F" w:rsidRDefault="00266B1F">
      <w:pPr>
        <w:pStyle w:val="TM1"/>
        <w:rPr>
          <w:b w:val="0"/>
          <w:bCs w:val="0"/>
        </w:rPr>
      </w:pPr>
      <w:hyperlink w:anchor="_Toc233626251" w:history="1">
        <w:r w:rsidRPr="0027322A">
          <w:rPr>
            <w:rStyle w:val="Lienhypertexte"/>
          </w:rPr>
          <w:t>VII.</w:t>
        </w:r>
        <w:r>
          <w:rPr>
            <w:b w:val="0"/>
            <w:bCs w:val="0"/>
          </w:rPr>
          <w:tab/>
        </w:r>
        <w:r w:rsidRPr="0027322A">
          <w:rPr>
            <w:rStyle w:val="Lienhypertexte"/>
          </w:rPr>
          <w:t>Nomenclature des taxes communales</w:t>
        </w:r>
        <w:r>
          <w:rPr>
            <w:webHidden/>
          </w:rPr>
          <w:tab/>
        </w:r>
        <w:r>
          <w:rPr>
            <w:webHidden/>
          </w:rPr>
          <w:fldChar w:fldCharType="begin"/>
        </w:r>
        <w:r>
          <w:rPr>
            <w:webHidden/>
          </w:rPr>
          <w:instrText xml:space="preserve"> PAGEREF _Toc233626251 \h </w:instrText>
        </w:r>
        <w:r>
          <w:rPr>
            <w:webHidden/>
          </w:rPr>
        </w:r>
        <w:r>
          <w:rPr>
            <w:webHidden/>
          </w:rPr>
          <w:fldChar w:fldCharType="separate"/>
        </w:r>
        <w:r w:rsidR="001E3978">
          <w:rPr>
            <w:webHidden/>
          </w:rPr>
          <w:t>131</w:t>
        </w:r>
        <w:r>
          <w:rPr>
            <w:webHidden/>
          </w:rPr>
          <w:fldChar w:fldCharType="end"/>
        </w:r>
      </w:hyperlink>
    </w:p>
    <w:p w14:paraId="62090391" w14:textId="4D1D3834" w:rsidR="00266B1F" w:rsidRDefault="00266B1F">
      <w:pPr>
        <w:pStyle w:val="TM2"/>
        <w:tabs>
          <w:tab w:val="left" w:pos="720"/>
          <w:tab w:val="right" w:leader="dot" w:pos="8630"/>
        </w:tabs>
        <w:rPr>
          <w:noProof/>
          <w:kern w:val="2"/>
          <w:sz w:val="24"/>
          <w:szCs w:val="24"/>
          <w:lang w:eastAsia="fr-BE"/>
          <w14:ligatures w14:val="standardContextual"/>
        </w:rPr>
      </w:pPr>
      <w:hyperlink w:anchor="_Toc233626252" w:history="1">
        <w:r w:rsidRPr="0027322A">
          <w:rPr>
            <w:rStyle w:val="Lienhypertexte"/>
            <w:noProof/>
          </w:rPr>
          <w:t>1.</w:t>
        </w:r>
        <w:r>
          <w:rPr>
            <w:noProof/>
            <w:kern w:val="2"/>
            <w:sz w:val="24"/>
            <w:szCs w:val="24"/>
            <w:lang w:eastAsia="fr-BE"/>
            <w14:ligatures w14:val="standardContextual"/>
          </w:rPr>
          <w:tab/>
        </w:r>
        <w:r w:rsidRPr="0027322A">
          <w:rPr>
            <w:rStyle w:val="Lienhypertexte"/>
            <w:noProof/>
          </w:rPr>
          <w:t>Prestations administratives</w:t>
        </w:r>
        <w:r>
          <w:rPr>
            <w:noProof/>
            <w:webHidden/>
          </w:rPr>
          <w:tab/>
        </w:r>
        <w:r>
          <w:rPr>
            <w:noProof/>
            <w:webHidden/>
          </w:rPr>
          <w:fldChar w:fldCharType="begin"/>
        </w:r>
        <w:r>
          <w:rPr>
            <w:noProof/>
            <w:webHidden/>
          </w:rPr>
          <w:instrText xml:space="preserve"> PAGEREF _Toc233626252 \h </w:instrText>
        </w:r>
        <w:r>
          <w:rPr>
            <w:noProof/>
            <w:webHidden/>
          </w:rPr>
        </w:r>
        <w:r>
          <w:rPr>
            <w:noProof/>
            <w:webHidden/>
          </w:rPr>
          <w:fldChar w:fldCharType="separate"/>
        </w:r>
        <w:r w:rsidR="001E3978">
          <w:rPr>
            <w:noProof/>
            <w:webHidden/>
          </w:rPr>
          <w:t>132</w:t>
        </w:r>
        <w:r>
          <w:rPr>
            <w:noProof/>
            <w:webHidden/>
          </w:rPr>
          <w:fldChar w:fldCharType="end"/>
        </w:r>
      </w:hyperlink>
    </w:p>
    <w:p w14:paraId="0EDAC080" w14:textId="681B65AC" w:rsidR="00266B1F" w:rsidRDefault="00266B1F">
      <w:pPr>
        <w:pStyle w:val="TM3"/>
        <w:tabs>
          <w:tab w:val="left" w:pos="960"/>
          <w:tab w:val="right" w:leader="dot" w:pos="8630"/>
        </w:tabs>
        <w:rPr>
          <w:noProof/>
          <w:kern w:val="2"/>
          <w:sz w:val="24"/>
          <w:szCs w:val="24"/>
          <w:lang w:eastAsia="fr-BE"/>
          <w14:ligatures w14:val="standardContextual"/>
        </w:rPr>
      </w:pPr>
      <w:hyperlink w:anchor="_Toc233626253"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040/361-01 : Conservation des véhicules (saisis ou déplacés par la police)</w:t>
        </w:r>
        <w:r>
          <w:rPr>
            <w:noProof/>
            <w:webHidden/>
          </w:rPr>
          <w:tab/>
        </w:r>
        <w:r>
          <w:rPr>
            <w:noProof/>
            <w:webHidden/>
          </w:rPr>
          <w:fldChar w:fldCharType="begin"/>
        </w:r>
        <w:r>
          <w:rPr>
            <w:noProof/>
            <w:webHidden/>
          </w:rPr>
          <w:instrText xml:space="preserve"> PAGEREF _Toc233626253 \h </w:instrText>
        </w:r>
        <w:r>
          <w:rPr>
            <w:noProof/>
            <w:webHidden/>
          </w:rPr>
        </w:r>
        <w:r>
          <w:rPr>
            <w:noProof/>
            <w:webHidden/>
          </w:rPr>
          <w:fldChar w:fldCharType="separate"/>
        </w:r>
        <w:r w:rsidR="001E3978">
          <w:rPr>
            <w:noProof/>
            <w:webHidden/>
          </w:rPr>
          <w:t>133</w:t>
        </w:r>
        <w:r>
          <w:rPr>
            <w:noProof/>
            <w:webHidden/>
          </w:rPr>
          <w:fldChar w:fldCharType="end"/>
        </w:r>
      </w:hyperlink>
    </w:p>
    <w:p w14:paraId="79179469" w14:textId="0A0AFFC1" w:rsidR="00266B1F" w:rsidRDefault="00266B1F">
      <w:pPr>
        <w:pStyle w:val="TM3"/>
        <w:tabs>
          <w:tab w:val="left" w:pos="960"/>
          <w:tab w:val="right" w:leader="dot" w:pos="8630"/>
        </w:tabs>
        <w:rPr>
          <w:noProof/>
          <w:kern w:val="2"/>
          <w:sz w:val="24"/>
          <w:szCs w:val="24"/>
          <w:lang w:eastAsia="fr-BE"/>
          <w14:ligatures w14:val="standardContextual"/>
        </w:rPr>
      </w:pPr>
      <w:hyperlink w:anchor="_Toc233626255"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040/361-02 : Demande d'autorisation d'activités (décrets du 11/03/1999 relatif au permis d’environnement)</w:t>
        </w:r>
        <w:r>
          <w:rPr>
            <w:noProof/>
            <w:webHidden/>
          </w:rPr>
          <w:tab/>
        </w:r>
        <w:r>
          <w:rPr>
            <w:noProof/>
            <w:webHidden/>
          </w:rPr>
          <w:fldChar w:fldCharType="begin"/>
        </w:r>
        <w:r>
          <w:rPr>
            <w:noProof/>
            <w:webHidden/>
          </w:rPr>
          <w:instrText xml:space="preserve"> PAGEREF _Toc233626255 \h </w:instrText>
        </w:r>
        <w:r>
          <w:rPr>
            <w:noProof/>
            <w:webHidden/>
          </w:rPr>
        </w:r>
        <w:r>
          <w:rPr>
            <w:noProof/>
            <w:webHidden/>
          </w:rPr>
          <w:fldChar w:fldCharType="separate"/>
        </w:r>
        <w:r w:rsidR="001E3978">
          <w:rPr>
            <w:noProof/>
            <w:webHidden/>
          </w:rPr>
          <w:t>134</w:t>
        </w:r>
        <w:r>
          <w:rPr>
            <w:noProof/>
            <w:webHidden/>
          </w:rPr>
          <w:fldChar w:fldCharType="end"/>
        </w:r>
      </w:hyperlink>
    </w:p>
    <w:p w14:paraId="18A57CE7" w14:textId="682073C4" w:rsidR="00266B1F" w:rsidRDefault="00266B1F">
      <w:pPr>
        <w:pStyle w:val="TM3"/>
        <w:tabs>
          <w:tab w:val="left" w:pos="960"/>
          <w:tab w:val="right" w:leader="dot" w:pos="8630"/>
        </w:tabs>
        <w:rPr>
          <w:noProof/>
          <w:kern w:val="2"/>
          <w:sz w:val="24"/>
          <w:szCs w:val="24"/>
          <w:lang w:eastAsia="fr-BE"/>
          <w14:ligatures w14:val="standardContextual"/>
        </w:rPr>
      </w:pPr>
      <w:hyperlink w:anchor="_Toc233626256"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040/361-03 : Délivrance d'un permis d'urbanisation</w:t>
        </w:r>
        <w:r>
          <w:rPr>
            <w:noProof/>
            <w:webHidden/>
          </w:rPr>
          <w:tab/>
        </w:r>
        <w:r>
          <w:rPr>
            <w:noProof/>
            <w:webHidden/>
          </w:rPr>
          <w:fldChar w:fldCharType="begin"/>
        </w:r>
        <w:r>
          <w:rPr>
            <w:noProof/>
            <w:webHidden/>
          </w:rPr>
          <w:instrText xml:space="preserve"> PAGEREF _Toc233626256 \h </w:instrText>
        </w:r>
        <w:r>
          <w:rPr>
            <w:noProof/>
            <w:webHidden/>
          </w:rPr>
        </w:r>
        <w:r>
          <w:rPr>
            <w:noProof/>
            <w:webHidden/>
          </w:rPr>
          <w:fldChar w:fldCharType="separate"/>
        </w:r>
        <w:r w:rsidR="001E3978">
          <w:rPr>
            <w:noProof/>
            <w:webHidden/>
          </w:rPr>
          <w:t>135</w:t>
        </w:r>
        <w:r>
          <w:rPr>
            <w:noProof/>
            <w:webHidden/>
          </w:rPr>
          <w:fldChar w:fldCharType="end"/>
        </w:r>
      </w:hyperlink>
    </w:p>
    <w:p w14:paraId="1FB56E08" w14:textId="4701F532" w:rsidR="00266B1F" w:rsidRDefault="00266B1F">
      <w:pPr>
        <w:pStyle w:val="TM3"/>
        <w:tabs>
          <w:tab w:val="left" w:pos="960"/>
          <w:tab w:val="right" w:leader="dot" w:pos="8630"/>
        </w:tabs>
        <w:rPr>
          <w:noProof/>
          <w:kern w:val="2"/>
          <w:sz w:val="24"/>
          <w:szCs w:val="24"/>
          <w:lang w:eastAsia="fr-BE"/>
          <w14:ligatures w14:val="standardContextual"/>
        </w:rPr>
      </w:pPr>
      <w:hyperlink w:anchor="_Toc233626257"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040/361-04 : Délivrance de documents administratifs</w:t>
        </w:r>
        <w:r>
          <w:rPr>
            <w:noProof/>
            <w:webHidden/>
          </w:rPr>
          <w:tab/>
        </w:r>
        <w:r>
          <w:rPr>
            <w:noProof/>
            <w:webHidden/>
          </w:rPr>
          <w:fldChar w:fldCharType="begin"/>
        </w:r>
        <w:r>
          <w:rPr>
            <w:noProof/>
            <w:webHidden/>
          </w:rPr>
          <w:instrText xml:space="preserve"> PAGEREF _Toc233626257 \h </w:instrText>
        </w:r>
        <w:r>
          <w:rPr>
            <w:noProof/>
            <w:webHidden/>
          </w:rPr>
        </w:r>
        <w:r>
          <w:rPr>
            <w:noProof/>
            <w:webHidden/>
          </w:rPr>
          <w:fldChar w:fldCharType="separate"/>
        </w:r>
        <w:r w:rsidR="001E3978">
          <w:rPr>
            <w:noProof/>
            <w:webHidden/>
          </w:rPr>
          <w:t>136</w:t>
        </w:r>
        <w:r>
          <w:rPr>
            <w:noProof/>
            <w:webHidden/>
          </w:rPr>
          <w:fldChar w:fldCharType="end"/>
        </w:r>
      </w:hyperlink>
    </w:p>
    <w:p w14:paraId="0E4AE0A8" w14:textId="729DDC09" w:rsidR="00266B1F" w:rsidRDefault="00266B1F">
      <w:pPr>
        <w:pStyle w:val="TM3"/>
        <w:tabs>
          <w:tab w:val="left" w:pos="960"/>
          <w:tab w:val="right" w:leader="dot" w:pos="8630"/>
        </w:tabs>
        <w:rPr>
          <w:noProof/>
          <w:kern w:val="2"/>
          <w:sz w:val="24"/>
          <w:szCs w:val="24"/>
          <w:lang w:eastAsia="fr-BE"/>
          <w14:ligatures w14:val="standardContextual"/>
        </w:rPr>
      </w:pPr>
      <w:hyperlink w:anchor="_Toc233626258"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040/361-48 : Prestations communales administratives ou techniques en général</w:t>
        </w:r>
        <w:r>
          <w:rPr>
            <w:noProof/>
            <w:webHidden/>
          </w:rPr>
          <w:tab/>
        </w:r>
        <w:r>
          <w:rPr>
            <w:noProof/>
            <w:webHidden/>
          </w:rPr>
          <w:fldChar w:fldCharType="begin"/>
        </w:r>
        <w:r>
          <w:rPr>
            <w:noProof/>
            <w:webHidden/>
          </w:rPr>
          <w:instrText xml:space="preserve"> PAGEREF _Toc233626258 \h </w:instrText>
        </w:r>
        <w:r>
          <w:rPr>
            <w:noProof/>
            <w:webHidden/>
          </w:rPr>
        </w:r>
        <w:r>
          <w:rPr>
            <w:noProof/>
            <w:webHidden/>
          </w:rPr>
          <w:fldChar w:fldCharType="separate"/>
        </w:r>
        <w:r w:rsidR="001E3978">
          <w:rPr>
            <w:noProof/>
            <w:webHidden/>
          </w:rPr>
          <w:t>150</w:t>
        </w:r>
        <w:r>
          <w:rPr>
            <w:noProof/>
            <w:webHidden/>
          </w:rPr>
          <w:fldChar w:fldCharType="end"/>
        </w:r>
      </w:hyperlink>
    </w:p>
    <w:p w14:paraId="699945E6" w14:textId="3ABE692D" w:rsidR="00266B1F" w:rsidRDefault="00266B1F">
      <w:pPr>
        <w:pStyle w:val="TM2"/>
        <w:tabs>
          <w:tab w:val="left" w:pos="720"/>
          <w:tab w:val="right" w:leader="dot" w:pos="8630"/>
        </w:tabs>
        <w:rPr>
          <w:noProof/>
          <w:kern w:val="2"/>
          <w:sz w:val="24"/>
          <w:szCs w:val="24"/>
          <w:lang w:eastAsia="fr-BE"/>
          <w14:ligatures w14:val="standardContextual"/>
        </w:rPr>
      </w:pPr>
      <w:hyperlink w:anchor="_Toc233626259" w:history="1">
        <w:r w:rsidRPr="0027322A">
          <w:rPr>
            <w:rStyle w:val="Lienhypertexte"/>
            <w:caps/>
            <w:noProof/>
          </w:rPr>
          <w:t>2.</w:t>
        </w:r>
        <w:r>
          <w:rPr>
            <w:noProof/>
            <w:kern w:val="2"/>
            <w:sz w:val="24"/>
            <w:szCs w:val="24"/>
            <w:lang w:eastAsia="fr-BE"/>
            <w14:ligatures w14:val="standardContextual"/>
          </w:rPr>
          <w:tab/>
        </w:r>
        <w:r w:rsidRPr="0027322A">
          <w:rPr>
            <w:rStyle w:val="Lienhypertexte"/>
            <w:noProof/>
          </w:rPr>
          <w:t>Taxes de remboursement</w:t>
        </w:r>
        <w:r>
          <w:rPr>
            <w:noProof/>
            <w:webHidden/>
          </w:rPr>
          <w:tab/>
        </w:r>
        <w:r>
          <w:rPr>
            <w:noProof/>
            <w:webHidden/>
          </w:rPr>
          <w:fldChar w:fldCharType="begin"/>
        </w:r>
        <w:r>
          <w:rPr>
            <w:noProof/>
            <w:webHidden/>
          </w:rPr>
          <w:instrText xml:space="preserve"> PAGEREF _Toc233626259 \h </w:instrText>
        </w:r>
        <w:r>
          <w:rPr>
            <w:noProof/>
            <w:webHidden/>
          </w:rPr>
        </w:r>
        <w:r>
          <w:rPr>
            <w:noProof/>
            <w:webHidden/>
          </w:rPr>
          <w:fldChar w:fldCharType="separate"/>
        </w:r>
        <w:r w:rsidR="001E3978">
          <w:rPr>
            <w:noProof/>
            <w:webHidden/>
          </w:rPr>
          <w:t>154</w:t>
        </w:r>
        <w:r>
          <w:rPr>
            <w:noProof/>
            <w:webHidden/>
          </w:rPr>
          <w:fldChar w:fldCharType="end"/>
        </w:r>
      </w:hyperlink>
    </w:p>
    <w:p w14:paraId="381B8396" w14:textId="60B12FAC" w:rsidR="00266B1F" w:rsidRDefault="00266B1F">
      <w:pPr>
        <w:pStyle w:val="TM3"/>
        <w:tabs>
          <w:tab w:val="left" w:pos="960"/>
          <w:tab w:val="right" w:leader="dot" w:pos="8630"/>
        </w:tabs>
        <w:rPr>
          <w:noProof/>
          <w:kern w:val="2"/>
          <w:sz w:val="24"/>
          <w:szCs w:val="24"/>
          <w:lang w:eastAsia="fr-BE"/>
          <w14:ligatures w14:val="standardContextual"/>
        </w:rPr>
      </w:pPr>
      <w:hyperlink w:anchor="_Toc233626260"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040/362-01 : Acquisition d'assiettes de voirie</w:t>
        </w:r>
        <w:r>
          <w:rPr>
            <w:noProof/>
            <w:webHidden/>
          </w:rPr>
          <w:tab/>
        </w:r>
        <w:r>
          <w:rPr>
            <w:noProof/>
            <w:webHidden/>
          </w:rPr>
          <w:fldChar w:fldCharType="begin"/>
        </w:r>
        <w:r>
          <w:rPr>
            <w:noProof/>
            <w:webHidden/>
          </w:rPr>
          <w:instrText xml:space="preserve"> PAGEREF _Toc233626260 \h </w:instrText>
        </w:r>
        <w:r>
          <w:rPr>
            <w:noProof/>
            <w:webHidden/>
          </w:rPr>
        </w:r>
        <w:r>
          <w:rPr>
            <w:noProof/>
            <w:webHidden/>
          </w:rPr>
          <w:fldChar w:fldCharType="separate"/>
        </w:r>
        <w:r w:rsidR="001E3978">
          <w:rPr>
            <w:noProof/>
            <w:webHidden/>
          </w:rPr>
          <w:t>154</w:t>
        </w:r>
        <w:r>
          <w:rPr>
            <w:noProof/>
            <w:webHidden/>
          </w:rPr>
          <w:fldChar w:fldCharType="end"/>
        </w:r>
      </w:hyperlink>
    </w:p>
    <w:p w14:paraId="1293F513" w14:textId="02BD45C8" w:rsidR="00266B1F" w:rsidRDefault="00266B1F">
      <w:pPr>
        <w:pStyle w:val="TM3"/>
        <w:tabs>
          <w:tab w:val="left" w:pos="960"/>
          <w:tab w:val="right" w:leader="dot" w:pos="8630"/>
        </w:tabs>
        <w:rPr>
          <w:noProof/>
          <w:kern w:val="2"/>
          <w:sz w:val="24"/>
          <w:szCs w:val="24"/>
          <w:lang w:eastAsia="fr-BE"/>
          <w14:ligatures w14:val="standardContextual"/>
        </w:rPr>
      </w:pPr>
      <w:hyperlink w:anchor="_Toc233626261"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040/362-02 : Pavage des rues (ou de revêtement de voirie)</w:t>
        </w:r>
        <w:r>
          <w:rPr>
            <w:noProof/>
            <w:webHidden/>
          </w:rPr>
          <w:tab/>
        </w:r>
        <w:r>
          <w:rPr>
            <w:noProof/>
            <w:webHidden/>
          </w:rPr>
          <w:fldChar w:fldCharType="begin"/>
        </w:r>
        <w:r>
          <w:rPr>
            <w:noProof/>
            <w:webHidden/>
          </w:rPr>
          <w:instrText xml:space="preserve"> PAGEREF _Toc233626261 \h </w:instrText>
        </w:r>
        <w:r>
          <w:rPr>
            <w:noProof/>
            <w:webHidden/>
          </w:rPr>
        </w:r>
        <w:r>
          <w:rPr>
            <w:noProof/>
            <w:webHidden/>
          </w:rPr>
          <w:fldChar w:fldCharType="separate"/>
        </w:r>
        <w:r w:rsidR="001E3978">
          <w:rPr>
            <w:noProof/>
            <w:webHidden/>
          </w:rPr>
          <w:t>154</w:t>
        </w:r>
        <w:r>
          <w:rPr>
            <w:noProof/>
            <w:webHidden/>
          </w:rPr>
          <w:fldChar w:fldCharType="end"/>
        </w:r>
      </w:hyperlink>
    </w:p>
    <w:p w14:paraId="512D9CBD" w14:textId="2BF17B2D" w:rsidR="00266B1F" w:rsidRDefault="00266B1F">
      <w:pPr>
        <w:pStyle w:val="TM3"/>
        <w:tabs>
          <w:tab w:val="left" w:pos="960"/>
          <w:tab w:val="right" w:leader="dot" w:pos="8630"/>
        </w:tabs>
        <w:rPr>
          <w:noProof/>
          <w:kern w:val="2"/>
          <w:sz w:val="24"/>
          <w:szCs w:val="24"/>
          <w:lang w:eastAsia="fr-BE"/>
          <w14:ligatures w14:val="standardContextual"/>
        </w:rPr>
      </w:pPr>
      <w:hyperlink w:anchor="_Toc233626262"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040/362-03 : Construction des trottoirs</w:t>
        </w:r>
        <w:r>
          <w:rPr>
            <w:noProof/>
            <w:webHidden/>
          </w:rPr>
          <w:tab/>
        </w:r>
        <w:r>
          <w:rPr>
            <w:noProof/>
            <w:webHidden/>
          </w:rPr>
          <w:fldChar w:fldCharType="begin"/>
        </w:r>
        <w:r>
          <w:rPr>
            <w:noProof/>
            <w:webHidden/>
          </w:rPr>
          <w:instrText xml:space="preserve"> PAGEREF _Toc233626262 \h </w:instrText>
        </w:r>
        <w:r>
          <w:rPr>
            <w:noProof/>
            <w:webHidden/>
          </w:rPr>
        </w:r>
        <w:r>
          <w:rPr>
            <w:noProof/>
            <w:webHidden/>
          </w:rPr>
          <w:fldChar w:fldCharType="separate"/>
        </w:r>
        <w:r w:rsidR="001E3978">
          <w:rPr>
            <w:noProof/>
            <w:webHidden/>
          </w:rPr>
          <w:t>154</w:t>
        </w:r>
        <w:r>
          <w:rPr>
            <w:noProof/>
            <w:webHidden/>
          </w:rPr>
          <w:fldChar w:fldCharType="end"/>
        </w:r>
      </w:hyperlink>
    </w:p>
    <w:p w14:paraId="5DE2D966" w14:textId="637638C9" w:rsidR="00266B1F" w:rsidRDefault="00266B1F">
      <w:pPr>
        <w:pStyle w:val="TM3"/>
        <w:tabs>
          <w:tab w:val="left" w:pos="960"/>
          <w:tab w:val="right" w:leader="dot" w:pos="8630"/>
        </w:tabs>
        <w:rPr>
          <w:noProof/>
          <w:kern w:val="2"/>
          <w:sz w:val="24"/>
          <w:szCs w:val="24"/>
          <w:lang w:eastAsia="fr-BE"/>
          <w14:ligatures w14:val="standardContextual"/>
        </w:rPr>
      </w:pPr>
      <w:hyperlink w:anchor="_Toc233626263"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040/362-04 : Constructions d'égouts</w:t>
        </w:r>
        <w:r>
          <w:rPr>
            <w:noProof/>
            <w:webHidden/>
          </w:rPr>
          <w:tab/>
        </w:r>
        <w:r>
          <w:rPr>
            <w:noProof/>
            <w:webHidden/>
          </w:rPr>
          <w:fldChar w:fldCharType="begin"/>
        </w:r>
        <w:r>
          <w:rPr>
            <w:noProof/>
            <w:webHidden/>
          </w:rPr>
          <w:instrText xml:space="preserve"> PAGEREF _Toc233626263 \h </w:instrText>
        </w:r>
        <w:r>
          <w:rPr>
            <w:noProof/>
            <w:webHidden/>
          </w:rPr>
        </w:r>
        <w:r>
          <w:rPr>
            <w:noProof/>
            <w:webHidden/>
          </w:rPr>
          <w:fldChar w:fldCharType="separate"/>
        </w:r>
        <w:r w:rsidR="001E3978">
          <w:rPr>
            <w:noProof/>
            <w:webHidden/>
          </w:rPr>
          <w:t>154</w:t>
        </w:r>
        <w:r>
          <w:rPr>
            <w:noProof/>
            <w:webHidden/>
          </w:rPr>
          <w:fldChar w:fldCharType="end"/>
        </w:r>
      </w:hyperlink>
    </w:p>
    <w:p w14:paraId="62BAF69E" w14:textId="0447BCA1" w:rsidR="00266B1F" w:rsidRDefault="00266B1F">
      <w:pPr>
        <w:pStyle w:val="TM3"/>
        <w:tabs>
          <w:tab w:val="left" w:pos="960"/>
          <w:tab w:val="right" w:leader="dot" w:pos="8630"/>
        </w:tabs>
        <w:rPr>
          <w:noProof/>
          <w:kern w:val="2"/>
          <w:sz w:val="24"/>
          <w:szCs w:val="24"/>
          <w:lang w:eastAsia="fr-BE"/>
          <w14:ligatures w14:val="standardContextual"/>
        </w:rPr>
      </w:pPr>
      <w:hyperlink w:anchor="_Toc233626264"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040/362-05 : Travaux de raccordement d'immeubles au réseau d'égouts</w:t>
        </w:r>
        <w:r>
          <w:rPr>
            <w:noProof/>
            <w:webHidden/>
          </w:rPr>
          <w:tab/>
        </w:r>
        <w:r>
          <w:rPr>
            <w:noProof/>
            <w:webHidden/>
          </w:rPr>
          <w:fldChar w:fldCharType="begin"/>
        </w:r>
        <w:r>
          <w:rPr>
            <w:noProof/>
            <w:webHidden/>
          </w:rPr>
          <w:instrText xml:space="preserve"> PAGEREF _Toc233626264 \h </w:instrText>
        </w:r>
        <w:r>
          <w:rPr>
            <w:noProof/>
            <w:webHidden/>
          </w:rPr>
        </w:r>
        <w:r>
          <w:rPr>
            <w:noProof/>
            <w:webHidden/>
          </w:rPr>
          <w:fldChar w:fldCharType="separate"/>
        </w:r>
        <w:r w:rsidR="001E3978">
          <w:rPr>
            <w:noProof/>
            <w:webHidden/>
          </w:rPr>
          <w:t>154</w:t>
        </w:r>
        <w:r>
          <w:rPr>
            <w:noProof/>
            <w:webHidden/>
          </w:rPr>
          <w:fldChar w:fldCharType="end"/>
        </w:r>
      </w:hyperlink>
    </w:p>
    <w:p w14:paraId="39940010" w14:textId="0495DD52" w:rsidR="00266B1F" w:rsidRDefault="00266B1F">
      <w:pPr>
        <w:pStyle w:val="TM3"/>
        <w:tabs>
          <w:tab w:val="left" w:pos="960"/>
          <w:tab w:val="right" w:leader="dot" w:pos="8630"/>
        </w:tabs>
        <w:rPr>
          <w:noProof/>
          <w:kern w:val="2"/>
          <w:sz w:val="24"/>
          <w:szCs w:val="24"/>
          <w:lang w:eastAsia="fr-BE"/>
          <w14:ligatures w14:val="standardContextual"/>
        </w:rPr>
      </w:pPr>
      <w:hyperlink w:anchor="_Toc233626265" w:history="1">
        <w:r w:rsidRPr="0027322A">
          <w:rPr>
            <w:rStyle w:val="Lienhypertexte"/>
            <w:smallCaps/>
            <w:noProof/>
          </w:rPr>
          <w:t>F.</w:t>
        </w:r>
        <w:r>
          <w:rPr>
            <w:noProof/>
            <w:kern w:val="2"/>
            <w:sz w:val="24"/>
            <w:szCs w:val="24"/>
            <w:lang w:eastAsia="fr-BE"/>
            <w14:ligatures w14:val="standardContextual"/>
          </w:rPr>
          <w:tab/>
        </w:r>
        <w:r w:rsidRPr="0027322A">
          <w:rPr>
            <w:rStyle w:val="Lienhypertexte"/>
            <w:noProof/>
          </w:rPr>
          <w:t>040/362-07 : Urbanisation</w:t>
        </w:r>
        <w:r>
          <w:rPr>
            <w:noProof/>
            <w:webHidden/>
          </w:rPr>
          <w:tab/>
        </w:r>
        <w:r>
          <w:rPr>
            <w:noProof/>
            <w:webHidden/>
          </w:rPr>
          <w:fldChar w:fldCharType="begin"/>
        </w:r>
        <w:r>
          <w:rPr>
            <w:noProof/>
            <w:webHidden/>
          </w:rPr>
          <w:instrText xml:space="preserve"> PAGEREF _Toc233626265 \h </w:instrText>
        </w:r>
        <w:r>
          <w:rPr>
            <w:noProof/>
            <w:webHidden/>
          </w:rPr>
        </w:r>
        <w:r>
          <w:rPr>
            <w:noProof/>
            <w:webHidden/>
          </w:rPr>
          <w:fldChar w:fldCharType="separate"/>
        </w:r>
        <w:r w:rsidR="001E3978">
          <w:rPr>
            <w:noProof/>
            <w:webHidden/>
          </w:rPr>
          <w:t>155</w:t>
        </w:r>
        <w:r>
          <w:rPr>
            <w:noProof/>
            <w:webHidden/>
          </w:rPr>
          <w:fldChar w:fldCharType="end"/>
        </w:r>
      </w:hyperlink>
    </w:p>
    <w:p w14:paraId="7DD33888" w14:textId="49F3EBB8" w:rsidR="00266B1F" w:rsidRDefault="00266B1F">
      <w:pPr>
        <w:pStyle w:val="TM3"/>
        <w:tabs>
          <w:tab w:val="left" w:pos="960"/>
          <w:tab w:val="right" w:leader="dot" w:pos="8630"/>
        </w:tabs>
        <w:rPr>
          <w:noProof/>
          <w:kern w:val="2"/>
          <w:sz w:val="24"/>
          <w:szCs w:val="24"/>
          <w:lang w:eastAsia="fr-BE"/>
          <w14:ligatures w14:val="standardContextual"/>
        </w:rPr>
      </w:pPr>
      <w:hyperlink w:anchor="_Toc233626266" w:history="1">
        <w:r w:rsidRPr="0027322A">
          <w:rPr>
            <w:rStyle w:val="Lienhypertexte"/>
            <w:smallCaps/>
            <w:noProof/>
          </w:rPr>
          <w:t>G.</w:t>
        </w:r>
        <w:r>
          <w:rPr>
            <w:noProof/>
            <w:kern w:val="2"/>
            <w:sz w:val="24"/>
            <w:szCs w:val="24"/>
            <w:lang w:eastAsia="fr-BE"/>
            <w14:ligatures w14:val="standardContextual"/>
          </w:rPr>
          <w:tab/>
        </w:r>
        <w:r w:rsidRPr="0027322A">
          <w:rPr>
            <w:rStyle w:val="Lienhypertexte"/>
            <w:noProof/>
          </w:rPr>
          <w:t>040/362-08 : Inflexion dans les trottoirs</w:t>
        </w:r>
        <w:r>
          <w:rPr>
            <w:noProof/>
            <w:webHidden/>
          </w:rPr>
          <w:tab/>
        </w:r>
        <w:r>
          <w:rPr>
            <w:noProof/>
            <w:webHidden/>
          </w:rPr>
          <w:fldChar w:fldCharType="begin"/>
        </w:r>
        <w:r>
          <w:rPr>
            <w:noProof/>
            <w:webHidden/>
          </w:rPr>
          <w:instrText xml:space="preserve"> PAGEREF _Toc233626266 \h </w:instrText>
        </w:r>
        <w:r>
          <w:rPr>
            <w:noProof/>
            <w:webHidden/>
          </w:rPr>
        </w:r>
        <w:r>
          <w:rPr>
            <w:noProof/>
            <w:webHidden/>
          </w:rPr>
          <w:fldChar w:fldCharType="separate"/>
        </w:r>
        <w:r w:rsidR="001E3978">
          <w:rPr>
            <w:noProof/>
            <w:webHidden/>
          </w:rPr>
          <w:t>156</w:t>
        </w:r>
        <w:r>
          <w:rPr>
            <w:noProof/>
            <w:webHidden/>
          </w:rPr>
          <w:fldChar w:fldCharType="end"/>
        </w:r>
      </w:hyperlink>
    </w:p>
    <w:p w14:paraId="2B2CA7A1" w14:textId="7393023A" w:rsidR="00266B1F" w:rsidRDefault="00266B1F">
      <w:pPr>
        <w:pStyle w:val="TM3"/>
        <w:tabs>
          <w:tab w:val="left" w:pos="960"/>
          <w:tab w:val="right" w:leader="dot" w:pos="8630"/>
        </w:tabs>
        <w:rPr>
          <w:noProof/>
          <w:kern w:val="2"/>
          <w:sz w:val="24"/>
          <w:szCs w:val="24"/>
          <w:lang w:eastAsia="fr-BE"/>
          <w14:ligatures w14:val="standardContextual"/>
        </w:rPr>
      </w:pPr>
      <w:hyperlink w:anchor="_Toc233626267" w:history="1">
        <w:r w:rsidRPr="0027322A">
          <w:rPr>
            <w:rStyle w:val="Lienhypertexte"/>
            <w:smallCaps/>
            <w:noProof/>
          </w:rPr>
          <w:t>H.</w:t>
        </w:r>
        <w:r>
          <w:rPr>
            <w:noProof/>
            <w:kern w:val="2"/>
            <w:sz w:val="24"/>
            <w:szCs w:val="24"/>
            <w:lang w:eastAsia="fr-BE"/>
            <w14:ligatures w14:val="standardContextual"/>
          </w:rPr>
          <w:tab/>
        </w:r>
        <w:r w:rsidRPr="0027322A">
          <w:rPr>
            <w:rStyle w:val="Lienhypertexte"/>
            <w:noProof/>
          </w:rPr>
          <w:t>040/362-09 : Aménagement spécial des rues piétonnières commerçantes</w:t>
        </w:r>
        <w:r>
          <w:rPr>
            <w:noProof/>
            <w:webHidden/>
          </w:rPr>
          <w:tab/>
        </w:r>
        <w:r>
          <w:rPr>
            <w:noProof/>
            <w:webHidden/>
          </w:rPr>
          <w:fldChar w:fldCharType="begin"/>
        </w:r>
        <w:r>
          <w:rPr>
            <w:noProof/>
            <w:webHidden/>
          </w:rPr>
          <w:instrText xml:space="preserve"> PAGEREF _Toc233626267 \h </w:instrText>
        </w:r>
        <w:r>
          <w:rPr>
            <w:noProof/>
            <w:webHidden/>
          </w:rPr>
        </w:r>
        <w:r>
          <w:rPr>
            <w:noProof/>
            <w:webHidden/>
          </w:rPr>
          <w:fldChar w:fldCharType="separate"/>
        </w:r>
        <w:r w:rsidR="001E3978">
          <w:rPr>
            <w:noProof/>
            <w:webHidden/>
          </w:rPr>
          <w:t>156</w:t>
        </w:r>
        <w:r>
          <w:rPr>
            <w:noProof/>
            <w:webHidden/>
          </w:rPr>
          <w:fldChar w:fldCharType="end"/>
        </w:r>
      </w:hyperlink>
    </w:p>
    <w:p w14:paraId="6B278674" w14:textId="6B485AAA" w:rsidR="00266B1F" w:rsidRDefault="00266B1F">
      <w:pPr>
        <w:pStyle w:val="TM2"/>
        <w:tabs>
          <w:tab w:val="left" w:pos="720"/>
          <w:tab w:val="right" w:leader="dot" w:pos="8630"/>
        </w:tabs>
        <w:rPr>
          <w:noProof/>
          <w:kern w:val="2"/>
          <w:sz w:val="24"/>
          <w:szCs w:val="24"/>
          <w:lang w:eastAsia="fr-BE"/>
          <w14:ligatures w14:val="standardContextual"/>
        </w:rPr>
      </w:pPr>
      <w:hyperlink w:anchor="_Toc233626268" w:history="1">
        <w:r w:rsidRPr="0027322A">
          <w:rPr>
            <w:rStyle w:val="Lienhypertexte"/>
            <w:caps/>
            <w:noProof/>
          </w:rPr>
          <w:t>3.</w:t>
        </w:r>
        <w:r>
          <w:rPr>
            <w:noProof/>
            <w:kern w:val="2"/>
            <w:sz w:val="24"/>
            <w:szCs w:val="24"/>
            <w:lang w:eastAsia="fr-BE"/>
            <w14:ligatures w14:val="standardContextual"/>
          </w:rPr>
          <w:tab/>
        </w:r>
        <w:r w:rsidRPr="0027322A">
          <w:rPr>
            <w:rStyle w:val="Lienhypertexte"/>
            <w:noProof/>
          </w:rPr>
          <w:t>Taxes ou redevances sur les prestations d’hygiène publique</w:t>
        </w:r>
        <w:r>
          <w:rPr>
            <w:noProof/>
            <w:webHidden/>
          </w:rPr>
          <w:tab/>
        </w:r>
        <w:r>
          <w:rPr>
            <w:noProof/>
            <w:webHidden/>
          </w:rPr>
          <w:fldChar w:fldCharType="begin"/>
        </w:r>
        <w:r>
          <w:rPr>
            <w:noProof/>
            <w:webHidden/>
          </w:rPr>
          <w:instrText xml:space="preserve"> PAGEREF _Toc233626268 \h </w:instrText>
        </w:r>
        <w:r>
          <w:rPr>
            <w:noProof/>
            <w:webHidden/>
          </w:rPr>
        </w:r>
        <w:r>
          <w:rPr>
            <w:noProof/>
            <w:webHidden/>
          </w:rPr>
          <w:fldChar w:fldCharType="separate"/>
        </w:r>
        <w:r w:rsidR="001E3978">
          <w:rPr>
            <w:noProof/>
            <w:webHidden/>
          </w:rPr>
          <w:t>156</w:t>
        </w:r>
        <w:r>
          <w:rPr>
            <w:noProof/>
            <w:webHidden/>
          </w:rPr>
          <w:fldChar w:fldCharType="end"/>
        </w:r>
      </w:hyperlink>
    </w:p>
    <w:p w14:paraId="665E0E78" w14:textId="7557A841" w:rsidR="00266B1F" w:rsidRDefault="00266B1F">
      <w:pPr>
        <w:pStyle w:val="TM3"/>
        <w:tabs>
          <w:tab w:val="left" w:pos="960"/>
          <w:tab w:val="right" w:leader="dot" w:pos="8630"/>
        </w:tabs>
        <w:rPr>
          <w:noProof/>
          <w:kern w:val="2"/>
          <w:sz w:val="24"/>
          <w:szCs w:val="24"/>
          <w:lang w:eastAsia="fr-BE"/>
          <w14:ligatures w14:val="standardContextual"/>
        </w:rPr>
      </w:pPr>
      <w:hyperlink w:anchor="_Toc233626269"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040/363-02 : Travaux de raccordement au réseau de distribution d'eau</w:t>
        </w:r>
        <w:r>
          <w:rPr>
            <w:noProof/>
            <w:webHidden/>
          </w:rPr>
          <w:tab/>
        </w:r>
        <w:r>
          <w:rPr>
            <w:noProof/>
            <w:webHidden/>
          </w:rPr>
          <w:fldChar w:fldCharType="begin"/>
        </w:r>
        <w:r>
          <w:rPr>
            <w:noProof/>
            <w:webHidden/>
          </w:rPr>
          <w:instrText xml:space="preserve"> PAGEREF _Toc233626269 \h </w:instrText>
        </w:r>
        <w:r>
          <w:rPr>
            <w:noProof/>
            <w:webHidden/>
          </w:rPr>
        </w:r>
        <w:r>
          <w:rPr>
            <w:noProof/>
            <w:webHidden/>
          </w:rPr>
          <w:fldChar w:fldCharType="separate"/>
        </w:r>
        <w:r w:rsidR="001E3978">
          <w:rPr>
            <w:noProof/>
            <w:webHidden/>
          </w:rPr>
          <w:t>156</w:t>
        </w:r>
        <w:r>
          <w:rPr>
            <w:noProof/>
            <w:webHidden/>
          </w:rPr>
          <w:fldChar w:fldCharType="end"/>
        </w:r>
      </w:hyperlink>
    </w:p>
    <w:p w14:paraId="415DF506" w14:textId="00F3704C" w:rsidR="00266B1F" w:rsidRDefault="00266B1F">
      <w:pPr>
        <w:pStyle w:val="TM3"/>
        <w:tabs>
          <w:tab w:val="left" w:pos="960"/>
          <w:tab w:val="right" w:leader="dot" w:pos="8630"/>
        </w:tabs>
        <w:rPr>
          <w:noProof/>
          <w:kern w:val="2"/>
          <w:sz w:val="24"/>
          <w:szCs w:val="24"/>
          <w:lang w:eastAsia="fr-BE"/>
          <w14:ligatures w14:val="standardContextual"/>
        </w:rPr>
      </w:pPr>
      <w:hyperlink w:anchor="_Toc233626270"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040/363-03 : Enlèvement des immondices - Traitement des immondices</w:t>
        </w:r>
        <w:r>
          <w:rPr>
            <w:noProof/>
            <w:webHidden/>
          </w:rPr>
          <w:tab/>
        </w:r>
        <w:r>
          <w:rPr>
            <w:noProof/>
            <w:webHidden/>
          </w:rPr>
          <w:fldChar w:fldCharType="begin"/>
        </w:r>
        <w:r>
          <w:rPr>
            <w:noProof/>
            <w:webHidden/>
          </w:rPr>
          <w:instrText xml:space="preserve"> PAGEREF _Toc233626270 \h </w:instrText>
        </w:r>
        <w:r>
          <w:rPr>
            <w:noProof/>
            <w:webHidden/>
          </w:rPr>
        </w:r>
        <w:r>
          <w:rPr>
            <w:noProof/>
            <w:webHidden/>
          </w:rPr>
          <w:fldChar w:fldCharType="separate"/>
        </w:r>
        <w:r w:rsidR="001E3978">
          <w:rPr>
            <w:noProof/>
            <w:webHidden/>
          </w:rPr>
          <w:t>156</w:t>
        </w:r>
        <w:r>
          <w:rPr>
            <w:noProof/>
            <w:webHidden/>
          </w:rPr>
          <w:fldChar w:fldCharType="end"/>
        </w:r>
      </w:hyperlink>
    </w:p>
    <w:p w14:paraId="4C8DC271" w14:textId="10637947" w:rsidR="00266B1F" w:rsidRDefault="00266B1F">
      <w:pPr>
        <w:pStyle w:val="TM3"/>
        <w:tabs>
          <w:tab w:val="left" w:pos="960"/>
          <w:tab w:val="right" w:leader="dot" w:pos="8630"/>
        </w:tabs>
        <w:rPr>
          <w:noProof/>
          <w:kern w:val="2"/>
          <w:sz w:val="24"/>
          <w:szCs w:val="24"/>
          <w:lang w:eastAsia="fr-BE"/>
          <w14:ligatures w14:val="standardContextual"/>
        </w:rPr>
      </w:pPr>
      <w:hyperlink w:anchor="_Toc233626271"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040/363-04 : Vidange des fosses d'aisance</w:t>
        </w:r>
        <w:r>
          <w:rPr>
            <w:noProof/>
            <w:webHidden/>
          </w:rPr>
          <w:tab/>
        </w:r>
        <w:r>
          <w:rPr>
            <w:noProof/>
            <w:webHidden/>
          </w:rPr>
          <w:fldChar w:fldCharType="begin"/>
        </w:r>
        <w:r>
          <w:rPr>
            <w:noProof/>
            <w:webHidden/>
          </w:rPr>
          <w:instrText xml:space="preserve"> PAGEREF _Toc233626271 \h </w:instrText>
        </w:r>
        <w:r>
          <w:rPr>
            <w:noProof/>
            <w:webHidden/>
          </w:rPr>
        </w:r>
        <w:r>
          <w:rPr>
            <w:noProof/>
            <w:webHidden/>
          </w:rPr>
          <w:fldChar w:fldCharType="separate"/>
        </w:r>
        <w:r w:rsidR="001E3978">
          <w:rPr>
            <w:noProof/>
            <w:webHidden/>
          </w:rPr>
          <w:t>161</w:t>
        </w:r>
        <w:r>
          <w:rPr>
            <w:noProof/>
            <w:webHidden/>
          </w:rPr>
          <w:fldChar w:fldCharType="end"/>
        </w:r>
      </w:hyperlink>
    </w:p>
    <w:p w14:paraId="75694C07" w14:textId="01D1D350" w:rsidR="00266B1F" w:rsidRDefault="00266B1F">
      <w:pPr>
        <w:pStyle w:val="TM3"/>
        <w:tabs>
          <w:tab w:val="left" w:pos="960"/>
          <w:tab w:val="right" w:leader="dot" w:pos="8630"/>
        </w:tabs>
        <w:rPr>
          <w:noProof/>
          <w:kern w:val="2"/>
          <w:sz w:val="24"/>
          <w:szCs w:val="24"/>
          <w:lang w:eastAsia="fr-BE"/>
          <w14:ligatures w14:val="standardContextual"/>
        </w:rPr>
      </w:pPr>
      <w:hyperlink w:anchor="_Toc233626272"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040/363-05 : Enlèvement d'objets encombrants</w:t>
        </w:r>
        <w:r>
          <w:rPr>
            <w:noProof/>
            <w:webHidden/>
          </w:rPr>
          <w:tab/>
        </w:r>
        <w:r>
          <w:rPr>
            <w:noProof/>
            <w:webHidden/>
          </w:rPr>
          <w:fldChar w:fldCharType="begin"/>
        </w:r>
        <w:r>
          <w:rPr>
            <w:noProof/>
            <w:webHidden/>
          </w:rPr>
          <w:instrText xml:space="preserve"> PAGEREF _Toc233626272 \h </w:instrText>
        </w:r>
        <w:r>
          <w:rPr>
            <w:noProof/>
            <w:webHidden/>
          </w:rPr>
        </w:r>
        <w:r>
          <w:rPr>
            <w:noProof/>
            <w:webHidden/>
          </w:rPr>
          <w:fldChar w:fldCharType="separate"/>
        </w:r>
        <w:r w:rsidR="001E3978">
          <w:rPr>
            <w:noProof/>
            <w:webHidden/>
          </w:rPr>
          <w:t>161</w:t>
        </w:r>
        <w:r>
          <w:rPr>
            <w:noProof/>
            <w:webHidden/>
          </w:rPr>
          <w:fldChar w:fldCharType="end"/>
        </w:r>
      </w:hyperlink>
    </w:p>
    <w:p w14:paraId="6396A6B8" w14:textId="5F240D4D" w:rsidR="00266B1F" w:rsidRDefault="00266B1F">
      <w:pPr>
        <w:pStyle w:val="TM3"/>
        <w:tabs>
          <w:tab w:val="left" w:pos="960"/>
          <w:tab w:val="right" w:leader="dot" w:pos="8630"/>
        </w:tabs>
        <w:rPr>
          <w:noProof/>
          <w:kern w:val="2"/>
          <w:sz w:val="24"/>
          <w:szCs w:val="24"/>
          <w:lang w:eastAsia="fr-BE"/>
          <w14:ligatures w14:val="standardContextual"/>
        </w:rPr>
      </w:pPr>
      <w:hyperlink w:anchor="_Toc233626273"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040/363-07 : Enlèvement des versages sauvages</w:t>
        </w:r>
        <w:r>
          <w:rPr>
            <w:noProof/>
            <w:webHidden/>
          </w:rPr>
          <w:tab/>
        </w:r>
        <w:r>
          <w:rPr>
            <w:noProof/>
            <w:webHidden/>
          </w:rPr>
          <w:fldChar w:fldCharType="begin"/>
        </w:r>
        <w:r>
          <w:rPr>
            <w:noProof/>
            <w:webHidden/>
          </w:rPr>
          <w:instrText xml:space="preserve"> PAGEREF _Toc233626273 \h </w:instrText>
        </w:r>
        <w:r>
          <w:rPr>
            <w:noProof/>
            <w:webHidden/>
          </w:rPr>
        </w:r>
        <w:r>
          <w:rPr>
            <w:noProof/>
            <w:webHidden/>
          </w:rPr>
          <w:fldChar w:fldCharType="separate"/>
        </w:r>
        <w:r w:rsidR="001E3978">
          <w:rPr>
            <w:noProof/>
            <w:webHidden/>
          </w:rPr>
          <w:t>161</w:t>
        </w:r>
        <w:r>
          <w:rPr>
            <w:noProof/>
            <w:webHidden/>
          </w:rPr>
          <w:fldChar w:fldCharType="end"/>
        </w:r>
      </w:hyperlink>
    </w:p>
    <w:p w14:paraId="2586DC8D" w14:textId="15566C9A" w:rsidR="00266B1F" w:rsidRDefault="00266B1F">
      <w:pPr>
        <w:pStyle w:val="TM3"/>
        <w:tabs>
          <w:tab w:val="left" w:pos="960"/>
          <w:tab w:val="right" w:leader="dot" w:pos="8630"/>
        </w:tabs>
        <w:rPr>
          <w:noProof/>
          <w:kern w:val="2"/>
          <w:sz w:val="24"/>
          <w:szCs w:val="24"/>
          <w:lang w:eastAsia="fr-BE"/>
          <w14:ligatures w14:val="standardContextual"/>
        </w:rPr>
      </w:pPr>
      <w:hyperlink w:anchor="_Toc233626274" w:history="1">
        <w:r w:rsidRPr="0027322A">
          <w:rPr>
            <w:rStyle w:val="Lienhypertexte"/>
            <w:smallCaps/>
            <w:noProof/>
          </w:rPr>
          <w:t>F.</w:t>
        </w:r>
        <w:r>
          <w:rPr>
            <w:noProof/>
            <w:kern w:val="2"/>
            <w:sz w:val="24"/>
            <w:szCs w:val="24"/>
            <w:lang w:eastAsia="fr-BE"/>
            <w14:ligatures w14:val="standardContextual"/>
          </w:rPr>
          <w:tab/>
        </w:r>
        <w:r w:rsidRPr="0027322A">
          <w:rPr>
            <w:rStyle w:val="Lienhypertexte"/>
            <w:noProof/>
          </w:rPr>
          <w:t>040/363-08 : Immeubles reliés ou reliables au réseau d'égouts</w:t>
        </w:r>
        <w:r>
          <w:rPr>
            <w:noProof/>
            <w:webHidden/>
          </w:rPr>
          <w:tab/>
        </w:r>
        <w:r>
          <w:rPr>
            <w:noProof/>
            <w:webHidden/>
          </w:rPr>
          <w:fldChar w:fldCharType="begin"/>
        </w:r>
        <w:r>
          <w:rPr>
            <w:noProof/>
            <w:webHidden/>
          </w:rPr>
          <w:instrText xml:space="preserve"> PAGEREF _Toc233626274 \h </w:instrText>
        </w:r>
        <w:r>
          <w:rPr>
            <w:noProof/>
            <w:webHidden/>
          </w:rPr>
        </w:r>
        <w:r>
          <w:rPr>
            <w:noProof/>
            <w:webHidden/>
          </w:rPr>
          <w:fldChar w:fldCharType="separate"/>
        </w:r>
        <w:r w:rsidR="001E3978">
          <w:rPr>
            <w:noProof/>
            <w:webHidden/>
          </w:rPr>
          <w:t>162</w:t>
        </w:r>
        <w:r>
          <w:rPr>
            <w:noProof/>
            <w:webHidden/>
          </w:rPr>
          <w:fldChar w:fldCharType="end"/>
        </w:r>
      </w:hyperlink>
    </w:p>
    <w:p w14:paraId="41C7E2CA" w14:textId="67FB2663" w:rsidR="00266B1F" w:rsidRDefault="00266B1F">
      <w:pPr>
        <w:pStyle w:val="TM3"/>
        <w:tabs>
          <w:tab w:val="left" w:pos="960"/>
          <w:tab w:val="right" w:leader="dot" w:pos="8630"/>
        </w:tabs>
        <w:rPr>
          <w:noProof/>
          <w:kern w:val="2"/>
          <w:sz w:val="24"/>
          <w:szCs w:val="24"/>
          <w:lang w:eastAsia="fr-BE"/>
          <w14:ligatures w14:val="standardContextual"/>
        </w:rPr>
      </w:pPr>
      <w:hyperlink w:anchor="_Toc233626275" w:history="1">
        <w:r w:rsidRPr="0027322A">
          <w:rPr>
            <w:rStyle w:val="Lienhypertexte"/>
            <w:smallCaps/>
            <w:noProof/>
          </w:rPr>
          <w:t>G.</w:t>
        </w:r>
        <w:r>
          <w:rPr>
            <w:noProof/>
            <w:kern w:val="2"/>
            <w:sz w:val="24"/>
            <w:szCs w:val="24"/>
            <w:lang w:eastAsia="fr-BE"/>
            <w14:ligatures w14:val="standardContextual"/>
          </w:rPr>
          <w:tab/>
        </w:r>
        <w:r w:rsidRPr="0027322A">
          <w:rPr>
            <w:rStyle w:val="Lienhypertexte"/>
            <w:noProof/>
          </w:rPr>
          <w:t>040/363-09 : Entretien des égouts</w:t>
        </w:r>
        <w:r>
          <w:rPr>
            <w:noProof/>
            <w:webHidden/>
          </w:rPr>
          <w:tab/>
        </w:r>
        <w:r>
          <w:rPr>
            <w:noProof/>
            <w:webHidden/>
          </w:rPr>
          <w:fldChar w:fldCharType="begin"/>
        </w:r>
        <w:r>
          <w:rPr>
            <w:noProof/>
            <w:webHidden/>
          </w:rPr>
          <w:instrText xml:space="preserve"> PAGEREF _Toc233626275 \h </w:instrText>
        </w:r>
        <w:r>
          <w:rPr>
            <w:noProof/>
            <w:webHidden/>
          </w:rPr>
        </w:r>
        <w:r>
          <w:rPr>
            <w:noProof/>
            <w:webHidden/>
          </w:rPr>
          <w:fldChar w:fldCharType="separate"/>
        </w:r>
        <w:r w:rsidR="001E3978">
          <w:rPr>
            <w:noProof/>
            <w:webHidden/>
          </w:rPr>
          <w:t>163</w:t>
        </w:r>
        <w:r>
          <w:rPr>
            <w:noProof/>
            <w:webHidden/>
          </w:rPr>
          <w:fldChar w:fldCharType="end"/>
        </w:r>
      </w:hyperlink>
    </w:p>
    <w:p w14:paraId="2C5449DC" w14:textId="7F4F95FF" w:rsidR="00266B1F" w:rsidRDefault="00266B1F">
      <w:pPr>
        <w:pStyle w:val="TM3"/>
        <w:tabs>
          <w:tab w:val="left" w:pos="960"/>
          <w:tab w:val="right" w:leader="dot" w:pos="8630"/>
        </w:tabs>
        <w:rPr>
          <w:noProof/>
          <w:kern w:val="2"/>
          <w:sz w:val="24"/>
          <w:szCs w:val="24"/>
          <w:lang w:eastAsia="fr-BE"/>
          <w14:ligatures w14:val="standardContextual"/>
        </w:rPr>
      </w:pPr>
      <w:hyperlink w:anchor="_Toc233626276" w:history="1">
        <w:r w:rsidRPr="0027322A">
          <w:rPr>
            <w:rStyle w:val="Lienhypertexte"/>
            <w:smallCaps/>
            <w:noProof/>
          </w:rPr>
          <w:t>H.</w:t>
        </w:r>
        <w:r>
          <w:rPr>
            <w:noProof/>
            <w:kern w:val="2"/>
            <w:sz w:val="24"/>
            <w:szCs w:val="24"/>
            <w:lang w:eastAsia="fr-BE"/>
            <w14:ligatures w14:val="standardContextual"/>
          </w:rPr>
          <w:tab/>
        </w:r>
        <w:r w:rsidRPr="0027322A">
          <w:rPr>
            <w:rStyle w:val="Lienhypertexte"/>
            <w:noProof/>
          </w:rPr>
          <w:t>04001/363-10 : Inhumations, dispersions des cendres et mises en columbarium</w:t>
        </w:r>
        <w:r>
          <w:rPr>
            <w:noProof/>
            <w:webHidden/>
          </w:rPr>
          <w:tab/>
        </w:r>
        <w:r>
          <w:rPr>
            <w:noProof/>
            <w:webHidden/>
          </w:rPr>
          <w:fldChar w:fldCharType="begin"/>
        </w:r>
        <w:r>
          <w:rPr>
            <w:noProof/>
            <w:webHidden/>
          </w:rPr>
          <w:instrText xml:space="preserve"> PAGEREF _Toc233626276 \h </w:instrText>
        </w:r>
        <w:r>
          <w:rPr>
            <w:noProof/>
            <w:webHidden/>
          </w:rPr>
        </w:r>
        <w:r>
          <w:rPr>
            <w:noProof/>
            <w:webHidden/>
          </w:rPr>
          <w:fldChar w:fldCharType="separate"/>
        </w:r>
        <w:r w:rsidR="001E3978">
          <w:rPr>
            <w:noProof/>
            <w:webHidden/>
          </w:rPr>
          <w:t>164</w:t>
        </w:r>
        <w:r>
          <w:rPr>
            <w:noProof/>
            <w:webHidden/>
          </w:rPr>
          <w:fldChar w:fldCharType="end"/>
        </w:r>
      </w:hyperlink>
    </w:p>
    <w:p w14:paraId="38A234AB" w14:textId="77CA2A8A" w:rsidR="00266B1F" w:rsidRDefault="00266B1F">
      <w:pPr>
        <w:pStyle w:val="TM3"/>
        <w:tabs>
          <w:tab w:val="left" w:pos="960"/>
          <w:tab w:val="right" w:leader="dot" w:pos="8630"/>
        </w:tabs>
        <w:rPr>
          <w:noProof/>
          <w:kern w:val="2"/>
          <w:sz w:val="24"/>
          <w:szCs w:val="24"/>
          <w:lang w:eastAsia="fr-BE"/>
          <w14:ligatures w14:val="standardContextual"/>
        </w:rPr>
      </w:pPr>
      <w:hyperlink w:anchor="_Toc233626277" w:history="1">
        <w:r w:rsidRPr="0027322A">
          <w:rPr>
            <w:rStyle w:val="Lienhypertexte"/>
            <w:smallCaps/>
            <w:noProof/>
          </w:rPr>
          <w:t>I.</w:t>
        </w:r>
        <w:r>
          <w:rPr>
            <w:noProof/>
            <w:kern w:val="2"/>
            <w:sz w:val="24"/>
            <w:szCs w:val="24"/>
            <w:lang w:eastAsia="fr-BE"/>
            <w14:ligatures w14:val="standardContextual"/>
          </w:rPr>
          <w:tab/>
        </w:r>
        <w:r w:rsidRPr="0027322A">
          <w:rPr>
            <w:rStyle w:val="Lienhypertexte"/>
            <w:noProof/>
          </w:rPr>
          <w:t>04002/363-10 : taxe sur l’utilisation de cercueils en polyester</w:t>
        </w:r>
        <w:r>
          <w:rPr>
            <w:noProof/>
            <w:webHidden/>
          </w:rPr>
          <w:tab/>
        </w:r>
        <w:r>
          <w:rPr>
            <w:noProof/>
            <w:webHidden/>
          </w:rPr>
          <w:fldChar w:fldCharType="begin"/>
        </w:r>
        <w:r>
          <w:rPr>
            <w:noProof/>
            <w:webHidden/>
          </w:rPr>
          <w:instrText xml:space="preserve"> PAGEREF _Toc233626277 \h </w:instrText>
        </w:r>
        <w:r>
          <w:rPr>
            <w:noProof/>
            <w:webHidden/>
          </w:rPr>
        </w:r>
        <w:r>
          <w:rPr>
            <w:noProof/>
            <w:webHidden/>
          </w:rPr>
          <w:fldChar w:fldCharType="separate"/>
        </w:r>
        <w:r w:rsidR="001E3978">
          <w:rPr>
            <w:noProof/>
            <w:webHidden/>
          </w:rPr>
          <w:t>165</w:t>
        </w:r>
        <w:r>
          <w:rPr>
            <w:noProof/>
            <w:webHidden/>
          </w:rPr>
          <w:fldChar w:fldCharType="end"/>
        </w:r>
      </w:hyperlink>
    </w:p>
    <w:p w14:paraId="41CB635B" w14:textId="1A4E8BEC" w:rsidR="00266B1F" w:rsidRDefault="00266B1F">
      <w:pPr>
        <w:pStyle w:val="TM3"/>
        <w:tabs>
          <w:tab w:val="left" w:pos="960"/>
          <w:tab w:val="right" w:leader="dot" w:pos="8630"/>
        </w:tabs>
        <w:rPr>
          <w:noProof/>
          <w:kern w:val="2"/>
          <w:sz w:val="24"/>
          <w:szCs w:val="24"/>
          <w:lang w:eastAsia="fr-BE"/>
          <w14:ligatures w14:val="standardContextual"/>
        </w:rPr>
      </w:pPr>
      <w:hyperlink w:anchor="_Toc233626278" w:history="1">
        <w:r w:rsidRPr="0027322A">
          <w:rPr>
            <w:rStyle w:val="Lienhypertexte"/>
            <w:smallCaps/>
            <w:noProof/>
          </w:rPr>
          <w:t>J.</w:t>
        </w:r>
        <w:r>
          <w:rPr>
            <w:noProof/>
            <w:kern w:val="2"/>
            <w:sz w:val="24"/>
            <w:szCs w:val="24"/>
            <w:lang w:eastAsia="fr-BE"/>
            <w14:ligatures w14:val="standardContextual"/>
          </w:rPr>
          <w:tab/>
        </w:r>
        <w:r w:rsidRPr="0027322A">
          <w:rPr>
            <w:rStyle w:val="Lienhypertexte"/>
            <w:noProof/>
          </w:rPr>
          <w:t>040/363-11 : Exhumations</w:t>
        </w:r>
        <w:r>
          <w:rPr>
            <w:noProof/>
            <w:webHidden/>
          </w:rPr>
          <w:tab/>
        </w:r>
        <w:r>
          <w:rPr>
            <w:noProof/>
            <w:webHidden/>
          </w:rPr>
          <w:fldChar w:fldCharType="begin"/>
        </w:r>
        <w:r>
          <w:rPr>
            <w:noProof/>
            <w:webHidden/>
          </w:rPr>
          <w:instrText xml:space="preserve"> PAGEREF _Toc233626278 \h </w:instrText>
        </w:r>
        <w:r>
          <w:rPr>
            <w:noProof/>
            <w:webHidden/>
          </w:rPr>
        </w:r>
        <w:r>
          <w:rPr>
            <w:noProof/>
            <w:webHidden/>
          </w:rPr>
          <w:fldChar w:fldCharType="separate"/>
        </w:r>
        <w:r w:rsidR="001E3978">
          <w:rPr>
            <w:noProof/>
            <w:webHidden/>
          </w:rPr>
          <w:t>166</w:t>
        </w:r>
        <w:r>
          <w:rPr>
            <w:noProof/>
            <w:webHidden/>
          </w:rPr>
          <w:fldChar w:fldCharType="end"/>
        </w:r>
      </w:hyperlink>
    </w:p>
    <w:p w14:paraId="32AF6EBB" w14:textId="779D5650" w:rsidR="00266B1F" w:rsidRDefault="00266B1F">
      <w:pPr>
        <w:pStyle w:val="TM3"/>
        <w:tabs>
          <w:tab w:val="left" w:pos="960"/>
          <w:tab w:val="right" w:leader="dot" w:pos="8630"/>
        </w:tabs>
        <w:rPr>
          <w:noProof/>
          <w:kern w:val="2"/>
          <w:sz w:val="24"/>
          <w:szCs w:val="24"/>
          <w:lang w:eastAsia="fr-BE"/>
          <w14:ligatures w14:val="standardContextual"/>
        </w:rPr>
      </w:pPr>
      <w:hyperlink w:anchor="_Toc233626279" w:history="1">
        <w:r w:rsidRPr="0027322A">
          <w:rPr>
            <w:rStyle w:val="Lienhypertexte"/>
            <w:smallCaps/>
            <w:noProof/>
          </w:rPr>
          <w:t>K.</w:t>
        </w:r>
        <w:r>
          <w:rPr>
            <w:noProof/>
            <w:kern w:val="2"/>
            <w:sz w:val="24"/>
            <w:szCs w:val="24"/>
            <w:lang w:eastAsia="fr-BE"/>
            <w14:ligatures w14:val="standardContextual"/>
          </w:rPr>
          <w:tab/>
        </w:r>
        <w:r w:rsidRPr="0027322A">
          <w:rPr>
            <w:rStyle w:val="Lienhypertexte"/>
            <w:noProof/>
          </w:rPr>
          <w:t>040/363-12 : Transports funèbres</w:t>
        </w:r>
        <w:r>
          <w:rPr>
            <w:noProof/>
            <w:webHidden/>
          </w:rPr>
          <w:tab/>
        </w:r>
        <w:r>
          <w:rPr>
            <w:noProof/>
            <w:webHidden/>
          </w:rPr>
          <w:fldChar w:fldCharType="begin"/>
        </w:r>
        <w:r>
          <w:rPr>
            <w:noProof/>
            <w:webHidden/>
          </w:rPr>
          <w:instrText xml:space="preserve"> PAGEREF _Toc233626279 \h </w:instrText>
        </w:r>
        <w:r>
          <w:rPr>
            <w:noProof/>
            <w:webHidden/>
          </w:rPr>
        </w:r>
        <w:r>
          <w:rPr>
            <w:noProof/>
            <w:webHidden/>
          </w:rPr>
          <w:fldChar w:fldCharType="separate"/>
        </w:r>
        <w:r w:rsidR="001E3978">
          <w:rPr>
            <w:noProof/>
            <w:webHidden/>
          </w:rPr>
          <w:t>168</w:t>
        </w:r>
        <w:r>
          <w:rPr>
            <w:noProof/>
            <w:webHidden/>
          </w:rPr>
          <w:fldChar w:fldCharType="end"/>
        </w:r>
      </w:hyperlink>
    </w:p>
    <w:p w14:paraId="0F37B927" w14:textId="62F97151" w:rsidR="00266B1F" w:rsidRDefault="00266B1F">
      <w:pPr>
        <w:pStyle w:val="TM3"/>
        <w:tabs>
          <w:tab w:val="left" w:pos="960"/>
          <w:tab w:val="right" w:leader="dot" w:pos="8630"/>
        </w:tabs>
        <w:rPr>
          <w:noProof/>
          <w:kern w:val="2"/>
          <w:sz w:val="24"/>
          <w:szCs w:val="24"/>
          <w:lang w:eastAsia="fr-BE"/>
          <w14:ligatures w14:val="standardContextual"/>
        </w:rPr>
      </w:pPr>
      <w:hyperlink w:anchor="_Toc233626280" w:history="1">
        <w:r w:rsidRPr="0027322A">
          <w:rPr>
            <w:rStyle w:val="Lienhypertexte"/>
            <w:smallCaps/>
            <w:noProof/>
          </w:rPr>
          <w:t>L.</w:t>
        </w:r>
        <w:r>
          <w:rPr>
            <w:noProof/>
            <w:kern w:val="2"/>
            <w:sz w:val="24"/>
            <w:szCs w:val="24"/>
            <w:lang w:eastAsia="fr-BE"/>
            <w14:ligatures w14:val="standardContextual"/>
          </w:rPr>
          <w:tab/>
        </w:r>
        <w:r w:rsidRPr="0027322A">
          <w:rPr>
            <w:rStyle w:val="Lienhypertexte"/>
            <w:noProof/>
          </w:rPr>
          <w:t>040/363-13 : Location de caveaux d’attente</w:t>
        </w:r>
        <w:r>
          <w:rPr>
            <w:noProof/>
            <w:webHidden/>
          </w:rPr>
          <w:tab/>
        </w:r>
        <w:r>
          <w:rPr>
            <w:noProof/>
            <w:webHidden/>
          </w:rPr>
          <w:fldChar w:fldCharType="begin"/>
        </w:r>
        <w:r>
          <w:rPr>
            <w:noProof/>
            <w:webHidden/>
          </w:rPr>
          <w:instrText xml:space="preserve"> PAGEREF _Toc233626280 \h </w:instrText>
        </w:r>
        <w:r>
          <w:rPr>
            <w:noProof/>
            <w:webHidden/>
          </w:rPr>
        </w:r>
        <w:r>
          <w:rPr>
            <w:noProof/>
            <w:webHidden/>
          </w:rPr>
          <w:fldChar w:fldCharType="separate"/>
        </w:r>
        <w:r w:rsidR="001E3978">
          <w:rPr>
            <w:noProof/>
            <w:webHidden/>
          </w:rPr>
          <w:t>168</w:t>
        </w:r>
        <w:r>
          <w:rPr>
            <w:noProof/>
            <w:webHidden/>
          </w:rPr>
          <w:fldChar w:fldCharType="end"/>
        </w:r>
      </w:hyperlink>
    </w:p>
    <w:p w14:paraId="67C6D000" w14:textId="58FF21D8" w:rsidR="00266B1F" w:rsidRDefault="00266B1F">
      <w:pPr>
        <w:pStyle w:val="TM3"/>
        <w:tabs>
          <w:tab w:val="left" w:pos="960"/>
          <w:tab w:val="right" w:leader="dot" w:pos="8630"/>
        </w:tabs>
        <w:rPr>
          <w:noProof/>
          <w:kern w:val="2"/>
          <w:sz w:val="24"/>
          <w:szCs w:val="24"/>
          <w:lang w:eastAsia="fr-BE"/>
          <w14:ligatures w14:val="standardContextual"/>
        </w:rPr>
      </w:pPr>
      <w:hyperlink w:anchor="_Toc233626281" w:history="1">
        <w:r w:rsidRPr="0027322A">
          <w:rPr>
            <w:rStyle w:val="Lienhypertexte"/>
            <w:smallCaps/>
            <w:noProof/>
          </w:rPr>
          <w:t>M.</w:t>
        </w:r>
        <w:r>
          <w:rPr>
            <w:noProof/>
            <w:kern w:val="2"/>
            <w:sz w:val="24"/>
            <w:szCs w:val="24"/>
            <w:lang w:eastAsia="fr-BE"/>
            <w14:ligatures w14:val="standardContextual"/>
          </w:rPr>
          <w:tab/>
        </w:r>
        <w:r w:rsidRPr="0027322A">
          <w:rPr>
            <w:rStyle w:val="Lienhypertexte"/>
            <w:noProof/>
          </w:rPr>
          <w:t>040/363-14 : Séjour à la morgue ou au dépôt mortuaire</w:t>
        </w:r>
        <w:r>
          <w:rPr>
            <w:noProof/>
            <w:webHidden/>
          </w:rPr>
          <w:tab/>
        </w:r>
        <w:r>
          <w:rPr>
            <w:noProof/>
            <w:webHidden/>
          </w:rPr>
          <w:fldChar w:fldCharType="begin"/>
        </w:r>
        <w:r>
          <w:rPr>
            <w:noProof/>
            <w:webHidden/>
          </w:rPr>
          <w:instrText xml:space="preserve"> PAGEREF _Toc233626281 \h </w:instrText>
        </w:r>
        <w:r>
          <w:rPr>
            <w:noProof/>
            <w:webHidden/>
          </w:rPr>
        </w:r>
        <w:r>
          <w:rPr>
            <w:noProof/>
            <w:webHidden/>
          </w:rPr>
          <w:fldChar w:fldCharType="separate"/>
        </w:r>
        <w:r w:rsidR="001E3978">
          <w:rPr>
            <w:noProof/>
            <w:webHidden/>
          </w:rPr>
          <w:t>168</w:t>
        </w:r>
        <w:r>
          <w:rPr>
            <w:noProof/>
            <w:webHidden/>
          </w:rPr>
          <w:fldChar w:fldCharType="end"/>
        </w:r>
      </w:hyperlink>
    </w:p>
    <w:p w14:paraId="5126911A" w14:textId="0D473512" w:rsidR="00266B1F" w:rsidRDefault="00266B1F">
      <w:pPr>
        <w:pStyle w:val="TM3"/>
        <w:tabs>
          <w:tab w:val="left" w:pos="960"/>
          <w:tab w:val="right" w:leader="dot" w:pos="8630"/>
        </w:tabs>
        <w:rPr>
          <w:noProof/>
          <w:kern w:val="2"/>
          <w:sz w:val="24"/>
          <w:szCs w:val="24"/>
          <w:lang w:eastAsia="fr-BE"/>
          <w14:ligatures w14:val="standardContextual"/>
        </w:rPr>
      </w:pPr>
      <w:hyperlink w:anchor="_Toc233626282" w:history="1">
        <w:r w:rsidRPr="0027322A">
          <w:rPr>
            <w:rStyle w:val="Lienhypertexte"/>
            <w:smallCaps/>
            <w:noProof/>
          </w:rPr>
          <w:t>N.</w:t>
        </w:r>
        <w:r>
          <w:rPr>
            <w:noProof/>
            <w:kern w:val="2"/>
            <w:sz w:val="24"/>
            <w:szCs w:val="24"/>
            <w:lang w:eastAsia="fr-BE"/>
            <w14:ligatures w14:val="standardContextual"/>
          </w:rPr>
          <w:tab/>
        </w:r>
        <w:r w:rsidRPr="0027322A">
          <w:rPr>
            <w:rStyle w:val="Lienhypertexte"/>
            <w:noProof/>
          </w:rPr>
          <w:t>040/363-15 : Concession dans les cimetières</w:t>
        </w:r>
        <w:r>
          <w:rPr>
            <w:noProof/>
            <w:webHidden/>
          </w:rPr>
          <w:tab/>
        </w:r>
        <w:r>
          <w:rPr>
            <w:noProof/>
            <w:webHidden/>
          </w:rPr>
          <w:fldChar w:fldCharType="begin"/>
        </w:r>
        <w:r>
          <w:rPr>
            <w:noProof/>
            <w:webHidden/>
          </w:rPr>
          <w:instrText xml:space="preserve"> PAGEREF _Toc233626282 \h </w:instrText>
        </w:r>
        <w:r>
          <w:rPr>
            <w:noProof/>
            <w:webHidden/>
          </w:rPr>
        </w:r>
        <w:r>
          <w:rPr>
            <w:noProof/>
            <w:webHidden/>
          </w:rPr>
          <w:fldChar w:fldCharType="separate"/>
        </w:r>
        <w:r w:rsidR="001E3978">
          <w:rPr>
            <w:noProof/>
            <w:webHidden/>
          </w:rPr>
          <w:t>168</w:t>
        </w:r>
        <w:r>
          <w:rPr>
            <w:noProof/>
            <w:webHidden/>
          </w:rPr>
          <w:fldChar w:fldCharType="end"/>
        </w:r>
      </w:hyperlink>
    </w:p>
    <w:p w14:paraId="4F996B03" w14:textId="43882DFA" w:rsidR="00266B1F" w:rsidRDefault="00266B1F">
      <w:pPr>
        <w:pStyle w:val="TM3"/>
        <w:tabs>
          <w:tab w:val="left" w:pos="960"/>
          <w:tab w:val="right" w:leader="dot" w:pos="8630"/>
        </w:tabs>
        <w:rPr>
          <w:noProof/>
          <w:kern w:val="2"/>
          <w:sz w:val="24"/>
          <w:szCs w:val="24"/>
          <w:lang w:eastAsia="fr-BE"/>
          <w14:ligatures w14:val="standardContextual"/>
        </w:rPr>
      </w:pPr>
      <w:hyperlink w:anchor="_Toc233626283" w:history="1">
        <w:r w:rsidRPr="0027322A">
          <w:rPr>
            <w:rStyle w:val="Lienhypertexte"/>
            <w:smallCaps/>
            <w:noProof/>
          </w:rPr>
          <w:t>O.</w:t>
        </w:r>
        <w:r>
          <w:rPr>
            <w:noProof/>
            <w:kern w:val="2"/>
            <w:sz w:val="24"/>
            <w:szCs w:val="24"/>
            <w:lang w:eastAsia="fr-BE"/>
            <w14:ligatures w14:val="standardContextual"/>
          </w:rPr>
          <w:tab/>
        </w:r>
        <w:r w:rsidRPr="0027322A">
          <w:rPr>
            <w:rStyle w:val="Lienhypertexte"/>
            <w:noProof/>
          </w:rPr>
          <w:t>040/363-48 : Prestations diverses d’hygiène publique</w:t>
        </w:r>
        <w:r>
          <w:rPr>
            <w:noProof/>
            <w:webHidden/>
          </w:rPr>
          <w:tab/>
        </w:r>
        <w:r>
          <w:rPr>
            <w:noProof/>
            <w:webHidden/>
          </w:rPr>
          <w:fldChar w:fldCharType="begin"/>
        </w:r>
        <w:r>
          <w:rPr>
            <w:noProof/>
            <w:webHidden/>
          </w:rPr>
          <w:instrText xml:space="preserve"> PAGEREF _Toc233626283 \h </w:instrText>
        </w:r>
        <w:r>
          <w:rPr>
            <w:noProof/>
            <w:webHidden/>
          </w:rPr>
        </w:r>
        <w:r>
          <w:rPr>
            <w:noProof/>
            <w:webHidden/>
          </w:rPr>
          <w:fldChar w:fldCharType="separate"/>
        </w:r>
        <w:r w:rsidR="001E3978">
          <w:rPr>
            <w:noProof/>
            <w:webHidden/>
          </w:rPr>
          <w:t>170</w:t>
        </w:r>
        <w:r>
          <w:rPr>
            <w:noProof/>
            <w:webHidden/>
          </w:rPr>
          <w:fldChar w:fldCharType="end"/>
        </w:r>
      </w:hyperlink>
    </w:p>
    <w:p w14:paraId="4BAB2064" w14:textId="17B93B53" w:rsidR="00266B1F" w:rsidRDefault="00266B1F">
      <w:pPr>
        <w:pStyle w:val="TM3"/>
        <w:tabs>
          <w:tab w:val="left" w:pos="960"/>
          <w:tab w:val="right" w:leader="dot" w:pos="8630"/>
        </w:tabs>
        <w:rPr>
          <w:noProof/>
          <w:kern w:val="2"/>
          <w:sz w:val="24"/>
          <w:szCs w:val="24"/>
          <w:lang w:eastAsia="fr-BE"/>
          <w14:ligatures w14:val="standardContextual"/>
        </w:rPr>
      </w:pPr>
      <w:hyperlink w:anchor="_Toc233626284" w:history="1">
        <w:r w:rsidRPr="0027322A">
          <w:rPr>
            <w:rStyle w:val="Lienhypertexte"/>
            <w:smallCaps/>
            <w:noProof/>
          </w:rPr>
          <w:t>P.</w:t>
        </w:r>
        <w:r>
          <w:rPr>
            <w:noProof/>
            <w:kern w:val="2"/>
            <w:sz w:val="24"/>
            <w:szCs w:val="24"/>
            <w:lang w:eastAsia="fr-BE"/>
            <w14:ligatures w14:val="standardContextual"/>
          </w:rPr>
          <w:tab/>
        </w:r>
        <w:r w:rsidRPr="0027322A">
          <w:rPr>
            <w:rStyle w:val="Lienhypertexte"/>
            <w:noProof/>
          </w:rPr>
          <w:t>04001/363-48 : Redevance pour la propreté des trottoirs</w:t>
        </w:r>
        <w:r>
          <w:rPr>
            <w:noProof/>
            <w:webHidden/>
          </w:rPr>
          <w:tab/>
        </w:r>
        <w:r>
          <w:rPr>
            <w:noProof/>
            <w:webHidden/>
          </w:rPr>
          <w:fldChar w:fldCharType="begin"/>
        </w:r>
        <w:r>
          <w:rPr>
            <w:noProof/>
            <w:webHidden/>
          </w:rPr>
          <w:instrText xml:space="preserve"> PAGEREF _Toc233626284 \h </w:instrText>
        </w:r>
        <w:r>
          <w:rPr>
            <w:noProof/>
            <w:webHidden/>
          </w:rPr>
        </w:r>
        <w:r>
          <w:rPr>
            <w:noProof/>
            <w:webHidden/>
          </w:rPr>
          <w:fldChar w:fldCharType="separate"/>
        </w:r>
        <w:r w:rsidR="001E3978">
          <w:rPr>
            <w:noProof/>
            <w:webHidden/>
          </w:rPr>
          <w:t>170</w:t>
        </w:r>
        <w:r>
          <w:rPr>
            <w:noProof/>
            <w:webHidden/>
          </w:rPr>
          <w:fldChar w:fldCharType="end"/>
        </w:r>
      </w:hyperlink>
    </w:p>
    <w:p w14:paraId="7F066F0C" w14:textId="18BB4B05" w:rsidR="00266B1F" w:rsidRDefault="00266B1F">
      <w:pPr>
        <w:pStyle w:val="TM2"/>
        <w:tabs>
          <w:tab w:val="left" w:pos="720"/>
          <w:tab w:val="right" w:leader="dot" w:pos="8630"/>
        </w:tabs>
        <w:rPr>
          <w:noProof/>
          <w:kern w:val="2"/>
          <w:sz w:val="24"/>
          <w:szCs w:val="24"/>
          <w:lang w:eastAsia="fr-BE"/>
          <w14:ligatures w14:val="standardContextual"/>
        </w:rPr>
      </w:pPr>
      <w:hyperlink w:anchor="_Toc233626285" w:history="1">
        <w:r w:rsidRPr="0027322A">
          <w:rPr>
            <w:rStyle w:val="Lienhypertexte"/>
            <w:caps/>
            <w:noProof/>
          </w:rPr>
          <w:t>4.</w:t>
        </w:r>
        <w:r>
          <w:rPr>
            <w:noProof/>
            <w:kern w:val="2"/>
            <w:sz w:val="24"/>
            <w:szCs w:val="24"/>
            <w:lang w:eastAsia="fr-BE"/>
            <w14:ligatures w14:val="standardContextual"/>
          </w:rPr>
          <w:tab/>
        </w:r>
        <w:r w:rsidRPr="0027322A">
          <w:rPr>
            <w:rStyle w:val="Lienhypertexte"/>
            <w:noProof/>
          </w:rPr>
          <w:t>Taxes sur les entreprises industrielles, commerciales et agricoles</w:t>
        </w:r>
        <w:r>
          <w:rPr>
            <w:noProof/>
            <w:webHidden/>
          </w:rPr>
          <w:tab/>
        </w:r>
        <w:r>
          <w:rPr>
            <w:noProof/>
            <w:webHidden/>
          </w:rPr>
          <w:fldChar w:fldCharType="begin"/>
        </w:r>
        <w:r>
          <w:rPr>
            <w:noProof/>
            <w:webHidden/>
          </w:rPr>
          <w:instrText xml:space="preserve"> PAGEREF _Toc233626285 \h </w:instrText>
        </w:r>
        <w:r>
          <w:rPr>
            <w:noProof/>
            <w:webHidden/>
          </w:rPr>
        </w:r>
        <w:r>
          <w:rPr>
            <w:noProof/>
            <w:webHidden/>
          </w:rPr>
          <w:fldChar w:fldCharType="separate"/>
        </w:r>
        <w:r w:rsidR="001E3978">
          <w:rPr>
            <w:noProof/>
            <w:webHidden/>
          </w:rPr>
          <w:t>171</w:t>
        </w:r>
        <w:r>
          <w:rPr>
            <w:noProof/>
            <w:webHidden/>
          </w:rPr>
          <w:fldChar w:fldCharType="end"/>
        </w:r>
      </w:hyperlink>
    </w:p>
    <w:p w14:paraId="34DF0D94" w14:textId="1570EDCD" w:rsidR="00266B1F" w:rsidRDefault="00266B1F">
      <w:pPr>
        <w:pStyle w:val="TM3"/>
        <w:tabs>
          <w:tab w:val="left" w:pos="960"/>
          <w:tab w:val="right" w:leader="dot" w:pos="8630"/>
        </w:tabs>
        <w:rPr>
          <w:noProof/>
          <w:kern w:val="2"/>
          <w:sz w:val="24"/>
          <w:szCs w:val="24"/>
          <w:lang w:eastAsia="fr-BE"/>
          <w14:ligatures w14:val="standardContextual"/>
        </w:rPr>
      </w:pPr>
      <w:hyperlink w:anchor="_Toc233626286"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040/364-02 : Établissement occupant du personnel de bar</w:t>
        </w:r>
        <w:r>
          <w:rPr>
            <w:noProof/>
            <w:webHidden/>
          </w:rPr>
          <w:tab/>
        </w:r>
        <w:r>
          <w:rPr>
            <w:noProof/>
            <w:webHidden/>
          </w:rPr>
          <w:fldChar w:fldCharType="begin"/>
        </w:r>
        <w:r>
          <w:rPr>
            <w:noProof/>
            <w:webHidden/>
          </w:rPr>
          <w:instrText xml:space="preserve"> PAGEREF _Toc233626286 \h </w:instrText>
        </w:r>
        <w:r>
          <w:rPr>
            <w:noProof/>
            <w:webHidden/>
          </w:rPr>
        </w:r>
        <w:r>
          <w:rPr>
            <w:noProof/>
            <w:webHidden/>
          </w:rPr>
          <w:fldChar w:fldCharType="separate"/>
        </w:r>
        <w:r w:rsidR="001E3978">
          <w:rPr>
            <w:noProof/>
            <w:webHidden/>
          </w:rPr>
          <w:t>172</w:t>
        </w:r>
        <w:r>
          <w:rPr>
            <w:noProof/>
            <w:webHidden/>
          </w:rPr>
          <w:fldChar w:fldCharType="end"/>
        </w:r>
      </w:hyperlink>
    </w:p>
    <w:p w14:paraId="6C18C818" w14:textId="720C4080" w:rsidR="00266B1F" w:rsidRDefault="00266B1F">
      <w:pPr>
        <w:pStyle w:val="TM3"/>
        <w:tabs>
          <w:tab w:val="left" w:pos="960"/>
          <w:tab w:val="right" w:leader="dot" w:pos="8630"/>
        </w:tabs>
        <w:rPr>
          <w:noProof/>
          <w:kern w:val="2"/>
          <w:sz w:val="24"/>
          <w:szCs w:val="24"/>
          <w:lang w:eastAsia="fr-BE"/>
          <w14:ligatures w14:val="standardContextual"/>
        </w:rPr>
      </w:pPr>
      <w:hyperlink w:anchor="_Toc233626287"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040/364-03 : Force motrice</w:t>
        </w:r>
        <w:r>
          <w:rPr>
            <w:noProof/>
            <w:webHidden/>
          </w:rPr>
          <w:tab/>
        </w:r>
        <w:r>
          <w:rPr>
            <w:noProof/>
            <w:webHidden/>
          </w:rPr>
          <w:fldChar w:fldCharType="begin"/>
        </w:r>
        <w:r>
          <w:rPr>
            <w:noProof/>
            <w:webHidden/>
          </w:rPr>
          <w:instrText xml:space="preserve"> PAGEREF _Toc233626287 \h </w:instrText>
        </w:r>
        <w:r>
          <w:rPr>
            <w:noProof/>
            <w:webHidden/>
          </w:rPr>
        </w:r>
        <w:r>
          <w:rPr>
            <w:noProof/>
            <w:webHidden/>
          </w:rPr>
          <w:fldChar w:fldCharType="separate"/>
        </w:r>
        <w:r w:rsidR="001E3978">
          <w:rPr>
            <w:noProof/>
            <w:webHidden/>
          </w:rPr>
          <w:t>173</w:t>
        </w:r>
        <w:r>
          <w:rPr>
            <w:noProof/>
            <w:webHidden/>
          </w:rPr>
          <w:fldChar w:fldCharType="end"/>
        </w:r>
      </w:hyperlink>
    </w:p>
    <w:p w14:paraId="0DC13F0D" w14:textId="12099278" w:rsidR="00266B1F" w:rsidRDefault="00266B1F">
      <w:pPr>
        <w:pStyle w:val="TM3"/>
        <w:tabs>
          <w:tab w:val="left" w:pos="960"/>
          <w:tab w:val="right" w:leader="dot" w:pos="8630"/>
        </w:tabs>
        <w:rPr>
          <w:noProof/>
          <w:kern w:val="2"/>
          <w:sz w:val="24"/>
          <w:szCs w:val="24"/>
          <w:lang w:eastAsia="fr-BE"/>
          <w14:ligatures w14:val="standardContextual"/>
        </w:rPr>
      </w:pPr>
      <w:hyperlink w:anchor="_Toc233626288"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040/364-04 : Tanks et réservoirs</w:t>
        </w:r>
        <w:r>
          <w:rPr>
            <w:noProof/>
            <w:webHidden/>
          </w:rPr>
          <w:tab/>
        </w:r>
        <w:r>
          <w:rPr>
            <w:noProof/>
            <w:webHidden/>
          </w:rPr>
          <w:fldChar w:fldCharType="begin"/>
        </w:r>
        <w:r>
          <w:rPr>
            <w:noProof/>
            <w:webHidden/>
          </w:rPr>
          <w:instrText xml:space="preserve"> PAGEREF _Toc233626288 \h </w:instrText>
        </w:r>
        <w:r>
          <w:rPr>
            <w:noProof/>
            <w:webHidden/>
          </w:rPr>
        </w:r>
        <w:r>
          <w:rPr>
            <w:noProof/>
            <w:webHidden/>
          </w:rPr>
          <w:fldChar w:fldCharType="separate"/>
        </w:r>
        <w:r w:rsidR="001E3978">
          <w:rPr>
            <w:noProof/>
            <w:webHidden/>
          </w:rPr>
          <w:t>174</w:t>
        </w:r>
        <w:r>
          <w:rPr>
            <w:noProof/>
            <w:webHidden/>
          </w:rPr>
          <w:fldChar w:fldCharType="end"/>
        </w:r>
      </w:hyperlink>
    </w:p>
    <w:p w14:paraId="499C92CA" w14:textId="2EBB73D6" w:rsidR="00266B1F" w:rsidRDefault="00266B1F">
      <w:pPr>
        <w:pStyle w:val="TM3"/>
        <w:tabs>
          <w:tab w:val="left" w:pos="960"/>
          <w:tab w:val="right" w:leader="dot" w:pos="8630"/>
        </w:tabs>
        <w:rPr>
          <w:noProof/>
          <w:kern w:val="2"/>
          <w:sz w:val="24"/>
          <w:szCs w:val="24"/>
          <w:lang w:eastAsia="fr-BE"/>
          <w14:ligatures w14:val="standardContextual"/>
        </w:rPr>
      </w:pPr>
      <w:hyperlink w:anchor="_Toc233626289"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040/364-09 : Mines, minières, carrières et terrils</w:t>
        </w:r>
        <w:r>
          <w:rPr>
            <w:noProof/>
            <w:webHidden/>
          </w:rPr>
          <w:tab/>
        </w:r>
        <w:r>
          <w:rPr>
            <w:noProof/>
            <w:webHidden/>
          </w:rPr>
          <w:fldChar w:fldCharType="begin"/>
        </w:r>
        <w:r>
          <w:rPr>
            <w:noProof/>
            <w:webHidden/>
          </w:rPr>
          <w:instrText xml:space="preserve"> PAGEREF _Toc233626289 \h </w:instrText>
        </w:r>
        <w:r>
          <w:rPr>
            <w:noProof/>
            <w:webHidden/>
          </w:rPr>
        </w:r>
        <w:r>
          <w:rPr>
            <w:noProof/>
            <w:webHidden/>
          </w:rPr>
          <w:fldChar w:fldCharType="separate"/>
        </w:r>
        <w:r w:rsidR="001E3978">
          <w:rPr>
            <w:noProof/>
            <w:webHidden/>
          </w:rPr>
          <w:t>174</w:t>
        </w:r>
        <w:r>
          <w:rPr>
            <w:noProof/>
            <w:webHidden/>
          </w:rPr>
          <w:fldChar w:fldCharType="end"/>
        </w:r>
      </w:hyperlink>
    </w:p>
    <w:p w14:paraId="16B82AA6" w14:textId="0717738E" w:rsidR="00266B1F" w:rsidRDefault="00266B1F">
      <w:pPr>
        <w:pStyle w:val="TM3"/>
        <w:tabs>
          <w:tab w:val="left" w:pos="960"/>
          <w:tab w:val="right" w:leader="dot" w:pos="8630"/>
        </w:tabs>
        <w:rPr>
          <w:noProof/>
          <w:kern w:val="2"/>
          <w:sz w:val="24"/>
          <w:szCs w:val="24"/>
          <w:lang w:eastAsia="fr-BE"/>
          <w14:ligatures w14:val="standardContextual"/>
        </w:rPr>
      </w:pPr>
      <w:hyperlink w:anchor="_Toc233626290"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040/364-12 : Débits de boissons</w:t>
        </w:r>
        <w:r>
          <w:rPr>
            <w:noProof/>
            <w:webHidden/>
          </w:rPr>
          <w:tab/>
        </w:r>
        <w:r>
          <w:rPr>
            <w:noProof/>
            <w:webHidden/>
          </w:rPr>
          <w:fldChar w:fldCharType="begin"/>
        </w:r>
        <w:r>
          <w:rPr>
            <w:noProof/>
            <w:webHidden/>
          </w:rPr>
          <w:instrText xml:space="preserve"> PAGEREF _Toc233626290 \h </w:instrText>
        </w:r>
        <w:r>
          <w:rPr>
            <w:noProof/>
            <w:webHidden/>
          </w:rPr>
        </w:r>
        <w:r>
          <w:rPr>
            <w:noProof/>
            <w:webHidden/>
          </w:rPr>
          <w:fldChar w:fldCharType="separate"/>
        </w:r>
        <w:r w:rsidR="001E3978">
          <w:rPr>
            <w:noProof/>
            <w:webHidden/>
          </w:rPr>
          <w:t>175</w:t>
        </w:r>
        <w:r>
          <w:rPr>
            <w:noProof/>
            <w:webHidden/>
          </w:rPr>
          <w:fldChar w:fldCharType="end"/>
        </w:r>
      </w:hyperlink>
    </w:p>
    <w:p w14:paraId="3248DEEC" w14:textId="30920AA2" w:rsidR="00266B1F" w:rsidRDefault="00266B1F">
      <w:pPr>
        <w:pStyle w:val="TM3"/>
        <w:tabs>
          <w:tab w:val="left" w:pos="960"/>
          <w:tab w:val="right" w:leader="dot" w:pos="8630"/>
        </w:tabs>
        <w:rPr>
          <w:noProof/>
          <w:kern w:val="2"/>
          <w:sz w:val="24"/>
          <w:szCs w:val="24"/>
          <w:lang w:eastAsia="fr-BE"/>
          <w14:ligatures w14:val="standardContextual"/>
        </w:rPr>
      </w:pPr>
      <w:hyperlink w:anchor="_Toc233626291" w:history="1">
        <w:r w:rsidRPr="0027322A">
          <w:rPr>
            <w:rStyle w:val="Lienhypertexte"/>
            <w:smallCaps/>
            <w:noProof/>
          </w:rPr>
          <w:t>F.</w:t>
        </w:r>
        <w:r>
          <w:rPr>
            <w:noProof/>
            <w:kern w:val="2"/>
            <w:sz w:val="24"/>
            <w:szCs w:val="24"/>
            <w:lang w:eastAsia="fr-BE"/>
            <w14:ligatures w14:val="standardContextual"/>
          </w:rPr>
          <w:tab/>
        </w:r>
        <w:r w:rsidRPr="0027322A">
          <w:rPr>
            <w:rStyle w:val="Lienhypertexte"/>
            <w:noProof/>
          </w:rPr>
          <w:t>040/364-13 : Débits de tabac</w:t>
        </w:r>
        <w:r>
          <w:rPr>
            <w:noProof/>
            <w:webHidden/>
          </w:rPr>
          <w:tab/>
        </w:r>
        <w:r>
          <w:rPr>
            <w:noProof/>
            <w:webHidden/>
          </w:rPr>
          <w:fldChar w:fldCharType="begin"/>
        </w:r>
        <w:r>
          <w:rPr>
            <w:noProof/>
            <w:webHidden/>
          </w:rPr>
          <w:instrText xml:space="preserve"> PAGEREF _Toc233626291 \h </w:instrText>
        </w:r>
        <w:r>
          <w:rPr>
            <w:noProof/>
            <w:webHidden/>
          </w:rPr>
        </w:r>
        <w:r>
          <w:rPr>
            <w:noProof/>
            <w:webHidden/>
          </w:rPr>
          <w:fldChar w:fldCharType="separate"/>
        </w:r>
        <w:r w:rsidR="001E3978">
          <w:rPr>
            <w:noProof/>
            <w:webHidden/>
          </w:rPr>
          <w:t>176</w:t>
        </w:r>
        <w:r>
          <w:rPr>
            <w:noProof/>
            <w:webHidden/>
          </w:rPr>
          <w:fldChar w:fldCharType="end"/>
        </w:r>
      </w:hyperlink>
    </w:p>
    <w:p w14:paraId="309CDB8D" w14:textId="606220A8" w:rsidR="00266B1F" w:rsidRDefault="00266B1F">
      <w:pPr>
        <w:pStyle w:val="TM3"/>
        <w:tabs>
          <w:tab w:val="left" w:pos="960"/>
          <w:tab w:val="right" w:leader="dot" w:pos="8630"/>
        </w:tabs>
        <w:rPr>
          <w:noProof/>
          <w:kern w:val="2"/>
          <w:sz w:val="24"/>
          <w:szCs w:val="24"/>
          <w:lang w:eastAsia="fr-BE"/>
          <w14:ligatures w14:val="standardContextual"/>
        </w:rPr>
      </w:pPr>
      <w:hyperlink w:anchor="_Toc233626292" w:history="1">
        <w:r w:rsidRPr="0027322A">
          <w:rPr>
            <w:rStyle w:val="Lienhypertexte"/>
            <w:smallCaps/>
            <w:noProof/>
          </w:rPr>
          <w:t>G.</w:t>
        </w:r>
        <w:r>
          <w:rPr>
            <w:noProof/>
            <w:kern w:val="2"/>
            <w:sz w:val="24"/>
            <w:szCs w:val="24"/>
            <w:lang w:eastAsia="fr-BE"/>
            <w14:ligatures w14:val="standardContextual"/>
          </w:rPr>
          <w:tab/>
        </w:r>
        <w:r w:rsidRPr="0027322A">
          <w:rPr>
            <w:rStyle w:val="Lienhypertexte"/>
            <w:noProof/>
          </w:rPr>
          <w:t>040/364-16 : Agences de paris sur les courses de chevaux</w:t>
        </w:r>
        <w:r>
          <w:rPr>
            <w:noProof/>
            <w:webHidden/>
          </w:rPr>
          <w:tab/>
        </w:r>
        <w:r>
          <w:rPr>
            <w:noProof/>
            <w:webHidden/>
          </w:rPr>
          <w:fldChar w:fldCharType="begin"/>
        </w:r>
        <w:r>
          <w:rPr>
            <w:noProof/>
            <w:webHidden/>
          </w:rPr>
          <w:instrText xml:space="preserve"> PAGEREF _Toc233626292 \h </w:instrText>
        </w:r>
        <w:r>
          <w:rPr>
            <w:noProof/>
            <w:webHidden/>
          </w:rPr>
        </w:r>
        <w:r>
          <w:rPr>
            <w:noProof/>
            <w:webHidden/>
          </w:rPr>
          <w:fldChar w:fldCharType="separate"/>
        </w:r>
        <w:r w:rsidR="001E3978">
          <w:rPr>
            <w:noProof/>
            <w:webHidden/>
          </w:rPr>
          <w:t>176</w:t>
        </w:r>
        <w:r>
          <w:rPr>
            <w:noProof/>
            <w:webHidden/>
          </w:rPr>
          <w:fldChar w:fldCharType="end"/>
        </w:r>
      </w:hyperlink>
    </w:p>
    <w:p w14:paraId="0C9F8592" w14:textId="1FFA17BB" w:rsidR="00266B1F" w:rsidRDefault="00266B1F">
      <w:pPr>
        <w:pStyle w:val="TM3"/>
        <w:tabs>
          <w:tab w:val="left" w:pos="960"/>
          <w:tab w:val="right" w:leader="dot" w:pos="8630"/>
        </w:tabs>
        <w:rPr>
          <w:noProof/>
          <w:kern w:val="2"/>
          <w:sz w:val="24"/>
          <w:szCs w:val="24"/>
          <w:lang w:eastAsia="fr-BE"/>
          <w14:ligatures w14:val="standardContextual"/>
        </w:rPr>
      </w:pPr>
      <w:hyperlink w:anchor="_Toc233626293" w:history="1">
        <w:r w:rsidRPr="0027322A">
          <w:rPr>
            <w:rStyle w:val="Lienhypertexte"/>
            <w:smallCaps/>
            <w:noProof/>
          </w:rPr>
          <w:t>H.</w:t>
        </w:r>
        <w:r>
          <w:rPr>
            <w:noProof/>
            <w:kern w:val="2"/>
            <w:sz w:val="24"/>
            <w:szCs w:val="24"/>
            <w:lang w:eastAsia="fr-BE"/>
            <w14:ligatures w14:val="standardContextual"/>
          </w:rPr>
          <w:tab/>
        </w:r>
        <w:r w:rsidRPr="0027322A">
          <w:rPr>
            <w:rStyle w:val="Lienhypertexte"/>
            <w:noProof/>
          </w:rPr>
          <w:t>040/364-18 : Clubs privés</w:t>
        </w:r>
        <w:r>
          <w:rPr>
            <w:noProof/>
            <w:webHidden/>
          </w:rPr>
          <w:tab/>
        </w:r>
        <w:r>
          <w:rPr>
            <w:noProof/>
            <w:webHidden/>
          </w:rPr>
          <w:fldChar w:fldCharType="begin"/>
        </w:r>
        <w:r>
          <w:rPr>
            <w:noProof/>
            <w:webHidden/>
          </w:rPr>
          <w:instrText xml:space="preserve"> PAGEREF _Toc233626293 \h </w:instrText>
        </w:r>
        <w:r>
          <w:rPr>
            <w:noProof/>
            <w:webHidden/>
          </w:rPr>
        </w:r>
        <w:r>
          <w:rPr>
            <w:noProof/>
            <w:webHidden/>
          </w:rPr>
          <w:fldChar w:fldCharType="separate"/>
        </w:r>
        <w:r w:rsidR="001E3978">
          <w:rPr>
            <w:noProof/>
            <w:webHidden/>
          </w:rPr>
          <w:t>176</w:t>
        </w:r>
        <w:r>
          <w:rPr>
            <w:noProof/>
            <w:webHidden/>
          </w:rPr>
          <w:fldChar w:fldCharType="end"/>
        </w:r>
      </w:hyperlink>
    </w:p>
    <w:p w14:paraId="5ED3E13E" w14:textId="6F8625D8" w:rsidR="00266B1F" w:rsidRDefault="00266B1F">
      <w:pPr>
        <w:pStyle w:val="TM3"/>
        <w:tabs>
          <w:tab w:val="left" w:pos="960"/>
          <w:tab w:val="right" w:leader="dot" w:pos="8630"/>
        </w:tabs>
        <w:rPr>
          <w:noProof/>
          <w:kern w:val="2"/>
          <w:sz w:val="24"/>
          <w:szCs w:val="24"/>
          <w:lang w:eastAsia="fr-BE"/>
          <w14:ligatures w14:val="standardContextual"/>
        </w:rPr>
      </w:pPr>
      <w:hyperlink w:anchor="_Toc233626294" w:history="1">
        <w:r w:rsidRPr="0027322A">
          <w:rPr>
            <w:rStyle w:val="Lienhypertexte"/>
            <w:smallCaps/>
            <w:noProof/>
          </w:rPr>
          <w:t>I.</w:t>
        </w:r>
        <w:r>
          <w:rPr>
            <w:noProof/>
            <w:kern w:val="2"/>
            <w:sz w:val="24"/>
            <w:szCs w:val="24"/>
            <w:lang w:eastAsia="fr-BE"/>
            <w14:ligatures w14:val="standardContextual"/>
          </w:rPr>
          <w:tab/>
        </w:r>
        <w:r w:rsidRPr="0027322A">
          <w:rPr>
            <w:rStyle w:val="Lienhypertexte"/>
            <w:noProof/>
          </w:rPr>
          <w:t>040/364-21 : Exploitations de taxis</w:t>
        </w:r>
        <w:r>
          <w:rPr>
            <w:noProof/>
            <w:webHidden/>
          </w:rPr>
          <w:tab/>
        </w:r>
        <w:r>
          <w:rPr>
            <w:noProof/>
            <w:webHidden/>
          </w:rPr>
          <w:fldChar w:fldCharType="begin"/>
        </w:r>
        <w:r>
          <w:rPr>
            <w:noProof/>
            <w:webHidden/>
          </w:rPr>
          <w:instrText xml:space="preserve"> PAGEREF _Toc233626294 \h </w:instrText>
        </w:r>
        <w:r>
          <w:rPr>
            <w:noProof/>
            <w:webHidden/>
          </w:rPr>
        </w:r>
        <w:r>
          <w:rPr>
            <w:noProof/>
            <w:webHidden/>
          </w:rPr>
          <w:fldChar w:fldCharType="separate"/>
        </w:r>
        <w:r w:rsidR="001E3978">
          <w:rPr>
            <w:noProof/>
            <w:webHidden/>
          </w:rPr>
          <w:t>177</w:t>
        </w:r>
        <w:r>
          <w:rPr>
            <w:noProof/>
            <w:webHidden/>
          </w:rPr>
          <w:fldChar w:fldCharType="end"/>
        </w:r>
      </w:hyperlink>
    </w:p>
    <w:p w14:paraId="0174F200" w14:textId="68262EAA" w:rsidR="00266B1F" w:rsidRDefault="00266B1F">
      <w:pPr>
        <w:pStyle w:val="TM3"/>
        <w:tabs>
          <w:tab w:val="left" w:pos="960"/>
          <w:tab w:val="right" w:leader="dot" w:pos="8630"/>
        </w:tabs>
        <w:rPr>
          <w:noProof/>
          <w:kern w:val="2"/>
          <w:sz w:val="24"/>
          <w:szCs w:val="24"/>
          <w:lang w:eastAsia="fr-BE"/>
          <w14:ligatures w14:val="standardContextual"/>
        </w:rPr>
      </w:pPr>
      <w:hyperlink w:anchor="_Toc233626295" w:history="1">
        <w:r w:rsidRPr="0027322A">
          <w:rPr>
            <w:rStyle w:val="Lienhypertexte"/>
            <w:smallCaps/>
            <w:noProof/>
          </w:rPr>
          <w:t>J.</w:t>
        </w:r>
        <w:r>
          <w:rPr>
            <w:noProof/>
            <w:kern w:val="2"/>
            <w:sz w:val="24"/>
            <w:szCs w:val="24"/>
            <w:lang w:eastAsia="fr-BE"/>
            <w14:ligatures w14:val="standardContextual"/>
          </w:rPr>
          <w:tab/>
        </w:r>
        <w:r w:rsidRPr="0027322A">
          <w:rPr>
            <w:rStyle w:val="Lienhypertexte"/>
            <w:noProof/>
          </w:rPr>
          <w:t>040/364-22 : Enseignes et publicités assimilées</w:t>
        </w:r>
        <w:r>
          <w:rPr>
            <w:noProof/>
            <w:webHidden/>
          </w:rPr>
          <w:tab/>
        </w:r>
        <w:r>
          <w:rPr>
            <w:noProof/>
            <w:webHidden/>
          </w:rPr>
          <w:fldChar w:fldCharType="begin"/>
        </w:r>
        <w:r>
          <w:rPr>
            <w:noProof/>
            <w:webHidden/>
          </w:rPr>
          <w:instrText xml:space="preserve"> PAGEREF _Toc233626295 \h </w:instrText>
        </w:r>
        <w:r>
          <w:rPr>
            <w:noProof/>
            <w:webHidden/>
          </w:rPr>
        </w:r>
        <w:r>
          <w:rPr>
            <w:noProof/>
            <w:webHidden/>
          </w:rPr>
          <w:fldChar w:fldCharType="separate"/>
        </w:r>
        <w:r w:rsidR="001E3978">
          <w:rPr>
            <w:noProof/>
            <w:webHidden/>
          </w:rPr>
          <w:t>179</w:t>
        </w:r>
        <w:r>
          <w:rPr>
            <w:noProof/>
            <w:webHidden/>
          </w:rPr>
          <w:fldChar w:fldCharType="end"/>
        </w:r>
      </w:hyperlink>
    </w:p>
    <w:p w14:paraId="7E74A1BE" w14:textId="73CA3C4A" w:rsidR="00266B1F" w:rsidRDefault="00266B1F">
      <w:pPr>
        <w:pStyle w:val="TM3"/>
        <w:tabs>
          <w:tab w:val="left" w:pos="960"/>
          <w:tab w:val="right" w:leader="dot" w:pos="8630"/>
        </w:tabs>
        <w:rPr>
          <w:noProof/>
          <w:kern w:val="2"/>
          <w:sz w:val="24"/>
          <w:szCs w:val="24"/>
          <w:lang w:eastAsia="fr-BE"/>
          <w14:ligatures w14:val="standardContextual"/>
        </w:rPr>
      </w:pPr>
      <w:hyperlink w:anchor="_Toc233626296" w:history="1">
        <w:r w:rsidRPr="0027322A">
          <w:rPr>
            <w:rStyle w:val="Lienhypertexte"/>
            <w:smallCaps/>
            <w:noProof/>
          </w:rPr>
          <w:t>K.</w:t>
        </w:r>
        <w:r>
          <w:rPr>
            <w:noProof/>
            <w:kern w:val="2"/>
            <w:sz w:val="24"/>
            <w:szCs w:val="24"/>
            <w:lang w:eastAsia="fr-BE"/>
            <w14:ligatures w14:val="standardContextual"/>
          </w:rPr>
          <w:tab/>
        </w:r>
        <w:r w:rsidRPr="0027322A">
          <w:rPr>
            <w:rStyle w:val="Lienhypertexte"/>
            <w:noProof/>
          </w:rPr>
          <w:t>04001/364-22 : Enseignes et publicités assimilées obsolètes</w:t>
        </w:r>
        <w:r>
          <w:rPr>
            <w:noProof/>
            <w:webHidden/>
          </w:rPr>
          <w:tab/>
        </w:r>
        <w:r>
          <w:rPr>
            <w:noProof/>
            <w:webHidden/>
          </w:rPr>
          <w:fldChar w:fldCharType="begin"/>
        </w:r>
        <w:r>
          <w:rPr>
            <w:noProof/>
            <w:webHidden/>
          </w:rPr>
          <w:instrText xml:space="preserve"> PAGEREF _Toc233626296 \h </w:instrText>
        </w:r>
        <w:r>
          <w:rPr>
            <w:noProof/>
            <w:webHidden/>
          </w:rPr>
        </w:r>
        <w:r>
          <w:rPr>
            <w:noProof/>
            <w:webHidden/>
          </w:rPr>
          <w:fldChar w:fldCharType="separate"/>
        </w:r>
        <w:r w:rsidR="001E3978">
          <w:rPr>
            <w:noProof/>
            <w:webHidden/>
          </w:rPr>
          <w:t>180</w:t>
        </w:r>
        <w:r>
          <w:rPr>
            <w:noProof/>
            <w:webHidden/>
          </w:rPr>
          <w:fldChar w:fldCharType="end"/>
        </w:r>
      </w:hyperlink>
    </w:p>
    <w:p w14:paraId="5B6DFB9F" w14:textId="0121C266" w:rsidR="00266B1F" w:rsidRDefault="00266B1F">
      <w:pPr>
        <w:pStyle w:val="TM3"/>
        <w:tabs>
          <w:tab w:val="left" w:pos="960"/>
          <w:tab w:val="right" w:leader="dot" w:pos="8630"/>
        </w:tabs>
        <w:rPr>
          <w:noProof/>
          <w:kern w:val="2"/>
          <w:sz w:val="24"/>
          <w:szCs w:val="24"/>
          <w:lang w:eastAsia="fr-BE"/>
          <w14:ligatures w14:val="standardContextual"/>
        </w:rPr>
      </w:pPr>
      <w:hyperlink w:anchor="_Toc233626297" w:history="1">
        <w:r w:rsidRPr="0027322A">
          <w:rPr>
            <w:rStyle w:val="Lienhypertexte"/>
            <w:rFonts w:eastAsia="PMingLiU"/>
            <w:smallCaps/>
            <w:noProof/>
          </w:rPr>
          <w:t>L.</w:t>
        </w:r>
        <w:r>
          <w:rPr>
            <w:noProof/>
            <w:kern w:val="2"/>
            <w:sz w:val="24"/>
            <w:szCs w:val="24"/>
            <w:lang w:eastAsia="fr-BE"/>
            <w14:ligatures w14:val="standardContextual"/>
          </w:rPr>
          <w:tab/>
        </w:r>
        <w:r w:rsidRPr="0027322A">
          <w:rPr>
            <w:rStyle w:val="Lienhypertexte"/>
            <w:noProof/>
          </w:rPr>
          <w:t>040/364-23 : Panneaux publicitaires</w:t>
        </w:r>
        <w:r>
          <w:rPr>
            <w:noProof/>
            <w:webHidden/>
          </w:rPr>
          <w:tab/>
        </w:r>
        <w:r>
          <w:rPr>
            <w:noProof/>
            <w:webHidden/>
          </w:rPr>
          <w:fldChar w:fldCharType="begin"/>
        </w:r>
        <w:r>
          <w:rPr>
            <w:noProof/>
            <w:webHidden/>
          </w:rPr>
          <w:instrText xml:space="preserve"> PAGEREF _Toc233626297 \h </w:instrText>
        </w:r>
        <w:r>
          <w:rPr>
            <w:noProof/>
            <w:webHidden/>
          </w:rPr>
        </w:r>
        <w:r>
          <w:rPr>
            <w:noProof/>
            <w:webHidden/>
          </w:rPr>
          <w:fldChar w:fldCharType="separate"/>
        </w:r>
        <w:r w:rsidR="001E3978">
          <w:rPr>
            <w:noProof/>
            <w:webHidden/>
          </w:rPr>
          <w:t>180</w:t>
        </w:r>
        <w:r>
          <w:rPr>
            <w:noProof/>
            <w:webHidden/>
          </w:rPr>
          <w:fldChar w:fldCharType="end"/>
        </w:r>
      </w:hyperlink>
    </w:p>
    <w:p w14:paraId="255AE30C" w14:textId="274FC986" w:rsidR="00266B1F" w:rsidRDefault="00266B1F">
      <w:pPr>
        <w:pStyle w:val="TM3"/>
        <w:tabs>
          <w:tab w:val="left" w:pos="960"/>
          <w:tab w:val="right" w:leader="dot" w:pos="8630"/>
        </w:tabs>
        <w:rPr>
          <w:noProof/>
          <w:kern w:val="2"/>
          <w:sz w:val="24"/>
          <w:szCs w:val="24"/>
          <w:lang w:eastAsia="fr-BE"/>
          <w14:ligatures w14:val="standardContextual"/>
        </w:rPr>
      </w:pPr>
      <w:hyperlink w:anchor="_Toc233626298" w:history="1">
        <w:r w:rsidRPr="0027322A">
          <w:rPr>
            <w:rStyle w:val="Lienhypertexte"/>
            <w:smallCaps/>
            <w:noProof/>
          </w:rPr>
          <w:t>M.</w:t>
        </w:r>
        <w:r>
          <w:rPr>
            <w:noProof/>
            <w:kern w:val="2"/>
            <w:sz w:val="24"/>
            <w:szCs w:val="24"/>
            <w:lang w:eastAsia="fr-BE"/>
            <w14:ligatures w14:val="standardContextual"/>
          </w:rPr>
          <w:tab/>
        </w:r>
        <w:r w:rsidRPr="0027322A">
          <w:rPr>
            <w:rStyle w:val="Lienhypertexte"/>
            <w:noProof/>
          </w:rPr>
          <w:t>04001/364-24 : Distribution gratuite d'écrits publicitaires ou d’échantillons publicitaires non adressés et de supports de presse régionale gratuite</w:t>
        </w:r>
        <w:r>
          <w:rPr>
            <w:noProof/>
            <w:webHidden/>
          </w:rPr>
          <w:tab/>
        </w:r>
        <w:r>
          <w:rPr>
            <w:noProof/>
            <w:webHidden/>
          </w:rPr>
          <w:fldChar w:fldCharType="begin"/>
        </w:r>
        <w:r>
          <w:rPr>
            <w:noProof/>
            <w:webHidden/>
          </w:rPr>
          <w:instrText xml:space="preserve"> PAGEREF _Toc233626298 \h </w:instrText>
        </w:r>
        <w:r>
          <w:rPr>
            <w:noProof/>
            <w:webHidden/>
          </w:rPr>
        </w:r>
        <w:r>
          <w:rPr>
            <w:noProof/>
            <w:webHidden/>
          </w:rPr>
          <w:fldChar w:fldCharType="separate"/>
        </w:r>
        <w:r w:rsidR="001E3978">
          <w:rPr>
            <w:noProof/>
            <w:webHidden/>
          </w:rPr>
          <w:t>181</w:t>
        </w:r>
        <w:r>
          <w:rPr>
            <w:noProof/>
            <w:webHidden/>
          </w:rPr>
          <w:fldChar w:fldCharType="end"/>
        </w:r>
      </w:hyperlink>
    </w:p>
    <w:p w14:paraId="2AC5067F" w14:textId="131AD216" w:rsidR="00266B1F" w:rsidRDefault="00266B1F">
      <w:pPr>
        <w:pStyle w:val="TM3"/>
        <w:tabs>
          <w:tab w:val="left" w:pos="960"/>
          <w:tab w:val="right" w:leader="dot" w:pos="8630"/>
        </w:tabs>
        <w:rPr>
          <w:noProof/>
          <w:kern w:val="2"/>
          <w:sz w:val="24"/>
          <w:szCs w:val="24"/>
          <w:lang w:eastAsia="fr-BE"/>
          <w14:ligatures w14:val="standardContextual"/>
        </w:rPr>
      </w:pPr>
      <w:hyperlink w:anchor="_Toc233626299" w:history="1">
        <w:r w:rsidRPr="0027322A">
          <w:rPr>
            <w:rStyle w:val="Lienhypertexte"/>
            <w:smallCaps/>
            <w:noProof/>
          </w:rPr>
          <w:t>N.</w:t>
        </w:r>
        <w:r>
          <w:rPr>
            <w:noProof/>
            <w:kern w:val="2"/>
            <w:sz w:val="24"/>
            <w:szCs w:val="24"/>
            <w:lang w:eastAsia="fr-BE"/>
            <w14:ligatures w14:val="standardContextual"/>
          </w:rPr>
          <w:tab/>
        </w:r>
        <w:r w:rsidRPr="0027322A">
          <w:rPr>
            <w:rStyle w:val="Lienhypertexte"/>
            <w:noProof/>
          </w:rPr>
          <w:t>04002/364-24 : Diffusion publicitaire sur la voie publique</w:t>
        </w:r>
        <w:r>
          <w:rPr>
            <w:noProof/>
            <w:webHidden/>
          </w:rPr>
          <w:tab/>
        </w:r>
        <w:r>
          <w:rPr>
            <w:noProof/>
            <w:webHidden/>
          </w:rPr>
          <w:fldChar w:fldCharType="begin"/>
        </w:r>
        <w:r>
          <w:rPr>
            <w:noProof/>
            <w:webHidden/>
          </w:rPr>
          <w:instrText xml:space="preserve"> PAGEREF _Toc233626299 \h </w:instrText>
        </w:r>
        <w:r>
          <w:rPr>
            <w:noProof/>
            <w:webHidden/>
          </w:rPr>
        </w:r>
        <w:r>
          <w:rPr>
            <w:noProof/>
            <w:webHidden/>
          </w:rPr>
          <w:fldChar w:fldCharType="separate"/>
        </w:r>
        <w:r w:rsidR="001E3978">
          <w:rPr>
            <w:noProof/>
            <w:webHidden/>
          </w:rPr>
          <w:t>185</w:t>
        </w:r>
        <w:r>
          <w:rPr>
            <w:noProof/>
            <w:webHidden/>
          </w:rPr>
          <w:fldChar w:fldCharType="end"/>
        </w:r>
      </w:hyperlink>
    </w:p>
    <w:p w14:paraId="63970662" w14:textId="4AD8B2A7" w:rsidR="00266B1F" w:rsidRDefault="00266B1F">
      <w:pPr>
        <w:pStyle w:val="TM3"/>
        <w:tabs>
          <w:tab w:val="left" w:pos="960"/>
          <w:tab w:val="right" w:leader="dot" w:pos="8630"/>
        </w:tabs>
        <w:rPr>
          <w:noProof/>
          <w:kern w:val="2"/>
          <w:sz w:val="24"/>
          <w:szCs w:val="24"/>
          <w:lang w:eastAsia="fr-BE"/>
          <w14:ligatures w14:val="standardContextual"/>
        </w:rPr>
      </w:pPr>
      <w:hyperlink w:anchor="_Toc233626300" w:history="1">
        <w:r w:rsidRPr="0027322A">
          <w:rPr>
            <w:rStyle w:val="Lienhypertexte"/>
            <w:smallCaps/>
            <w:noProof/>
          </w:rPr>
          <w:t>O.</w:t>
        </w:r>
        <w:r>
          <w:rPr>
            <w:noProof/>
            <w:kern w:val="2"/>
            <w:sz w:val="24"/>
            <w:szCs w:val="24"/>
            <w:lang w:eastAsia="fr-BE"/>
            <w14:ligatures w14:val="standardContextual"/>
          </w:rPr>
          <w:tab/>
        </w:r>
        <w:r w:rsidRPr="0027322A">
          <w:rPr>
            <w:rStyle w:val="Lienhypertexte"/>
            <w:noProof/>
          </w:rPr>
          <w:t>040/364-26 : Séjour</w:t>
        </w:r>
        <w:r>
          <w:rPr>
            <w:noProof/>
            <w:webHidden/>
          </w:rPr>
          <w:tab/>
        </w:r>
        <w:r>
          <w:rPr>
            <w:noProof/>
            <w:webHidden/>
          </w:rPr>
          <w:fldChar w:fldCharType="begin"/>
        </w:r>
        <w:r>
          <w:rPr>
            <w:noProof/>
            <w:webHidden/>
          </w:rPr>
          <w:instrText xml:space="preserve"> PAGEREF _Toc233626300 \h </w:instrText>
        </w:r>
        <w:r>
          <w:rPr>
            <w:noProof/>
            <w:webHidden/>
          </w:rPr>
        </w:r>
        <w:r>
          <w:rPr>
            <w:noProof/>
            <w:webHidden/>
          </w:rPr>
          <w:fldChar w:fldCharType="separate"/>
        </w:r>
        <w:r w:rsidR="001E3978">
          <w:rPr>
            <w:noProof/>
            <w:webHidden/>
          </w:rPr>
          <w:t>186</w:t>
        </w:r>
        <w:r>
          <w:rPr>
            <w:noProof/>
            <w:webHidden/>
          </w:rPr>
          <w:fldChar w:fldCharType="end"/>
        </w:r>
      </w:hyperlink>
    </w:p>
    <w:p w14:paraId="33DCCC0C" w14:textId="26797A56" w:rsidR="00266B1F" w:rsidRDefault="00266B1F">
      <w:pPr>
        <w:pStyle w:val="TM3"/>
        <w:tabs>
          <w:tab w:val="left" w:pos="960"/>
          <w:tab w:val="right" w:leader="dot" w:pos="8630"/>
        </w:tabs>
        <w:rPr>
          <w:noProof/>
          <w:kern w:val="2"/>
          <w:sz w:val="24"/>
          <w:szCs w:val="24"/>
          <w:lang w:eastAsia="fr-BE"/>
          <w14:ligatures w14:val="standardContextual"/>
        </w:rPr>
      </w:pPr>
      <w:hyperlink w:anchor="_Toc233626301" w:history="1">
        <w:r w:rsidRPr="0027322A">
          <w:rPr>
            <w:rStyle w:val="Lienhypertexte"/>
            <w:smallCaps/>
            <w:noProof/>
          </w:rPr>
          <w:t>P.</w:t>
        </w:r>
        <w:r>
          <w:rPr>
            <w:noProof/>
            <w:kern w:val="2"/>
            <w:sz w:val="24"/>
            <w:szCs w:val="24"/>
            <w:lang w:eastAsia="fr-BE"/>
            <w14:ligatures w14:val="standardContextual"/>
          </w:rPr>
          <w:tab/>
        </w:r>
        <w:r w:rsidRPr="0027322A">
          <w:rPr>
            <w:rStyle w:val="Lienhypertexte"/>
            <w:noProof/>
          </w:rPr>
          <w:t>040/364-27 : Terrains de camping</w:t>
        </w:r>
        <w:r>
          <w:rPr>
            <w:noProof/>
            <w:webHidden/>
          </w:rPr>
          <w:tab/>
        </w:r>
        <w:r>
          <w:rPr>
            <w:noProof/>
            <w:webHidden/>
          </w:rPr>
          <w:fldChar w:fldCharType="begin"/>
        </w:r>
        <w:r>
          <w:rPr>
            <w:noProof/>
            <w:webHidden/>
          </w:rPr>
          <w:instrText xml:space="preserve"> PAGEREF _Toc233626301 \h </w:instrText>
        </w:r>
        <w:r>
          <w:rPr>
            <w:noProof/>
            <w:webHidden/>
          </w:rPr>
        </w:r>
        <w:r>
          <w:rPr>
            <w:noProof/>
            <w:webHidden/>
          </w:rPr>
          <w:fldChar w:fldCharType="separate"/>
        </w:r>
        <w:r w:rsidR="001E3978">
          <w:rPr>
            <w:noProof/>
            <w:webHidden/>
          </w:rPr>
          <w:t>188</w:t>
        </w:r>
        <w:r>
          <w:rPr>
            <w:noProof/>
            <w:webHidden/>
          </w:rPr>
          <w:fldChar w:fldCharType="end"/>
        </w:r>
      </w:hyperlink>
    </w:p>
    <w:p w14:paraId="388CB829" w14:textId="2F663040" w:rsidR="00266B1F" w:rsidRDefault="00266B1F">
      <w:pPr>
        <w:pStyle w:val="TM3"/>
        <w:tabs>
          <w:tab w:val="left" w:pos="960"/>
          <w:tab w:val="right" w:leader="dot" w:pos="8630"/>
        </w:tabs>
        <w:rPr>
          <w:noProof/>
          <w:kern w:val="2"/>
          <w:sz w:val="24"/>
          <w:szCs w:val="24"/>
          <w:lang w:eastAsia="fr-BE"/>
          <w14:ligatures w14:val="standardContextual"/>
        </w:rPr>
      </w:pPr>
      <w:hyperlink w:anchor="_Toc233626302" w:history="1">
        <w:r w:rsidRPr="0027322A">
          <w:rPr>
            <w:rStyle w:val="Lienhypertexte"/>
            <w:smallCaps/>
            <w:noProof/>
          </w:rPr>
          <w:t>Q.</w:t>
        </w:r>
        <w:r>
          <w:rPr>
            <w:noProof/>
            <w:kern w:val="2"/>
            <w:sz w:val="24"/>
            <w:szCs w:val="24"/>
            <w:lang w:eastAsia="fr-BE"/>
            <w14:ligatures w14:val="standardContextual"/>
          </w:rPr>
          <w:tab/>
        </w:r>
        <w:r w:rsidRPr="0027322A">
          <w:rPr>
            <w:rStyle w:val="Lienhypertexte"/>
            <w:noProof/>
          </w:rPr>
          <w:t>040/364-29 : Dépôts de mitrailles et de véhicules usagés et véhicules isolés abandonnés</w:t>
        </w:r>
        <w:r>
          <w:rPr>
            <w:noProof/>
            <w:webHidden/>
          </w:rPr>
          <w:tab/>
        </w:r>
        <w:r>
          <w:rPr>
            <w:noProof/>
            <w:webHidden/>
          </w:rPr>
          <w:fldChar w:fldCharType="begin"/>
        </w:r>
        <w:r>
          <w:rPr>
            <w:noProof/>
            <w:webHidden/>
          </w:rPr>
          <w:instrText xml:space="preserve"> PAGEREF _Toc233626302 \h </w:instrText>
        </w:r>
        <w:r>
          <w:rPr>
            <w:noProof/>
            <w:webHidden/>
          </w:rPr>
        </w:r>
        <w:r>
          <w:rPr>
            <w:noProof/>
            <w:webHidden/>
          </w:rPr>
          <w:fldChar w:fldCharType="separate"/>
        </w:r>
        <w:r w:rsidR="001E3978">
          <w:rPr>
            <w:noProof/>
            <w:webHidden/>
          </w:rPr>
          <w:t>189</w:t>
        </w:r>
        <w:r>
          <w:rPr>
            <w:noProof/>
            <w:webHidden/>
          </w:rPr>
          <w:fldChar w:fldCharType="end"/>
        </w:r>
      </w:hyperlink>
    </w:p>
    <w:p w14:paraId="0981C188" w14:textId="3F4185AF" w:rsidR="00266B1F" w:rsidRDefault="00266B1F">
      <w:pPr>
        <w:pStyle w:val="TM3"/>
        <w:tabs>
          <w:tab w:val="left" w:pos="960"/>
          <w:tab w:val="right" w:leader="dot" w:pos="8630"/>
        </w:tabs>
        <w:rPr>
          <w:noProof/>
          <w:kern w:val="2"/>
          <w:sz w:val="24"/>
          <w:szCs w:val="24"/>
          <w:lang w:eastAsia="fr-BE"/>
          <w14:ligatures w14:val="standardContextual"/>
        </w:rPr>
      </w:pPr>
      <w:hyperlink w:anchor="_Toc233626303" w:history="1">
        <w:r w:rsidRPr="0027322A">
          <w:rPr>
            <w:rStyle w:val="Lienhypertexte"/>
            <w:smallCaps/>
            <w:noProof/>
          </w:rPr>
          <w:t>R.</w:t>
        </w:r>
        <w:r>
          <w:rPr>
            <w:noProof/>
            <w:kern w:val="2"/>
            <w:sz w:val="24"/>
            <w:szCs w:val="24"/>
            <w:lang w:eastAsia="fr-BE"/>
            <w14:ligatures w14:val="standardContextual"/>
          </w:rPr>
          <w:tab/>
        </w:r>
        <w:r w:rsidRPr="0027322A">
          <w:rPr>
            <w:rStyle w:val="Lienhypertexte"/>
            <w:noProof/>
          </w:rPr>
          <w:t>040/364-30 : Établissements dangereux, insalubres et incommodes ainsi que ceux visés par le permis d’environnement</w:t>
        </w:r>
        <w:r>
          <w:rPr>
            <w:noProof/>
            <w:webHidden/>
          </w:rPr>
          <w:tab/>
        </w:r>
        <w:r>
          <w:rPr>
            <w:noProof/>
            <w:webHidden/>
          </w:rPr>
          <w:fldChar w:fldCharType="begin"/>
        </w:r>
        <w:r>
          <w:rPr>
            <w:noProof/>
            <w:webHidden/>
          </w:rPr>
          <w:instrText xml:space="preserve"> PAGEREF _Toc233626303 \h </w:instrText>
        </w:r>
        <w:r>
          <w:rPr>
            <w:noProof/>
            <w:webHidden/>
          </w:rPr>
        </w:r>
        <w:r>
          <w:rPr>
            <w:noProof/>
            <w:webHidden/>
          </w:rPr>
          <w:fldChar w:fldCharType="separate"/>
        </w:r>
        <w:r w:rsidR="001E3978">
          <w:rPr>
            <w:noProof/>
            <w:webHidden/>
          </w:rPr>
          <w:t>189</w:t>
        </w:r>
        <w:r>
          <w:rPr>
            <w:noProof/>
            <w:webHidden/>
          </w:rPr>
          <w:fldChar w:fldCharType="end"/>
        </w:r>
      </w:hyperlink>
    </w:p>
    <w:p w14:paraId="51EA4091" w14:textId="08F4117F" w:rsidR="00266B1F" w:rsidRDefault="00266B1F">
      <w:pPr>
        <w:pStyle w:val="TM3"/>
        <w:tabs>
          <w:tab w:val="left" w:pos="960"/>
          <w:tab w:val="right" w:leader="dot" w:pos="8630"/>
        </w:tabs>
        <w:rPr>
          <w:noProof/>
          <w:kern w:val="2"/>
          <w:sz w:val="24"/>
          <w:szCs w:val="24"/>
          <w:lang w:eastAsia="fr-BE"/>
          <w14:ligatures w14:val="standardContextual"/>
        </w:rPr>
      </w:pPr>
      <w:hyperlink w:anchor="_Toc233626304" w:history="1">
        <w:r w:rsidRPr="0027322A">
          <w:rPr>
            <w:rStyle w:val="Lienhypertexte"/>
            <w:smallCaps/>
            <w:noProof/>
          </w:rPr>
          <w:t>S.</w:t>
        </w:r>
        <w:r>
          <w:rPr>
            <w:noProof/>
            <w:kern w:val="2"/>
            <w:sz w:val="24"/>
            <w:szCs w:val="24"/>
            <w:lang w:eastAsia="fr-BE"/>
            <w14:ligatures w14:val="standardContextual"/>
          </w:rPr>
          <w:tab/>
        </w:r>
        <w:r w:rsidRPr="0027322A">
          <w:rPr>
            <w:rStyle w:val="Lienhypertexte"/>
            <w:noProof/>
          </w:rPr>
          <w:t>040/364-32 : Agences bancaires</w:t>
        </w:r>
        <w:r>
          <w:rPr>
            <w:noProof/>
            <w:webHidden/>
          </w:rPr>
          <w:tab/>
        </w:r>
        <w:r>
          <w:rPr>
            <w:noProof/>
            <w:webHidden/>
          </w:rPr>
          <w:fldChar w:fldCharType="begin"/>
        </w:r>
        <w:r>
          <w:rPr>
            <w:noProof/>
            <w:webHidden/>
          </w:rPr>
          <w:instrText xml:space="preserve"> PAGEREF _Toc233626304 \h </w:instrText>
        </w:r>
        <w:r>
          <w:rPr>
            <w:noProof/>
            <w:webHidden/>
          </w:rPr>
        </w:r>
        <w:r>
          <w:rPr>
            <w:noProof/>
            <w:webHidden/>
          </w:rPr>
          <w:fldChar w:fldCharType="separate"/>
        </w:r>
        <w:r w:rsidR="001E3978">
          <w:rPr>
            <w:noProof/>
            <w:webHidden/>
          </w:rPr>
          <w:t>190</w:t>
        </w:r>
        <w:r>
          <w:rPr>
            <w:noProof/>
            <w:webHidden/>
          </w:rPr>
          <w:fldChar w:fldCharType="end"/>
        </w:r>
      </w:hyperlink>
    </w:p>
    <w:p w14:paraId="22BBE36D" w14:textId="11037313" w:rsidR="00266B1F" w:rsidRDefault="00266B1F">
      <w:pPr>
        <w:pStyle w:val="TM3"/>
        <w:tabs>
          <w:tab w:val="left" w:pos="960"/>
          <w:tab w:val="right" w:leader="dot" w:pos="8630"/>
        </w:tabs>
        <w:rPr>
          <w:noProof/>
          <w:kern w:val="2"/>
          <w:sz w:val="24"/>
          <w:szCs w:val="24"/>
          <w:lang w:eastAsia="fr-BE"/>
          <w14:ligatures w14:val="standardContextual"/>
        </w:rPr>
      </w:pPr>
      <w:hyperlink w:anchor="_Toc233626305" w:history="1">
        <w:r w:rsidRPr="0027322A">
          <w:rPr>
            <w:rStyle w:val="Lienhypertexte"/>
            <w:smallCaps/>
            <w:noProof/>
          </w:rPr>
          <w:t>T.</w:t>
        </w:r>
        <w:r>
          <w:rPr>
            <w:noProof/>
            <w:kern w:val="2"/>
            <w:sz w:val="24"/>
            <w:szCs w:val="24"/>
            <w:lang w:eastAsia="fr-BE"/>
            <w14:ligatures w14:val="standardContextual"/>
          </w:rPr>
          <w:tab/>
        </w:r>
        <w:r w:rsidRPr="0027322A">
          <w:rPr>
            <w:rStyle w:val="Lienhypertexte"/>
            <w:noProof/>
          </w:rPr>
          <w:t>040/364-33 : Centres d'enfouissement technique</w:t>
        </w:r>
        <w:r>
          <w:rPr>
            <w:noProof/>
            <w:webHidden/>
          </w:rPr>
          <w:tab/>
        </w:r>
        <w:r>
          <w:rPr>
            <w:noProof/>
            <w:webHidden/>
          </w:rPr>
          <w:fldChar w:fldCharType="begin"/>
        </w:r>
        <w:r>
          <w:rPr>
            <w:noProof/>
            <w:webHidden/>
          </w:rPr>
          <w:instrText xml:space="preserve"> PAGEREF _Toc233626305 \h </w:instrText>
        </w:r>
        <w:r>
          <w:rPr>
            <w:noProof/>
            <w:webHidden/>
          </w:rPr>
        </w:r>
        <w:r>
          <w:rPr>
            <w:noProof/>
            <w:webHidden/>
          </w:rPr>
          <w:fldChar w:fldCharType="separate"/>
        </w:r>
        <w:r w:rsidR="001E3978">
          <w:rPr>
            <w:noProof/>
            <w:webHidden/>
          </w:rPr>
          <w:t>192</w:t>
        </w:r>
        <w:r>
          <w:rPr>
            <w:noProof/>
            <w:webHidden/>
          </w:rPr>
          <w:fldChar w:fldCharType="end"/>
        </w:r>
      </w:hyperlink>
    </w:p>
    <w:p w14:paraId="1D10A3E4" w14:textId="7489F1DF" w:rsidR="00266B1F" w:rsidRDefault="00266B1F">
      <w:pPr>
        <w:pStyle w:val="TM3"/>
        <w:tabs>
          <w:tab w:val="left" w:pos="960"/>
          <w:tab w:val="right" w:leader="dot" w:pos="8630"/>
        </w:tabs>
        <w:rPr>
          <w:noProof/>
          <w:kern w:val="2"/>
          <w:sz w:val="24"/>
          <w:szCs w:val="24"/>
          <w:lang w:eastAsia="fr-BE"/>
          <w14:ligatures w14:val="standardContextual"/>
        </w:rPr>
      </w:pPr>
      <w:hyperlink w:anchor="_Toc233626306" w:history="1">
        <w:r w:rsidRPr="0027322A">
          <w:rPr>
            <w:rStyle w:val="Lienhypertexte"/>
            <w:smallCaps/>
            <w:noProof/>
          </w:rPr>
          <w:t>U.</w:t>
        </w:r>
        <w:r>
          <w:rPr>
            <w:noProof/>
            <w:kern w:val="2"/>
            <w:sz w:val="24"/>
            <w:szCs w:val="24"/>
            <w:lang w:eastAsia="fr-BE"/>
            <w14:ligatures w14:val="standardContextual"/>
          </w:rPr>
          <w:tab/>
        </w:r>
        <w:r w:rsidRPr="0027322A">
          <w:rPr>
            <w:rStyle w:val="Lienhypertexte"/>
            <w:noProof/>
          </w:rPr>
          <w:t>040/364-34 : Logements loués meublés</w:t>
        </w:r>
        <w:r>
          <w:rPr>
            <w:noProof/>
            <w:webHidden/>
          </w:rPr>
          <w:tab/>
        </w:r>
        <w:r>
          <w:rPr>
            <w:noProof/>
            <w:webHidden/>
          </w:rPr>
          <w:fldChar w:fldCharType="begin"/>
        </w:r>
        <w:r>
          <w:rPr>
            <w:noProof/>
            <w:webHidden/>
          </w:rPr>
          <w:instrText xml:space="preserve"> PAGEREF _Toc233626306 \h </w:instrText>
        </w:r>
        <w:r>
          <w:rPr>
            <w:noProof/>
            <w:webHidden/>
          </w:rPr>
        </w:r>
        <w:r>
          <w:rPr>
            <w:noProof/>
            <w:webHidden/>
          </w:rPr>
          <w:fldChar w:fldCharType="separate"/>
        </w:r>
        <w:r w:rsidR="001E3978">
          <w:rPr>
            <w:noProof/>
            <w:webHidden/>
          </w:rPr>
          <w:t>192</w:t>
        </w:r>
        <w:r>
          <w:rPr>
            <w:noProof/>
            <w:webHidden/>
          </w:rPr>
          <w:fldChar w:fldCharType="end"/>
        </w:r>
      </w:hyperlink>
    </w:p>
    <w:p w14:paraId="226C2CC2" w14:textId="03267DB7" w:rsidR="00266B1F" w:rsidRDefault="00266B1F">
      <w:pPr>
        <w:pStyle w:val="TM3"/>
        <w:tabs>
          <w:tab w:val="left" w:pos="960"/>
          <w:tab w:val="right" w:leader="dot" w:pos="8630"/>
        </w:tabs>
        <w:rPr>
          <w:noProof/>
          <w:kern w:val="2"/>
          <w:sz w:val="24"/>
          <w:szCs w:val="24"/>
          <w:lang w:eastAsia="fr-BE"/>
          <w14:ligatures w14:val="standardContextual"/>
        </w:rPr>
      </w:pPr>
      <w:hyperlink w:anchor="_Toc233626307" w:history="1">
        <w:r w:rsidRPr="0027322A">
          <w:rPr>
            <w:rStyle w:val="Lienhypertexte"/>
            <w:smallCaps/>
            <w:noProof/>
          </w:rPr>
          <w:t>V.</w:t>
        </w:r>
        <w:r>
          <w:rPr>
            <w:noProof/>
            <w:kern w:val="2"/>
            <w:sz w:val="24"/>
            <w:szCs w:val="24"/>
            <w:lang w:eastAsia="fr-BE"/>
            <w14:ligatures w14:val="standardContextual"/>
          </w:rPr>
          <w:tab/>
        </w:r>
        <w:r w:rsidRPr="0027322A">
          <w:rPr>
            <w:rStyle w:val="Lienhypertexte"/>
            <w:noProof/>
          </w:rPr>
          <w:t>04001/364-48 : Taxe industrielle compensatoire</w:t>
        </w:r>
        <w:r>
          <w:rPr>
            <w:noProof/>
            <w:webHidden/>
          </w:rPr>
          <w:tab/>
        </w:r>
        <w:r>
          <w:rPr>
            <w:noProof/>
            <w:webHidden/>
          </w:rPr>
          <w:fldChar w:fldCharType="begin"/>
        </w:r>
        <w:r>
          <w:rPr>
            <w:noProof/>
            <w:webHidden/>
          </w:rPr>
          <w:instrText xml:space="preserve"> PAGEREF _Toc233626307 \h </w:instrText>
        </w:r>
        <w:r>
          <w:rPr>
            <w:noProof/>
            <w:webHidden/>
          </w:rPr>
        </w:r>
        <w:r>
          <w:rPr>
            <w:noProof/>
            <w:webHidden/>
          </w:rPr>
          <w:fldChar w:fldCharType="separate"/>
        </w:r>
        <w:r w:rsidR="001E3978">
          <w:rPr>
            <w:noProof/>
            <w:webHidden/>
          </w:rPr>
          <w:t>193</w:t>
        </w:r>
        <w:r>
          <w:rPr>
            <w:noProof/>
            <w:webHidden/>
          </w:rPr>
          <w:fldChar w:fldCharType="end"/>
        </w:r>
      </w:hyperlink>
    </w:p>
    <w:p w14:paraId="2AFDDA88" w14:textId="165E13F8" w:rsidR="00266B1F" w:rsidRDefault="00266B1F">
      <w:pPr>
        <w:pStyle w:val="TM3"/>
        <w:tabs>
          <w:tab w:val="left" w:pos="960"/>
          <w:tab w:val="right" w:leader="dot" w:pos="8630"/>
        </w:tabs>
        <w:rPr>
          <w:noProof/>
          <w:kern w:val="2"/>
          <w:sz w:val="24"/>
          <w:szCs w:val="24"/>
          <w:lang w:eastAsia="fr-BE"/>
          <w14:ligatures w14:val="standardContextual"/>
        </w:rPr>
      </w:pPr>
      <w:hyperlink w:anchor="_Toc233626308" w:history="1">
        <w:r w:rsidRPr="0027322A">
          <w:rPr>
            <w:rStyle w:val="Lienhypertexte"/>
            <w:smallCaps/>
            <w:noProof/>
          </w:rPr>
          <w:t>W.</w:t>
        </w:r>
        <w:r>
          <w:rPr>
            <w:noProof/>
            <w:kern w:val="2"/>
            <w:sz w:val="24"/>
            <w:szCs w:val="24"/>
            <w:lang w:eastAsia="fr-BE"/>
            <w14:ligatures w14:val="standardContextual"/>
          </w:rPr>
          <w:tab/>
        </w:r>
        <w:r w:rsidRPr="0027322A">
          <w:rPr>
            <w:rStyle w:val="Lienhypertexte"/>
            <w:noProof/>
          </w:rPr>
          <w:t>04002/364-48 : Commerce de frites (hot-dogs, beignets, etc.) à emporter</w:t>
        </w:r>
        <w:r>
          <w:rPr>
            <w:noProof/>
            <w:webHidden/>
          </w:rPr>
          <w:tab/>
        </w:r>
        <w:r>
          <w:rPr>
            <w:noProof/>
            <w:webHidden/>
          </w:rPr>
          <w:fldChar w:fldCharType="begin"/>
        </w:r>
        <w:r>
          <w:rPr>
            <w:noProof/>
            <w:webHidden/>
          </w:rPr>
          <w:instrText xml:space="preserve"> PAGEREF _Toc233626308 \h </w:instrText>
        </w:r>
        <w:r>
          <w:rPr>
            <w:noProof/>
            <w:webHidden/>
          </w:rPr>
        </w:r>
        <w:r>
          <w:rPr>
            <w:noProof/>
            <w:webHidden/>
          </w:rPr>
          <w:fldChar w:fldCharType="separate"/>
        </w:r>
        <w:r w:rsidR="001E3978">
          <w:rPr>
            <w:noProof/>
            <w:webHidden/>
          </w:rPr>
          <w:t>193</w:t>
        </w:r>
        <w:r>
          <w:rPr>
            <w:noProof/>
            <w:webHidden/>
          </w:rPr>
          <w:fldChar w:fldCharType="end"/>
        </w:r>
      </w:hyperlink>
    </w:p>
    <w:p w14:paraId="67B554E4" w14:textId="18363592" w:rsidR="00266B1F" w:rsidRDefault="00266B1F">
      <w:pPr>
        <w:pStyle w:val="TM3"/>
        <w:tabs>
          <w:tab w:val="left" w:pos="960"/>
          <w:tab w:val="right" w:leader="dot" w:pos="8630"/>
        </w:tabs>
        <w:rPr>
          <w:noProof/>
          <w:kern w:val="2"/>
          <w:sz w:val="24"/>
          <w:szCs w:val="24"/>
          <w:lang w:eastAsia="fr-BE"/>
          <w14:ligatures w14:val="standardContextual"/>
        </w:rPr>
      </w:pPr>
      <w:hyperlink w:anchor="_Toc233626309" w:history="1">
        <w:r w:rsidRPr="0027322A">
          <w:rPr>
            <w:rStyle w:val="Lienhypertexte"/>
            <w:smallCaps/>
            <w:noProof/>
          </w:rPr>
          <w:t>X.</w:t>
        </w:r>
        <w:r>
          <w:rPr>
            <w:noProof/>
            <w:kern w:val="2"/>
            <w:sz w:val="24"/>
            <w:szCs w:val="24"/>
            <w:lang w:eastAsia="fr-BE"/>
            <w14:ligatures w14:val="standardContextual"/>
          </w:rPr>
          <w:tab/>
        </w:r>
        <w:r w:rsidRPr="0027322A">
          <w:rPr>
            <w:rStyle w:val="Lienhypertexte"/>
            <w:noProof/>
          </w:rPr>
          <w:t>04003/364-48 : Loges foraines et loges mobiles</w:t>
        </w:r>
        <w:r>
          <w:rPr>
            <w:noProof/>
            <w:webHidden/>
          </w:rPr>
          <w:tab/>
        </w:r>
        <w:r>
          <w:rPr>
            <w:noProof/>
            <w:webHidden/>
          </w:rPr>
          <w:fldChar w:fldCharType="begin"/>
        </w:r>
        <w:r>
          <w:rPr>
            <w:noProof/>
            <w:webHidden/>
          </w:rPr>
          <w:instrText xml:space="preserve"> PAGEREF _Toc233626309 \h </w:instrText>
        </w:r>
        <w:r>
          <w:rPr>
            <w:noProof/>
            <w:webHidden/>
          </w:rPr>
        </w:r>
        <w:r>
          <w:rPr>
            <w:noProof/>
            <w:webHidden/>
          </w:rPr>
          <w:fldChar w:fldCharType="separate"/>
        </w:r>
        <w:r w:rsidR="001E3978">
          <w:rPr>
            <w:noProof/>
            <w:webHidden/>
          </w:rPr>
          <w:t>194</w:t>
        </w:r>
        <w:r>
          <w:rPr>
            <w:noProof/>
            <w:webHidden/>
          </w:rPr>
          <w:fldChar w:fldCharType="end"/>
        </w:r>
      </w:hyperlink>
    </w:p>
    <w:p w14:paraId="3286A597" w14:textId="2C502F81" w:rsidR="00266B1F" w:rsidRDefault="00266B1F">
      <w:pPr>
        <w:pStyle w:val="TM3"/>
        <w:tabs>
          <w:tab w:val="left" w:pos="960"/>
          <w:tab w:val="right" w:leader="dot" w:pos="8630"/>
        </w:tabs>
        <w:rPr>
          <w:noProof/>
          <w:kern w:val="2"/>
          <w:sz w:val="24"/>
          <w:szCs w:val="24"/>
          <w:lang w:eastAsia="fr-BE"/>
          <w14:ligatures w14:val="standardContextual"/>
        </w:rPr>
      </w:pPr>
      <w:hyperlink w:anchor="_Toc233626310" w:history="1">
        <w:r w:rsidRPr="0027322A">
          <w:rPr>
            <w:rStyle w:val="Lienhypertexte"/>
            <w:smallCaps/>
            <w:noProof/>
          </w:rPr>
          <w:t>Y.</w:t>
        </w:r>
        <w:r>
          <w:rPr>
            <w:noProof/>
            <w:kern w:val="2"/>
            <w:sz w:val="24"/>
            <w:szCs w:val="24"/>
            <w:lang w:eastAsia="fr-BE"/>
            <w14:ligatures w14:val="standardContextual"/>
          </w:rPr>
          <w:tab/>
        </w:r>
        <w:r w:rsidRPr="0027322A">
          <w:rPr>
            <w:rStyle w:val="Lienhypertexte"/>
            <w:noProof/>
          </w:rPr>
          <w:t>04004/364-48 : Commerces de nuit</w:t>
        </w:r>
        <w:r>
          <w:rPr>
            <w:noProof/>
            <w:webHidden/>
          </w:rPr>
          <w:tab/>
        </w:r>
        <w:r>
          <w:rPr>
            <w:noProof/>
            <w:webHidden/>
          </w:rPr>
          <w:fldChar w:fldCharType="begin"/>
        </w:r>
        <w:r>
          <w:rPr>
            <w:noProof/>
            <w:webHidden/>
          </w:rPr>
          <w:instrText xml:space="preserve"> PAGEREF _Toc233626310 \h </w:instrText>
        </w:r>
        <w:r>
          <w:rPr>
            <w:noProof/>
            <w:webHidden/>
          </w:rPr>
        </w:r>
        <w:r>
          <w:rPr>
            <w:noProof/>
            <w:webHidden/>
          </w:rPr>
          <w:fldChar w:fldCharType="separate"/>
        </w:r>
        <w:r w:rsidR="001E3978">
          <w:rPr>
            <w:noProof/>
            <w:webHidden/>
          </w:rPr>
          <w:t>194</w:t>
        </w:r>
        <w:r>
          <w:rPr>
            <w:noProof/>
            <w:webHidden/>
          </w:rPr>
          <w:fldChar w:fldCharType="end"/>
        </w:r>
      </w:hyperlink>
    </w:p>
    <w:p w14:paraId="728B67DF" w14:textId="49E4789E" w:rsidR="00266B1F" w:rsidRDefault="00266B1F">
      <w:pPr>
        <w:pStyle w:val="TM3"/>
        <w:tabs>
          <w:tab w:val="left" w:pos="960"/>
          <w:tab w:val="right" w:leader="dot" w:pos="8630"/>
        </w:tabs>
        <w:rPr>
          <w:noProof/>
          <w:kern w:val="2"/>
          <w:sz w:val="24"/>
          <w:szCs w:val="24"/>
          <w:lang w:eastAsia="fr-BE"/>
          <w14:ligatures w14:val="standardContextual"/>
        </w:rPr>
      </w:pPr>
      <w:hyperlink w:anchor="_Toc233626311" w:history="1">
        <w:r w:rsidRPr="0027322A">
          <w:rPr>
            <w:rStyle w:val="Lienhypertexte"/>
            <w:smallCaps/>
            <w:noProof/>
          </w:rPr>
          <w:t>Z.</w:t>
        </w:r>
        <w:r>
          <w:rPr>
            <w:noProof/>
            <w:kern w:val="2"/>
            <w:sz w:val="24"/>
            <w:szCs w:val="24"/>
            <w:lang w:eastAsia="fr-BE"/>
            <w14:ligatures w14:val="standardContextual"/>
          </w:rPr>
          <w:tab/>
        </w:r>
        <w:r w:rsidRPr="0027322A">
          <w:rPr>
            <w:rStyle w:val="Lienhypertexte"/>
            <w:noProof/>
          </w:rPr>
          <w:t>04005/364-48 : Phone shops</w:t>
        </w:r>
        <w:r>
          <w:rPr>
            <w:noProof/>
            <w:webHidden/>
          </w:rPr>
          <w:tab/>
        </w:r>
        <w:r>
          <w:rPr>
            <w:noProof/>
            <w:webHidden/>
          </w:rPr>
          <w:fldChar w:fldCharType="begin"/>
        </w:r>
        <w:r>
          <w:rPr>
            <w:noProof/>
            <w:webHidden/>
          </w:rPr>
          <w:instrText xml:space="preserve"> PAGEREF _Toc233626311 \h </w:instrText>
        </w:r>
        <w:r>
          <w:rPr>
            <w:noProof/>
            <w:webHidden/>
          </w:rPr>
        </w:r>
        <w:r>
          <w:rPr>
            <w:noProof/>
            <w:webHidden/>
          </w:rPr>
          <w:fldChar w:fldCharType="separate"/>
        </w:r>
        <w:r w:rsidR="001E3978">
          <w:rPr>
            <w:noProof/>
            <w:webHidden/>
          </w:rPr>
          <w:t>195</w:t>
        </w:r>
        <w:r>
          <w:rPr>
            <w:noProof/>
            <w:webHidden/>
          </w:rPr>
          <w:fldChar w:fldCharType="end"/>
        </w:r>
      </w:hyperlink>
    </w:p>
    <w:p w14:paraId="691CC3EE" w14:textId="1ADE0A2A" w:rsidR="00266B1F" w:rsidRDefault="00266B1F">
      <w:pPr>
        <w:pStyle w:val="TM3"/>
        <w:tabs>
          <w:tab w:val="left" w:pos="1200"/>
          <w:tab w:val="right" w:leader="dot" w:pos="8630"/>
        </w:tabs>
        <w:rPr>
          <w:noProof/>
          <w:kern w:val="2"/>
          <w:sz w:val="24"/>
          <w:szCs w:val="24"/>
          <w:lang w:eastAsia="fr-BE"/>
          <w14:ligatures w14:val="standardContextual"/>
        </w:rPr>
      </w:pPr>
      <w:hyperlink w:anchor="_Toc233626312" w:history="1">
        <w:r w:rsidRPr="0027322A">
          <w:rPr>
            <w:rStyle w:val="Lienhypertexte"/>
            <w:smallCaps/>
            <w:noProof/>
          </w:rPr>
          <w:t>AA.</w:t>
        </w:r>
        <w:r>
          <w:rPr>
            <w:noProof/>
            <w:kern w:val="2"/>
            <w:sz w:val="24"/>
            <w:szCs w:val="24"/>
            <w:lang w:eastAsia="fr-BE"/>
            <w14:ligatures w14:val="standardContextual"/>
          </w:rPr>
          <w:tab/>
        </w:r>
        <w:r w:rsidRPr="0027322A">
          <w:rPr>
            <w:rStyle w:val="Lienhypertexte"/>
            <w:noProof/>
          </w:rPr>
          <w:t>04006/364-48 : Exploitation de parkings</w:t>
        </w:r>
        <w:r>
          <w:rPr>
            <w:noProof/>
            <w:webHidden/>
          </w:rPr>
          <w:tab/>
        </w:r>
        <w:r>
          <w:rPr>
            <w:noProof/>
            <w:webHidden/>
          </w:rPr>
          <w:fldChar w:fldCharType="begin"/>
        </w:r>
        <w:r>
          <w:rPr>
            <w:noProof/>
            <w:webHidden/>
          </w:rPr>
          <w:instrText xml:space="preserve"> PAGEREF _Toc233626312 \h </w:instrText>
        </w:r>
        <w:r>
          <w:rPr>
            <w:noProof/>
            <w:webHidden/>
          </w:rPr>
        </w:r>
        <w:r>
          <w:rPr>
            <w:noProof/>
            <w:webHidden/>
          </w:rPr>
          <w:fldChar w:fldCharType="separate"/>
        </w:r>
        <w:r w:rsidR="001E3978">
          <w:rPr>
            <w:noProof/>
            <w:webHidden/>
          </w:rPr>
          <w:t>195</w:t>
        </w:r>
        <w:r>
          <w:rPr>
            <w:noProof/>
            <w:webHidden/>
          </w:rPr>
          <w:fldChar w:fldCharType="end"/>
        </w:r>
      </w:hyperlink>
    </w:p>
    <w:p w14:paraId="0F956D49" w14:textId="40AE849F" w:rsidR="00266B1F" w:rsidRDefault="00266B1F">
      <w:pPr>
        <w:pStyle w:val="TM3"/>
        <w:tabs>
          <w:tab w:val="left" w:pos="1200"/>
          <w:tab w:val="right" w:leader="dot" w:pos="8630"/>
        </w:tabs>
        <w:rPr>
          <w:noProof/>
          <w:kern w:val="2"/>
          <w:sz w:val="24"/>
          <w:szCs w:val="24"/>
          <w:lang w:eastAsia="fr-BE"/>
          <w14:ligatures w14:val="standardContextual"/>
        </w:rPr>
      </w:pPr>
      <w:hyperlink w:anchor="_Toc233626313" w:history="1">
        <w:r w:rsidRPr="0027322A">
          <w:rPr>
            <w:rStyle w:val="Lienhypertexte"/>
            <w:smallCaps/>
            <w:noProof/>
          </w:rPr>
          <w:t>BB.</w:t>
        </w:r>
        <w:r>
          <w:rPr>
            <w:noProof/>
            <w:kern w:val="2"/>
            <w:sz w:val="24"/>
            <w:szCs w:val="24"/>
            <w:lang w:eastAsia="fr-BE"/>
            <w14:ligatures w14:val="standardContextual"/>
          </w:rPr>
          <w:tab/>
        </w:r>
        <w:r w:rsidRPr="0027322A">
          <w:rPr>
            <w:rStyle w:val="Lienhypertexte"/>
            <w:noProof/>
          </w:rPr>
          <w:t>04007/364-48 Cannabis shops</w:t>
        </w:r>
        <w:r>
          <w:rPr>
            <w:noProof/>
            <w:webHidden/>
          </w:rPr>
          <w:tab/>
        </w:r>
        <w:r>
          <w:rPr>
            <w:noProof/>
            <w:webHidden/>
          </w:rPr>
          <w:fldChar w:fldCharType="begin"/>
        </w:r>
        <w:r>
          <w:rPr>
            <w:noProof/>
            <w:webHidden/>
          </w:rPr>
          <w:instrText xml:space="preserve"> PAGEREF _Toc233626313 \h </w:instrText>
        </w:r>
        <w:r>
          <w:rPr>
            <w:noProof/>
            <w:webHidden/>
          </w:rPr>
        </w:r>
        <w:r>
          <w:rPr>
            <w:noProof/>
            <w:webHidden/>
          </w:rPr>
          <w:fldChar w:fldCharType="separate"/>
        </w:r>
        <w:r w:rsidR="001E3978">
          <w:rPr>
            <w:noProof/>
            <w:webHidden/>
          </w:rPr>
          <w:t>196</w:t>
        </w:r>
        <w:r>
          <w:rPr>
            <w:noProof/>
            <w:webHidden/>
          </w:rPr>
          <w:fldChar w:fldCharType="end"/>
        </w:r>
      </w:hyperlink>
    </w:p>
    <w:p w14:paraId="728E4B9B" w14:textId="053CA705" w:rsidR="00266B1F" w:rsidRDefault="00266B1F">
      <w:pPr>
        <w:pStyle w:val="TM3"/>
        <w:tabs>
          <w:tab w:val="left" w:pos="1200"/>
          <w:tab w:val="right" w:leader="dot" w:pos="8630"/>
        </w:tabs>
        <w:rPr>
          <w:noProof/>
          <w:kern w:val="2"/>
          <w:sz w:val="24"/>
          <w:szCs w:val="24"/>
          <w:lang w:eastAsia="fr-BE"/>
          <w14:ligatures w14:val="standardContextual"/>
        </w:rPr>
      </w:pPr>
      <w:hyperlink w:anchor="_Toc233626314" w:history="1">
        <w:r w:rsidRPr="0027322A">
          <w:rPr>
            <w:rStyle w:val="Lienhypertexte"/>
            <w:smallCaps/>
            <w:noProof/>
          </w:rPr>
          <w:t>CC.</w:t>
        </w:r>
        <w:r>
          <w:rPr>
            <w:noProof/>
            <w:kern w:val="2"/>
            <w:sz w:val="24"/>
            <w:szCs w:val="24"/>
            <w:lang w:eastAsia="fr-BE"/>
            <w14:ligatures w14:val="standardContextual"/>
          </w:rPr>
          <w:tab/>
        </w:r>
        <w:r w:rsidRPr="0027322A">
          <w:rPr>
            <w:rStyle w:val="Lienhypertexte"/>
            <w:noProof/>
          </w:rPr>
          <w:t>04008/364-48 Bar à chichas, pipes à eau et assimilés</w:t>
        </w:r>
        <w:r>
          <w:rPr>
            <w:noProof/>
            <w:webHidden/>
          </w:rPr>
          <w:tab/>
        </w:r>
        <w:r>
          <w:rPr>
            <w:noProof/>
            <w:webHidden/>
          </w:rPr>
          <w:fldChar w:fldCharType="begin"/>
        </w:r>
        <w:r>
          <w:rPr>
            <w:noProof/>
            <w:webHidden/>
          </w:rPr>
          <w:instrText xml:space="preserve"> PAGEREF _Toc233626314 \h </w:instrText>
        </w:r>
        <w:r>
          <w:rPr>
            <w:noProof/>
            <w:webHidden/>
          </w:rPr>
        </w:r>
        <w:r>
          <w:rPr>
            <w:noProof/>
            <w:webHidden/>
          </w:rPr>
          <w:fldChar w:fldCharType="separate"/>
        </w:r>
        <w:r w:rsidR="001E3978">
          <w:rPr>
            <w:noProof/>
            <w:webHidden/>
          </w:rPr>
          <w:t>196</w:t>
        </w:r>
        <w:r>
          <w:rPr>
            <w:noProof/>
            <w:webHidden/>
          </w:rPr>
          <w:fldChar w:fldCharType="end"/>
        </w:r>
      </w:hyperlink>
    </w:p>
    <w:p w14:paraId="57F75B17" w14:textId="68E623B5" w:rsidR="00266B1F" w:rsidRDefault="00266B1F">
      <w:pPr>
        <w:pStyle w:val="TM2"/>
        <w:tabs>
          <w:tab w:val="left" w:pos="720"/>
          <w:tab w:val="right" w:leader="dot" w:pos="8630"/>
        </w:tabs>
        <w:rPr>
          <w:noProof/>
          <w:kern w:val="2"/>
          <w:sz w:val="24"/>
          <w:szCs w:val="24"/>
          <w:lang w:eastAsia="fr-BE"/>
          <w14:ligatures w14:val="standardContextual"/>
        </w:rPr>
      </w:pPr>
      <w:hyperlink w:anchor="_Toc233626315" w:history="1">
        <w:r w:rsidRPr="0027322A">
          <w:rPr>
            <w:rStyle w:val="Lienhypertexte"/>
            <w:caps/>
            <w:noProof/>
          </w:rPr>
          <w:t>5.</w:t>
        </w:r>
        <w:r>
          <w:rPr>
            <w:noProof/>
            <w:kern w:val="2"/>
            <w:sz w:val="24"/>
            <w:szCs w:val="24"/>
            <w:lang w:eastAsia="fr-BE"/>
            <w14:ligatures w14:val="standardContextual"/>
          </w:rPr>
          <w:tab/>
        </w:r>
        <w:r w:rsidRPr="0027322A">
          <w:rPr>
            <w:rStyle w:val="Lienhypertexte"/>
            <w:noProof/>
          </w:rPr>
          <w:t>Taxe sur les spectacles et divertissements</w:t>
        </w:r>
        <w:r>
          <w:rPr>
            <w:noProof/>
            <w:webHidden/>
          </w:rPr>
          <w:tab/>
        </w:r>
        <w:r>
          <w:rPr>
            <w:noProof/>
            <w:webHidden/>
          </w:rPr>
          <w:fldChar w:fldCharType="begin"/>
        </w:r>
        <w:r>
          <w:rPr>
            <w:noProof/>
            <w:webHidden/>
          </w:rPr>
          <w:instrText xml:space="preserve"> PAGEREF _Toc233626315 \h </w:instrText>
        </w:r>
        <w:r>
          <w:rPr>
            <w:noProof/>
            <w:webHidden/>
          </w:rPr>
        </w:r>
        <w:r>
          <w:rPr>
            <w:noProof/>
            <w:webHidden/>
          </w:rPr>
          <w:fldChar w:fldCharType="separate"/>
        </w:r>
        <w:r w:rsidR="001E3978">
          <w:rPr>
            <w:noProof/>
            <w:webHidden/>
          </w:rPr>
          <w:t>197</w:t>
        </w:r>
        <w:r>
          <w:rPr>
            <w:noProof/>
            <w:webHidden/>
          </w:rPr>
          <w:fldChar w:fldCharType="end"/>
        </w:r>
      </w:hyperlink>
    </w:p>
    <w:p w14:paraId="476E5CD8" w14:textId="49D80BF7" w:rsidR="00266B1F" w:rsidRDefault="00266B1F">
      <w:pPr>
        <w:pStyle w:val="TM3"/>
        <w:tabs>
          <w:tab w:val="left" w:pos="960"/>
          <w:tab w:val="right" w:leader="dot" w:pos="8630"/>
        </w:tabs>
        <w:rPr>
          <w:noProof/>
          <w:kern w:val="2"/>
          <w:sz w:val="24"/>
          <w:szCs w:val="24"/>
          <w:lang w:eastAsia="fr-BE"/>
          <w14:ligatures w14:val="standardContextual"/>
        </w:rPr>
      </w:pPr>
      <w:hyperlink w:anchor="_Toc233626316"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040/365-01 : Spectacles et divertissements</w:t>
        </w:r>
        <w:r>
          <w:rPr>
            <w:noProof/>
            <w:webHidden/>
          </w:rPr>
          <w:tab/>
        </w:r>
        <w:r>
          <w:rPr>
            <w:noProof/>
            <w:webHidden/>
          </w:rPr>
          <w:fldChar w:fldCharType="begin"/>
        </w:r>
        <w:r>
          <w:rPr>
            <w:noProof/>
            <w:webHidden/>
          </w:rPr>
          <w:instrText xml:space="preserve"> PAGEREF _Toc233626316 \h </w:instrText>
        </w:r>
        <w:r>
          <w:rPr>
            <w:noProof/>
            <w:webHidden/>
          </w:rPr>
        </w:r>
        <w:r>
          <w:rPr>
            <w:noProof/>
            <w:webHidden/>
          </w:rPr>
          <w:fldChar w:fldCharType="separate"/>
        </w:r>
        <w:r w:rsidR="001E3978">
          <w:rPr>
            <w:noProof/>
            <w:webHidden/>
          </w:rPr>
          <w:t>197</w:t>
        </w:r>
        <w:r>
          <w:rPr>
            <w:noProof/>
            <w:webHidden/>
          </w:rPr>
          <w:fldChar w:fldCharType="end"/>
        </w:r>
      </w:hyperlink>
    </w:p>
    <w:p w14:paraId="6FEC9BFD" w14:textId="13D8F2B0" w:rsidR="00266B1F" w:rsidRDefault="00266B1F">
      <w:pPr>
        <w:pStyle w:val="TM3"/>
        <w:tabs>
          <w:tab w:val="left" w:pos="960"/>
          <w:tab w:val="right" w:leader="dot" w:pos="8630"/>
        </w:tabs>
        <w:rPr>
          <w:noProof/>
          <w:kern w:val="2"/>
          <w:sz w:val="24"/>
          <w:szCs w:val="24"/>
          <w:lang w:eastAsia="fr-BE"/>
          <w14:ligatures w14:val="standardContextual"/>
        </w:rPr>
      </w:pPr>
      <w:hyperlink w:anchor="_Toc233626317"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040/365-02 : Dancings</w:t>
        </w:r>
        <w:r>
          <w:rPr>
            <w:noProof/>
            <w:webHidden/>
          </w:rPr>
          <w:tab/>
        </w:r>
        <w:r>
          <w:rPr>
            <w:noProof/>
            <w:webHidden/>
          </w:rPr>
          <w:fldChar w:fldCharType="begin"/>
        </w:r>
        <w:r>
          <w:rPr>
            <w:noProof/>
            <w:webHidden/>
          </w:rPr>
          <w:instrText xml:space="preserve"> PAGEREF _Toc233626317 \h </w:instrText>
        </w:r>
        <w:r>
          <w:rPr>
            <w:noProof/>
            <w:webHidden/>
          </w:rPr>
        </w:r>
        <w:r>
          <w:rPr>
            <w:noProof/>
            <w:webHidden/>
          </w:rPr>
          <w:fldChar w:fldCharType="separate"/>
        </w:r>
        <w:r w:rsidR="001E3978">
          <w:rPr>
            <w:noProof/>
            <w:webHidden/>
          </w:rPr>
          <w:t>199</w:t>
        </w:r>
        <w:r>
          <w:rPr>
            <w:noProof/>
            <w:webHidden/>
          </w:rPr>
          <w:fldChar w:fldCharType="end"/>
        </w:r>
      </w:hyperlink>
    </w:p>
    <w:p w14:paraId="63292AB9" w14:textId="131DCBAE" w:rsidR="00266B1F" w:rsidRDefault="00266B1F">
      <w:pPr>
        <w:pStyle w:val="TM3"/>
        <w:tabs>
          <w:tab w:val="left" w:pos="960"/>
          <w:tab w:val="right" w:leader="dot" w:pos="8630"/>
        </w:tabs>
        <w:rPr>
          <w:noProof/>
          <w:kern w:val="2"/>
          <w:sz w:val="24"/>
          <w:szCs w:val="24"/>
          <w:lang w:eastAsia="fr-BE"/>
          <w14:ligatures w14:val="standardContextual"/>
        </w:rPr>
      </w:pPr>
      <w:hyperlink w:anchor="_Toc233626318"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040/365-08 : Mise à l'eau d'embarcations dans un but commercial</w:t>
        </w:r>
        <w:r>
          <w:rPr>
            <w:noProof/>
            <w:webHidden/>
          </w:rPr>
          <w:tab/>
        </w:r>
        <w:r>
          <w:rPr>
            <w:noProof/>
            <w:webHidden/>
          </w:rPr>
          <w:fldChar w:fldCharType="begin"/>
        </w:r>
        <w:r>
          <w:rPr>
            <w:noProof/>
            <w:webHidden/>
          </w:rPr>
          <w:instrText xml:space="preserve"> PAGEREF _Toc233626318 \h </w:instrText>
        </w:r>
        <w:r>
          <w:rPr>
            <w:noProof/>
            <w:webHidden/>
          </w:rPr>
        </w:r>
        <w:r>
          <w:rPr>
            <w:noProof/>
            <w:webHidden/>
          </w:rPr>
          <w:fldChar w:fldCharType="separate"/>
        </w:r>
        <w:r w:rsidR="001E3978">
          <w:rPr>
            <w:noProof/>
            <w:webHidden/>
          </w:rPr>
          <w:t>200</w:t>
        </w:r>
        <w:r>
          <w:rPr>
            <w:noProof/>
            <w:webHidden/>
          </w:rPr>
          <w:fldChar w:fldCharType="end"/>
        </w:r>
      </w:hyperlink>
    </w:p>
    <w:p w14:paraId="3D58F81D" w14:textId="30E67F01" w:rsidR="00266B1F" w:rsidRDefault="00266B1F">
      <w:pPr>
        <w:pStyle w:val="TM2"/>
        <w:tabs>
          <w:tab w:val="left" w:pos="720"/>
          <w:tab w:val="right" w:leader="dot" w:pos="8630"/>
        </w:tabs>
        <w:rPr>
          <w:noProof/>
          <w:kern w:val="2"/>
          <w:sz w:val="24"/>
          <w:szCs w:val="24"/>
          <w:lang w:eastAsia="fr-BE"/>
          <w14:ligatures w14:val="standardContextual"/>
        </w:rPr>
      </w:pPr>
      <w:hyperlink w:anchor="_Toc233626319" w:history="1">
        <w:r w:rsidRPr="0027322A">
          <w:rPr>
            <w:rStyle w:val="Lienhypertexte"/>
            <w:caps/>
            <w:noProof/>
          </w:rPr>
          <w:t>6.</w:t>
        </w:r>
        <w:r>
          <w:rPr>
            <w:noProof/>
            <w:kern w:val="2"/>
            <w:sz w:val="24"/>
            <w:szCs w:val="24"/>
            <w:lang w:eastAsia="fr-BE"/>
            <w14:ligatures w14:val="standardContextual"/>
          </w:rPr>
          <w:tab/>
        </w:r>
        <w:r w:rsidRPr="0027322A">
          <w:rPr>
            <w:rStyle w:val="Lienhypertexte"/>
            <w:noProof/>
          </w:rPr>
          <w:t>Taxes ou redevances pour l’occupation du domaine public</w:t>
        </w:r>
        <w:r>
          <w:rPr>
            <w:noProof/>
            <w:webHidden/>
          </w:rPr>
          <w:tab/>
        </w:r>
        <w:r>
          <w:rPr>
            <w:noProof/>
            <w:webHidden/>
          </w:rPr>
          <w:fldChar w:fldCharType="begin"/>
        </w:r>
        <w:r>
          <w:rPr>
            <w:noProof/>
            <w:webHidden/>
          </w:rPr>
          <w:instrText xml:space="preserve"> PAGEREF _Toc233626319 \h </w:instrText>
        </w:r>
        <w:r>
          <w:rPr>
            <w:noProof/>
            <w:webHidden/>
          </w:rPr>
        </w:r>
        <w:r>
          <w:rPr>
            <w:noProof/>
            <w:webHidden/>
          </w:rPr>
          <w:fldChar w:fldCharType="separate"/>
        </w:r>
        <w:r w:rsidR="001E3978">
          <w:rPr>
            <w:noProof/>
            <w:webHidden/>
          </w:rPr>
          <w:t>200</w:t>
        </w:r>
        <w:r>
          <w:rPr>
            <w:noProof/>
            <w:webHidden/>
          </w:rPr>
          <w:fldChar w:fldCharType="end"/>
        </w:r>
      </w:hyperlink>
    </w:p>
    <w:p w14:paraId="19334282" w14:textId="2C3A2E35" w:rsidR="00266B1F" w:rsidRDefault="00266B1F">
      <w:pPr>
        <w:pStyle w:val="TM3"/>
        <w:tabs>
          <w:tab w:val="left" w:pos="960"/>
          <w:tab w:val="right" w:leader="dot" w:pos="8630"/>
        </w:tabs>
        <w:rPr>
          <w:noProof/>
          <w:kern w:val="2"/>
          <w:sz w:val="24"/>
          <w:szCs w:val="24"/>
          <w:lang w:eastAsia="fr-BE"/>
          <w14:ligatures w14:val="standardContextual"/>
        </w:rPr>
      </w:pPr>
      <w:hyperlink w:anchor="_Toc233626320"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040/366-01 : Droits d'emplacement sur les marchés</w:t>
        </w:r>
        <w:r>
          <w:rPr>
            <w:noProof/>
            <w:webHidden/>
          </w:rPr>
          <w:tab/>
        </w:r>
        <w:r>
          <w:rPr>
            <w:noProof/>
            <w:webHidden/>
          </w:rPr>
          <w:fldChar w:fldCharType="begin"/>
        </w:r>
        <w:r>
          <w:rPr>
            <w:noProof/>
            <w:webHidden/>
          </w:rPr>
          <w:instrText xml:space="preserve"> PAGEREF _Toc233626320 \h </w:instrText>
        </w:r>
        <w:r>
          <w:rPr>
            <w:noProof/>
            <w:webHidden/>
          </w:rPr>
        </w:r>
        <w:r>
          <w:rPr>
            <w:noProof/>
            <w:webHidden/>
          </w:rPr>
          <w:fldChar w:fldCharType="separate"/>
        </w:r>
        <w:r w:rsidR="001E3978">
          <w:rPr>
            <w:noProof/>
            <w:webHidden/>
          </w:rPr>
          <w:t>200</w:t>
        </w:r>
        <w:r>
          <w:rPr>
            <w:noProof/>
            <w:webHidden/>
          </w:rPr>
          <w:fldChar w:fldCharType="end"/>
        </w:r>
      </w:hyperlink>
    </w:p>
    <w:p w14:paraId="5E8B4420" w14:textId="025101DA" w:rsidR="00266B1F" w:rsidRDefault="00266B1F">
      <w:pPr>
        <w:pStyle w:val="TM3"/>
        <w:tabs>
          <w:tab w:val="left" w:pos="960"/>
          <w:tab w:val="right" w:leader="dot" w:pos="8630"/>
        </w:tabs>
        <w:rPr>
          <w:noProof/>
          <w:kern w:val="2"/>
          <w:sz w:val="24"/>
          <w:szCs w:val="24"/>
          <w:lang w:eastAsia="fr-BE"/>
          <w14:ligatures w14:val="standardContextual"/>
        </w:rPr>
      </w:pPr>
      <w:hyperlink w:anchor="_Toc233626321"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040/366-03 : Loges foraines, loges mobiles et loges servant au logement sur la voie publique</w:t>
        </w:r>
        <w:r>
          <w:rPr>
            <w:noProof/>
            <w:webHidden/>
          </w:rPr>
          <w:tab/>
        </w:r>
        <w:r>
          <w:rPr>
            <w:noProof/>
            <w:webHidden/>
          </w:rPr>
          <w:fldChar w:fldCharType="begin"/>
        </w:r>
        <w:r>
          <w:rPr>
            <w:noProof/>
            <w:webHidden/>
          </w:rPr>
          <w:instrText xml:space="preserve"> PAGEREF _Toc233626321 \h </w:instrText>
        </w:r>
        <w:r>
          <w:rPr>
            <w:noProof/>
            <w:webHidden/>
          </w:rPr>
        </w:r>
        <w:r>
          <w:rPr>
            <w:noProof/>
            <w:webHidden/>
          </w:rPr>
          <w:fldChar w:fldCharType="separate"/>
        </w:r>
        <w:r w:rsidR="001E3978">
          <w:rPr>
            <w:noProof/>
            <w:webHidden/>
          </w:rPr>
          <w:t>201</w:t>
        </w:r>
        <w:r>
          <w:rPr>
            <w:noProof/>
            <w:webHidden/>
          </w:rPr>
          <w:fldChar w:fldCharType="end"/>
        </w:r>
      </w:hyperlink>
    </w:p>
    <w:p w14:paraId="1FC163BB" w14:textId="124BE56D" w:rsidR="00266B1F" w:rsidRDefault="00266B1F">
      <w:pPr>
        <w:pStyle w:val="TM3"/>
        <w:tabs>
          <w:tab w:val="left" w:pos="960"/>
          <w:tab w:val="right" w:leader="dot" w:pos="8630"/>
        </w:tabs>
        <w:rPr>
          <w:noProof/>
          <w:kern w:val="2"/>
          <w:sz w:val="24"/>
          <w:szCs w:val="24"/>
          <w:lang w:eastAsia="fr-BE"/>
          <w14:ligatures w14:val="standardContextual"/>
        </w:rPr>
      </w:pPr>
      <w:hyperlink w:anchor="_Toc233626322"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040/366-05 : Droit de quai</w:t>
        </w:r>
        <w:r>
          <w:rPr>
            <w:noProof/>
            <w:webHidden/>
          </w:rPr>
          <w:tab/>
        </w:r>
        <w:r>
          <w:rPr>
            <w:noProof/>
            <w:webHidden/>
          </w:rPr>
          <w:fldChar w:fldCharType="begin"/>
        </w:r>
        <w:r>
          <w:rPr>
            <w:noProof/>
            <w:webHidden/>
          </w:rPr>
          <w:instrText xml:space="preserve"> PAGEREF _Toc233626322 \h </w:instrText>
        </w:r>
        <w:r>
          <w:rPr>
            <w:noProof/>
            <w:webHidden/>
          </w:rPr>
        </w:r>
        <w:r>
          <w:rPr>
            <w:noProof/>
            <w:webHidden/>
          </w:rPr>
          <w:fldChar w:fldCharType="separate"/>
        </w:r>
        <w:r w:rsidR="001E3978">
          <w:rPr>
            <w:noProof/>
            <w:webHidden/>
          </w:rPr>
          <w:t>202</w:t>
        </w:r>
        <w:r>
          <w:rPr>
            <w:noProof/>
            <w:webHidden/>
          </w:rPr>
          <w:fldChar w:fldCharType="end"/>
        </w:r>
      </w:hyperlink>
    </w:p>
    <w:p w14:paraId="591BCA2F" w14:textId="03074EAF" w:rsidR="00266B1F" w:rsidRDefault="00266B1F">
      <w:pPr>
        <w:pStyle w:val="TM3"/>
        <w:tabs>
          <w:tab w:val="left" w:pos="960"/>
          <w:tab w:val="right" w:leader="dot" w:pos="8630"/>
        </w:tabs>
        <w:rPr>
          <w:noProof/>
          <w:kern w:val="2"/>
          <w:sz w:val="24"/>
          <w:szCs w:val="24"/>
          <w:lang w:eastAsia="fr-BE"/>
          <w14:ligatures w14:val="standardContextual"/>
        </w:rPr>
      </w:pPr>
      <w:hyperlink w:anchor="_Toc233626323"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040/366-06 : Placement de terrasses, de tables et de chaises</w:t>
        </w:r>
        <w:r>
          <w:rPr>
            <w:noProof/>
            <w:webHidden/>
          </w:rPr>
          <w:tab/>
        </w:r>
        <w:r>
          <w:rPr>
            <w:noProof/>
            <w:webHidden/>
          </w:rPr>
          <w:fldChar w:fldCharType="begin"/>
        </w:r>
        <w:r>
          <w:rPr>
            <w:noProof/>
            <w:webHidden/>
          </w:rPr>
          <w:instrText xml:space="preserve"> PAGEREF _Toc233626323 \h </w:instrText>
        </w:r>
        <w:r>
          <w:rPr>
            <w:noProof/>
            <w:webHidden/>
          </w:rPr>
        </w:r>
        <w:r>
          <w:rPr>
            <w:noProof/>
            <w:webHidden/>
          </w:rPr>
          <w:fldChar w:fldCharType="separate"/>
        </w:r>
        <w:r w:rsidR="001E3978">
          <w:rPr>
            <w:noProof/>
            <w:webHidden/>
          </w:rPr>
          <w:t>202</w:t>
        </w:r>
        <w:r>
          <w:rPr>
            <w:noProof/>
            <w:webHidden/>
          </w:rPr>
          <w:fldChar w:fldCharType="end"/>
        </w:r>
      </w:hyperlink>
    </w:p>
    <w:p w14:paraId="1A285155" w14:textId="36DB5996" w:rsidR="00266B1F" w:rsidRDefault="00266B1F">
      <w:pPr>
        <w:pStyle w:val="TM3"/>
        <w:tabs>
          <w:tab w:val="left" w:pos="960"/>
          <w:tab w:val="right" w:leader="dot" w:pos="8630"/>
        </w:tabs>
        <w:rPr>
          <w:noProof/>
          <w:kern w:val="2"/>
          <w:sz w:val="24"/>
          <w:szCs w:val="24"/>
          <w:lang w:eastAsia="fr-BE"/>
          <w14:ligatures w14:val="standardContextual"/>
        </w:rPr>
      </w:pPr>
      <w:hyperlink w:anchor="_Toc233626324"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040/366-07 : Parking</w:t>
        </w:r>
        <w:r>
          <w:rPr>
            <w:noProof/>
            <w:webHidden/>
          </w:rPr>
          <w:tab/>
        </w:r>
        <w:r>
          <w:rPr>
            <w:noProof/>
            <w:webHidden/>
          </w:rPr>
          <w:fldChar w:fldCharType="begin"/>
        </w:r>
        <w:r>
          <w:rPr>
            <w:noProof/>
            <w:webHidden/>
          </w:rPr>
          <w:instrText xml:space="preserve"> PAGEREF _Toc233626324 \h </w:instrText>
        </w:r>
        <w:r>
          <w:rPr>
            <w:noProof/>
            <w:webHidden/>
          </w:rPr>
        </w:r>
        <w:r>
          <w:rPr>
            <w:noProof/>
            <w:webHidden/>
          </w:rPr>
          <w:fldChar w:fldCharType="separate"/>
        </w:r>
        <w:r w:rsidR="001E3978">
          <w:rPr>
            <w:noProof/>
            <w:webHidden/>
          </w:rPr>
          <w:t>202</w:t>
        </w:r>
        <w:r>
          <w:rPr>
            <w:noProof/>
            <w:webHidden/>
          </w:rPr>
          <w:fldChar w:fldCharType="end"/>
        </w:r>
      </w:hyperlink>
    </w:p>
    <w:p w14:paraId="17C4DEB5" w14:textId="1FD08DFE" w:rsidR="00266B1F" w:rsidRDefault="00266B1F">
      <w:pPr>
        <w:pStyle w:val="TM3"/>
        <w:tabs>
          <w:tab w:val="left" w:pos="960"/>
          <w:tab w:val="right" w:leader="dot" w:pos="8630"/>
        </w:tabs>
        <w:rPr>
          <w:noProof/>
          <w:kern w:val="2"/>
          <w:sz w:val="24"/>
          <w:szCs w:val="24"/>
          <w:lang w:eastAsia="fr-BE"/>
          <w14:ligatures w14:val="standardContextual"/>
        </w:rPr>
      </w:pPr>
      <w:hyperlink w:anchor="_Toc233626325" w:history="1">
        <w:r w:rsidRPr="0027322A">
          <w:rPr>
            <w:rStyle w:val="Lienhypertexte"/>
            <w:smallCaps/>
            <w:noProof/>
          </w:rPr>
          <w:t>F.</w:t>
        </w:r>
        <w:r>
          <w:rPr>
            <w:noProof/>
            <w:kern w:val="2"/>
            <w:sz w:val="24"/>
            <w:szCs w:val="24"/>
            <w:lang w:eastAsia="fr-BE"/>
            <w14:ligatures w14:val="standardContextual"/>
          </w:rPr>
          <w:tab/>
        </w:r>
        <w:r w:rsidRPr="0027322A">
          <w:rPr>
            <w:rStyle w:val="Lienhypertexte"/>
            <w:noProof/>
          </w:rPr>
          <w:t>040/366-08 : Stationnement de taxis et voitures de louage</w:t>
        </w:r>
        <w:r>
          <w:rPr>
            <w:noProof/>
            <w:webHidden/>
          </w:rPr>
          <w:tab/>
        </w:r>
        <w:r>
          <w:rPr>
            <w:noProof/>
            <w:webHidden/>
          </w:rPr>
          <w:fldChar w:fldCharType="begin"/>
        </w:r>
        <w:r>
          <w:rPr>
            <w:noProof/>
            <w:webHidden/>
          </w:rPr>
          <w:instrText xml:space="preserve"> PAGEREF _Toc233626325 \h </w:instrText>
        </w:r>
        <w:r>
          <w:rPr>
            <w:noProof/>
            <w:webHidden/>
          </w:rPr>
        </w:r>
        <w:r>
          <w:rPr>
            <w:noProof/>
            <w:webHidden/>
          </w:rPr>
          <w:fldChar w:fldCharType="separate"/>
        </w:r>
        <w:r w:rsidR="001E3978">
          <w:rPr>
            <w:noProof/>
            <w:webHidden/>
          </w:rPr>
          <w:t>205</w:t>
        </w:r>
        <w:r>
          <w:rPr>
            <w:noProof/>
            <w:webHidden/>
          </w:rPr>
          <w:fldChar w:fldCharType="end"/>
        </w:r>
      </w:hyperlink>
    </w:p>
    <w:p w14:paraId="76A07B66" w14:textId="2D836AFB" w:rsidR="00266B1F" w:rsidRDefault="00266B1F">
      <w:pPr>
        <w:pStyle w:val="TM3"/>
        <w:tabs>
          <w:tab w:val="left" w:pos="960"/>
          <w:tab w:val="right" w:leader="dot" w:pos="8630"/>
        </w:tabs>
        <w:rPr>
          <w:noProof/>
          <w:kern w:val="2"/>
          <w:sz w:val="24"/>
          <w:szCs w:val="24"/>
          <w:lang w:eastAsia="fr-BE"/>
          <w14:ligatures w14:val="standardContextual"/>
        </w:rPr>
      </w:pPr>
      <w:hyperlink w:anchor="_Toc233626326" w:history="1">
        <w:r w:rsidRPr="0027322A">
          <w:rPr>
            <w:rStyle w:val="Lienhypertexte"/>
            <w:smallCaps/>
            <w:noProof/>
          </w:rPr>
          <w:t>G.</w:t>
        </w:r>
        <w:r>
          <w:rPr>
            <w:noProof/>
            <w:kern w:val="2"/>
            <w:sz w:val="24"/>
            <w:szCs w:val="24"/>
            <w:lang w:eastAsia="fr-BE"/>
            <w14:ligatures w14:val="standardContextual"/>
          </w:rPr>
          <w:tab/>
        </w:r>
        <w:r w:rsidRPr="0027322A">
          <w:rPr>
            <w:rStyle w:val="Lienhypertexte"/>
            <w:noProof/>
          </w:rPr>
          <w:t>040/366-09 : Commerces de frites - kiosques à journaux sur la voie publique</w:t>
        </w:r>
        <w:r>
          <w:rPr>
            <w:noProof/>
            <w:webHidden/>
          </w:rPr>
          <w:tab/>
        </w:r>
        <w:r>
          <w:rPr>
            <w:noProof/>
            <w:webHidden/>
          </w:rPr>
          <w:fldChar w:fldCharType="begin"/>
        </w:r>
        <w:r>
          <w:rPr>
            <w:noProof/>
            <w:webHidden/>
          </w:rPr>
          <w:instrText xml:space="preserve"> PAGEREF _Toc233626326 \h </w:instrText>
        </w:r>
        <w:r>
          <w:rPr>
            <w:noProof/>
            <w:webHidden/>
          </w:rPr>
        </w:r>
        <w:r>
          <w:rPr>
            <w:noProof/>
            <w:webHidden/>
          </w:rPr>
          <w:fldChar w:fldCharType="separate"/>
        </w:r>
        <w:r w:rsidR="001E3978">
          <w:rPr>
            <w:noProof/>
            <w:webHidden/>
          </w:rPr>
          <w:t>205</w:t>
        </w:r>
        <w:r>
          <w:rPr>
            <w:noProof/>
            <w:webHidden/>
          </w:rPr>
          <w:fldChar w:fldCharType="end"/>
        </w:r>
      </w:hyperlink>
    </w:p>
    <w:p w14:paraId="05AAFA5C" w14:textId="4FAE61AC" w:rsidR="00266B1F" w:rsidRDefault="00266B1F">
      <w:pPr>
        <w:pStyle w:val="TM2"/>
        <w:tabs>
          <w:tab w:val="left" w:pos="720"/>
          <w:tab w:val="right" w:leader="dot" w:pos="8630"/>
        </w:tabs>
        <w:rPr>
          <w:noProof/>
          <w:kern w:val="2"/>
          <w:sz w:val="24"/>
          <w:szCs w:val="24"/>
          <w:lang w:eastAsia="fr-BE"/>
          <w14:ligatures w14:val="standardContextual"/>
        </w:rPr>
      </w:pPr>
      <w:hyperlink w:anchor="_Toc233626327" w:history="1">
        <w:r w:rsidRPr="0027322A">
          <w:rPr>
            <w:rStyle w:val="Lienhypertexte"/>
            <w:caps/>
            <w:noProof/>
          </w:rPr>
          <w:t>7.</w:t>
        </w:r>
        <w:r>
          <w:rPr>
            <w:noProof/>
            <w:kern w:val="2"/>
            <w:sz w:val="24"/>
            <w:szCs w:val="24"/>
            <w:lang w:eastAsia="fr-BE"/>
            <w14:ligatures w14:val="standardContextual"/>
          </w:rPr>
          <w:tab/>
        </w:r>
        <w:r w:rsidRPr="0027322A">
          <w:rPr>
            <w:rStyle w:val="Lienhypertexte"/>
            <w:noProof/>
          </w:rPr>
          <w:t>Taxes sur le patrimoine</w:t>
        </w:r>
        <w:r>
          <w:rPr>
            <w:noProof/>
            <w:webHidden/>
          </w:rPr>
          <w:tab/>
        </w:r>
        <w:r>
          <w:rPr>
            <w:noProof/>
            <w:webHidden/>
          </w:rPr>
          <w:fldChar w:fldCharType="begin"/>
        </w:r>
        <w:r>
          <w:rPr>
            <w:noProof/>
            <w:webHidden/>
          </w:rPr>
          <w:instrText xml:space="preserve"> PAGEREF _Toc233626327 \h </w:instrText>
        </w:r>
        <w:r>
          <w:rPr>
            <w:noProof/>
            <w:webHidden/>
          </w:rPr>
        </w:r>
        <w:r>
          <w:rPr>
            <w:noProof/>
            <w:webHidden/>
          </w:rPr>
          <w:fldChar w:fldCharType="separate"/>
        </w:r>
        <w:r w:rsidR="001E3978">
          <w:rPr>
            <w:noProof/>
            <w:webHidden/>
          </w:rPr>
          <w:t>206</w:t>
        </w:r>
        <w:r>
          <w:rPr>
            <w:noProof/>
            <w:webHidden/>
          </w:rPr>
          <w:fldChar w:fldCharType="end"/>
        </w:r>
      </w:hyperlink>
    </w:p>
    <w:p w14:paraId="0B534A1B" w14:textId="62095812" w:rsidR="00266B1F" w:rsidRDefault="00266B1F">
      <w:pPr>
        <w:pStyle w:val="TM3"/>
        <w:tabs>
          <w:tab w:val="left" w:pos="960"/>
          <w:tab w:val="right" w:leader="dot" w:pos="8630"/>
        </w:tabs>
        <w:rPr>
          <w:noProof/>
          <w:kern w:val="2"/>
          <w:sz w:val="24"/>
          <w:szCs w:val="24"/>
          <w:lang w:eastAsia="fr-BE"/>
          <w14:ligatures w14:val="standardContextual"/>
        </w:rPr>
      </w:pPr>
      <w:hyperlink w:anchor="_Toc233626328"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04001/367-09 : Parcelles non bâties dans le périmètre d’urbanisation non périmé</w:t>
        </w:r>
        <w:r>
          <w:rPr>
            <w:noProof/>
            <w:webHidden/>
          </w:rPr>
          <w:tab/>
        </w:r>
        <w:r>
          <w:rPr>
            <w:noProof/>
            <w:webHidden/>
          </w:rPr>
          <w:fldChar w:fldCharType="begin"/>
        </w:r>
        <w:r>
          <w:rPr>
            <w:noProof/>
            <w:webHidden/>
          </w:rPr>
          <w:instrText xml:space="preserve"> PAGEREF _Toc233626328 \h </w:instrText>
        </w:r>
        <w:r>
          <w:rPr>
            <w:noProof/>
            <w:webHidden/>
          </w:rPr>
        </w:r>
        <w:r>
          <w:rPr>
            <w:noProof/>
            <w:webHidden/>
          </w:rPr>
          <w:fldChar w:fldCharType="separate"/>
        </w:r>
        <w:r w:rsidR="001E3978">
          <w:rPr>
            <w:noProof/>
            <w:webHidden/>
          </w:rPr>
          <w:t>206</w:t>
        </w:r>
        <w:r>
          <w:rPr>
            <w:noProof/>
            <w:webHidden/>
          </w:rPr>
          <w:fldChar w:fldCharType="end"/>
        </w:r>
      </w:hyperlink>
    </w:p>
    <w:p w14:paraId="154EA782" w14:textId="4838B37E" w:rsidR="00266B1F" w:rsidRDefault="00266B1F">
      <w:pPr>
        <w:pStyle w:val="TM3"/>
        <w:tabs>
          <w:tab w:val="left" w:pos="960"/>
          <w:tab w:val="right" w:leader="dot" w:pos="8630"/>
        </w:tabs>
        <w:rPr>
          <w:noProof/>
          <w:kern w:val="2"/>
          <w:sz w:val="24"/>
          <w:szCs w:val="24"/>
          <w:lang w:eastAsia="fr-BE"/>
          <w14:ligatures w14:val="standardContextual"/>
        </w:rPr>
      </w:pPr>
      <w:hyperlink w:anchor="_Toc233626329"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04002/367-09 : Parcelles non bâties en bordure d’une voie publique suffisamment équipée</w:t>
        </w:r>
        <w:r>
          <w:rPr>
            <w:noProof/>
            <w:webHidden/>
          </w:rPr>
          <w:tab/>
        </w:r>
        <w:r>
          <w:rPr>
            <w:noProof/>
            <w:webHidden/>
          </w:rPr>
          <w:fldChar w:fldCharType="begin"/>
        </w:r>
        <w:r>
          <w:rPr>
            <w:noProof/>
            <w:webHidden/>
          </w:rPr>
          <w:instrText xml:space="preserve"> PAGEREF _Toc233626329 \h </w:instrText>
        </w:r>
        <w:r>
          <w:rPr>
            <w:noProof/>
            <w:webHidden/>
          </w:rPr>
        </w:r>
        <w:r>
          <w:rPr>
            <w:noProof/>
            <w:webHidden/>
          </w:rPr>
          <w:fldChar w:fldCharType="separate"/>
        </w:r>
        <w:r w:rsidR="001E3978">
          <w:rPr>
            <w:noProof/>
            <w:webHidden/>
          </w:rPr>
          <w:t>207</w:t>
        </w:r>
        <w:r>
          <w:rPr>
            <w:noProof/>
            <w:webHidden/>
          </w:rPr>
          <w:fldChar w:fldCharType="end"/>
        </w:r>
      </w:hyperlink>
    </w:p>
    <w:p w14:paraId="057CD476" w14:textId="4A55047B" w:rsidR="00266B1F" w:rsidRDefault="00266B1F">
      <w:pPr>
        <w:pStyle w:val="TM3"/>
        <w:tabs>
          <w:tab w:val="left" w:pos="960"/>
          <w:tab w:val="right" w:leader="dot" w:pos="8630"/>
        </w:tabs>
        <w:rPr>
          <w:noProof/>
          <w:kern w:val="2"/>
          <w:sz w:val="24"/>
          <w:szCs w:val="24"/>
          <w:lang w:eastAsia="fr-BE"/>
          <w14:ligatures w14:val="standardContextual"/>
        </w:rPr>
      </w:pPr>
      <w:hyperlink w:anchor="_Toc233626330"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04003/367-09 : Terrains non bâtis dans les centralités</w:t>
        </w:r>
        <w:r>
          <w:rPr>
            <w:noProof/>
            <w:webHidden/>
          </w:rPr>
          <w:tab/>
        </w:r>
        <w:r>
          <w:rPr>
            <w:noProof/>
            <w:webHidden/>
          </w:rPr>
          <w:fldChar w:fldCharType="begin"/>
        </w:r>
        <w:r>
          <w:rPr>
            <w:noProof/>
            <w:webHidden/>
          </w:rPr>
          <w:instrText xml:space="preserve"> PAGEREF _Toc233626330 \h </w:instrText>
        </w:r>
        <w:r>
          <w:rPr>
            <w:noProof/>
            <w:webHidden/>
          </w:rPr>
        </w:r>
        <w:r>
          <w:rPr>
            <w:noProof/>
            <w:webHidden/>
          </w:rPr>
          <w:fldChar w:fldCharType="separate"/>
        </w:r>
        <w:r w:rsidR="001E3978">
          <w:rPr>
            <w:noProof/>
            <w:webHidden/>
          </w:rPr>
          <w:t>209</w:t>
        </w:r>
        <w:r>
          <w:rPr>
            <w:noProof/>
            <w:webHidden/>
          </w:rPr>
          <w:fldChar w:fldCharType="end"/>
        </w:r>
      </w:hyperlink>
    </w:p>
    <w:p w14:paraId="20EF691E" w14:textId="37DF26F9" w:rsidR="00266B1F" w:rsidRDefault="00266B1F">
      <w:pPr>
        <w:pStyle w:val="TM3"/>
        <w:tabs>
          <w:tab w:val="left" w:pos="960"/>
          <w:tab w:val="right" w:leader="dot" w:pos="8630"/>
        </w:tabs>
        <w:rPr>
          <w:noProof/>
          <w:kern w:val="2"/>
          <w:sz w:val="24"/>
          <w:szCs w:val="24"/>
          <w:lang w:eastAsia="fr-BE"/>
          <w14:ligatures w14:val="standardContextual"/>
        </w:rPr>
      </w:pPr>
      <w:hyperlink w:anchor="_Toc233626331"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040/367-11 : Absence d’emplacement de parcage</w:t>
        </w:r>
        <w:r>
          <w:rPr>
            <w:noProof/>
            <w:webHidden/>
          </w:rPr>
          <w:tab/>
        </w:r>
        <w:r>
          <w:rPr>
            <w:noProof/>
            <w:webHidden/>
          </w:rPr>
          <w:fldChar w:fldCharType="begin"/>
        </w:r>
        <w:r>
          <w:rPr>
            <w:noProof/>
            <w:webHidden/>
          </w:rPr>
          <w:instrText xml:space="preserve"> PAGEREF _Toc233626331 \h </w:instrText>
        </w:r>
        <w:r>
          <w:rPr>
            <w:noProof/>
            <w:webHidden/>
          </w:rPr>
        </w:r>
        <w:r>
          <w:rPr>
            <w:noProof/>
            <w:webHidden/>
          </w:rPr>
          <w:fldChar w:fldCharType="separate"/>
        </w:r>
        <w:r w:rsidR="001E3978">
          <w:rPr>
            <w:noProof/>
            <w:webHidden/>
          </w:rPr>
          <w:t>210</w:t>
        </w:r>
        <w:r>
          <w:rPr>
            <w:noProof/>
            <w:webHidden/>
          </w:rPr>
          <w:fldChar w:fldCharType="end"/>
        </w:r>
      </w:hyperlink>
    </w:p>
    <w:p w14:paraId="1BA06ADC" w14:textId="63242C0F" w:rsidR="00266B1F" w:rsidRDefault="00266B1F">
      <w:pPr>
        <w:pStyle w:val="TM3"/>
        <w:tabs>
          <w:tab w:val="left" w:pos="960"/>
          <w:tab w:val="right" w:leader="dot" w:pos="8630"/>
        </w:tabs>
        <w:rPr>
          <w:noProof/>
          <w:kern w:val="2"/>
          <w:sz w:val="24"/>
          <w:szCs w:val="24"/>
          <w:lang w:eastAsia="fr-BE"/>
          <w14:ligatures w14:val="standardContextual"/>
        </w:rPr>
      </w:pPr>
      <w:hyperlink w:anchor="_Toc233626332"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040/367-13 : Secondes résidences</w:t>
        </w:r>
        <w:r>
          <w:rPr>
            <w:noProof/>
            <w:webHidden/>
          </w:rPr>
          <w:tab/>
        </w:r>
        <w:r>
          <w:rPr>
            <w:noProof/>
            <w:webHidden/>
          </w:rPr>
          <w:fldChar w:fldCharType="begin"/>
        </w:r>
        <w:r>
          <w:rPr>
            <w:noProof/>
            <w:webHidden/>
          </w:rPr>
          <w:instrText xml:space="preserve"> PAGEREF _Toc233626332 \h </w:instrText>
        </w:r>
        <w:r>
          <w:rPr>
            <w:noProof/>
            <w:webHidden/>
          </w:rPr>
        </w:r>
        <w:r>
          <w:rPr>
            <w:noProof/>
            <w:webHidden/>
          </w:rPr>
          <w:fldChar w:fldCharType="separate"/>
        </w:r>
        <w:r w:rsidR="001E3978">
          <w:rPr>
            <w:noProof/>
            <w:webHidden/>
          </w:rPr>
          <w:t>211</w:t>
        </w:r>
        <w:r>
          <w:rPr>
            <w:noProof/>
            <w:webHidden/>
          </w:rPr>
          <w:fldChar w:fldCharType="end"/>
        </w:r>
      </w:hyperlink>
    </w:p>
    <w:p w14:paraId="74302DEB" w14:textId="105CE4D4" w:rsidR="00266B1F" w:rsidRDefault="00266B1F">
      <w:pPr>
        <w:pStyle w:val="TM3"/>
        <w:tabs>
          <w:tab w:val="left" w:pos="960"/>
          <w:tab w:val="right" w:leader="dot" w:pos="8630"/>
        </w:tabs>
        <w:rPr>
          <w:noProof/>
          <w:kern w:val="2"/>
          <w:sz w:val="24"/>
          <w:szCs w:val="24"/>
          <w:lang w:eastAsia="fr-BE"/>
          <w14:ligatures w14:val="standardContextual"/>
        </w:rPr>
      </w:pPr>
      <w:hyperlink w:anchor="_Toc233626333" w:history="1">
        <w:r w:rsidRPr="0027322A">
          <w:rPr>
            <w:rStyle w:val="Lienhypertexte"/>
            <w:smallCaps/>
            <w:noProof/>
          </w:rPr>
          <w:t>F.</w:t>
        </w:r>
        <w:r>
          <w:rPr>
            <w:noProof/>
            <w:kern w:val="2"/>
            <w:sz w:val="24"/>
            <w:szCs w:val="24"/>
            <w:lang w:eastAsia="fr-BE"/>
            <w14:ligatures w14:val="standardContextual"/>
          </w:rPr>
          <w:tab/>
        </w:r>
        <w:r w:rsidRPr="0027322A">
          <w:rPr>
            <w:rStyle w:val="Lienhypertexte"/>
            <w:noProof/>
          </w:rPr>
          <w:t>040/367-15 : Immeubles inoccupés et/ou délabrés</w:t>
        </w:r>
        <w:r>
          <w:rPr>
            <w:noProof/>
            <w:webHidden/>
          </w:rPr>
          <w:tab/>
        </w:r>
        <w:r>
          <w:rPr>
            <w:noProof/>
            <w:webHidden/>
          </w:rPr>
          <w:fldChar w:fldCharType="begin"/>
        </w:r>
        <w:r>
          <w:rPr>
            <w:noProof/>
            <w:webHidden/>
          </w:rPr>
          <w:instrText xml:space="preserve"> PAGEREF _Toc233626333 \h </w:instrText>
        </w:r>
        <w:r>
          <w:rPr>
            <w:noProof/>
            <w:webHidden/>
          </w:rPr>
        </w:r>
        <w:r>
          <w:rPr>
            <w:noProof/>
            <w:webHidden/>
          </w:rPr>
          <w:fldChar w:fldCharType="separate"/>
        </w:r>
        <w:r w:rsidR="001E3978">
          <w:rPr>
            <w:noProof/>
            <w:webHidden/>
          </w:rPr>
          <w:t>214</w:t>
        </w:r>
        <w:r>
          <w:rPr>
            <w:noProof/>
            <w:webHidden/>
          </w:rPr>
          <w:fldChar w:fldCharType="end"/>
        </w:r>
      </w:hyperlink>
    </w:p>
    <w:p w14:paraId="775E92D1" w14:textId="20232F60" w:rsidR="00266B1F" w:rsidRDefault="00266B1F">
      <w:pPr>
        <w:pStyle w:val="TM3"/>
        <w:tabs>
          <w:tab w:val="left" w:pos="960"/>
          <w:tab w:val="right" w:leader="dot" w:pos="8630"/>
        </w:tabs>
        <w:rPr>
          <w:noProof/>
          <w:kern w:val="2"/>
          <w:sz w:val="24"/>
          <w:szCs w:val="24"/>
          <w:lang w:eastAsia="fr-BE"/>
          <w14:ligatures w14:val="standardContextual"/>
        </w:rPr>
      </w:pPr>
      <w:hyperlink w:anchor="_Toc233626334" w:history="1">
        <w:r w:rsidRPr="0027322A">
          <w:rPr>
            <w:rStyle w:val="Lienhypertexte"/>
            <w:smallCaps/>
            <w:noProof/>
          </w:rPr>
          <w:t>G.</w:t>
        </w:r>
        <w:r>
          <w:rPr>
            <w:noProof/>
            <w:kern w:val="2"/>
            <w:sz w:val="24"/>
            <w:szCs w:val="24"/>
            <w:lang w:eastAsia="fr-BE"/>
            <w14:ligatures w14:val="standardContextual"/>
          </w:rPr>
          <w:tab/>
        </w:r>
        <w:r w:rsidRPr="0027322A">
          <w:rPr>
            <w:rStyle w:val="Lienhypertexte"/>
            <w:noProof/>
          </w:rPr>
          <w:t>040/367-18 : Piscines privées</w:t>
        </w:r>
        <w:r>
          <w:rPr>
            <w:noProof/>
            <w:webHidden/>
          </w:rPr>
          <w:tab/>
        </w:r>
        <w:r>
          <w:rPr>
            <w:noProof/>
            <w:webHidden/>
          </w:rPr>
          <w:fldChar w:fldCharType="begin"/>
        </w:r>
        <w:r>
          <w:rPr>
            <w:noProof/>
            <w:webHidden/>
          </w:rPr>
          <w:instrText xml:space="preserve"> PAGEREF _Toc233626334 \h </w:instrText>
        </w:r>
        <w:r>
          <w:rPr>
            <w:noProof/>
            <w:webHidden/>
          </w:rPr>
        </w:r>
        <w:r>
          <w:rPr>
            <w:noProof/>
            <w:webHidden/>
          </w:rPr>
          <w:fldChar w:fldCharType="separate"/>
        </w:r>
        <w:r w:rsidR="001E3978">
          <w:rPr>
            <w:noProof/>
            <w:webHidden/>
          </w:rPr>
          <w:t>225</w:t>
        </w:r>
        <w:r>
          <w:rPr>
            <w:noProof/>
            <w:webHidden/>
          </w:rPr>
          <w:fldChar w:fldCharType="end"/>
        </w:r>
      </w:hyperlink>
    </w:p>
    <w:p w14:paraId="02336546" w14:textId="4187DC59" w:rsidR="00266B1F" w:rsidRDefault="00266B1F">
      <w:pPr>
        <w:pStyle w:val="TM3"/>
        <w:tabs>
          <w:tab w:val="left" w:pos="960"/>
          <w:tab w:val="right" w:leader="dot" w:pos="8630"/>
        </w:tabs>
        <w:rPr>
          <w:noProof/>
          <w:kern w:val="2"/>
          <w:sz w:val="24"/>
          <w:szCs w:val="24"/>
          <w:lang w:eastAsia="fr-BE"/>
          <w14:ligatures w14:val="standardContextual"/>
        </w:rPr>
      </w:pPr>
      <w:hyperlink w:anchor="_Toc233626335" w:history="1">
        <w:r w:rsidRPr="0027322A">
          <w:rPr>
            <w:rStyle w:val="Lienhypertexte"/>
            <w:smallCaps/>
            <w:noProof/>
          </w:rPr>
          <w:t>H.</w:t>
        </w:r>
        <w:r>
          <w:rPr>
            <w:noProof/>
            <w:kern w:val="2"/>
            <w:sz w:val="24"/>
            <w:szCs w:val="24"/>
            <w:lang w:eastAsia="fr-BE"/>
            <w14:ligatures w14:val="standardContextual"/>
          </w:rPr>
          <w:tab/>
        </w:r>
        <w:r w:rsidRPr="0027322A">
          <w:rPr>
            <w:rStyle w:val="Lienhypertexte"/>
            <w:noProof/>
          </w:rPr>
          <w:t>040/367-19 : Surfaces de bureau et locaux affectés à l'exercice d'une profession libérale</w:t>
        </w:r>
        <w:r>
          <w:rPr>
            <w:noProof/>
            <w:webHidden/>
          </w:rPr>
          <w:tab/>
        </w:r>
        <w:r>
          <w:rPr>
            <w:noProof/>
            <w:webHidden/>
          </w:rPr>
          <w:fldChar w:fldCharType="begin"/>
        </w:r>
        <w:r>
          <w:rPr>
            <w:noProof/>
            <w:webHidden/>
          </w:rPr>
          <w:instrText xml:space="preserve"> PAGEREF _Toc233626335 \h </w:instrText>
        </w:r>
        <w:r>
          <w:rPr>
            <w:noProof/>
            <w:webHidden/>
          </w:rPr>
        </w:r>
        <w:r>
          <w:rPr>
            <w:noProof/>
            <w:webHidden/>
          </w:rPr>
          <w:fldChar w:fldCharType="separate"/>
        </w:r>
        <w:r w:rsidR="001E3978">
          <w:rPr>
            <w:noProof/>
            <w:webHidden/>
          </w:rPr>
          <w:t>225</w:t>
        </w:r>
        <w:r>
          <w:rPr>
            <w:noProof/>
            <w:webHidden/>
          </w:rPr>
          <w:fldChar w:fldCharType="end"/>
        </w:r>
      </w:hyperlink>
    </w:p>
    <w:p w14:paraId="08C0DFF6" w14:textId="3B0B29EA" w:rsidR="00266B1F" w:rsidRDefault="00266B1F">
      <w:pPr>
        <w:pStyle w:val="TM3"/>
        <w:tabs>
          <w:tab w:val="left" w:pos="960"/>
          <w:tab w:val="right" w:leader="dot" w:pos="8630"/>
        </w:tabs>
        <w:rPr>
          <w:noProof/>
          <w:kern w:val="2"/>
          <w:sz w:val="24"/>
          <w:szCs w:val="24"/>
          <w:lang w:eastAsia="fr-BE"/>
          <w14:ligatures w14:val="standardContextual"/>
        </w:rPr>
      </w:pPr>
      <w:hyperlink w:anchor="_Toc233626336" w:history="1">
        <w:r w:rsidRPr="0027322A">
          <w:rPr>
            <w:rStyle w:val="Lienhypertexte"/>
            <w:smallCaps/>
            <w:noProof/>
          </w:rPr>
          <w:t>I.</w:t>
        </w:r>
        <w:r>
          <w:rPr>
            <w:noProof/>
            <w:kern w:val="2"/>
            <w:sz w:val="24"/>
            <w:szCs w:val="24"/>
            <w:lang w:eastAsia="fr-BE"/>
            <w14:ligatures w14:val="standardContextual"/>
          </w:rPr>
          <w:tab/>
        </w:r>
        <w:r w:rsidRPr="0027322A">
          <w:rPr>
            <w:rStyle w:val="Lienhypertexte"/>
            <w:noProof/>
          </w:rPr>
          <w:t>040/367-20 : Surfaces commerciales</w:t>
        </w:r>
        <w:r>
          <w:rPr>
            <w:noProof/>
            <w:webHidden/>
          </w:rPr>
          <w:tab/>
        </w:r>
        <w:r>
          <w:rPr>
            <w:noProof/>
            <w:webHidden/>
          </w:rPr>
          <w:fldChar w:fldCharType="begin"/>
        </w:r>
        <w:r>
          <w:rPr>
            <w:noProof/>
            <w:webHidden/>
          </w:rPr>
          <w:instrText xml:space="preserve"> PAGEREF _Toc233626336 \h </w:instrText>
        </w:r>
        <w:r>
          <w:rPr>
            <w:noProof/>
            <w:webHidden/>
          </w:rPr>
        </w:r>
        <w:r>
          <w:rPr>
            <w:noProof/>
            <w:webHidden/>
          </w:rPr>
          <w:fldChar w:fldCharType="separate"/>
        </w:r>
        <w:r w:rsidR="001E3978">
          <w:rPr>
            <w:noProof/>
            <w:webHidden/>
          </w:rPr>
          <w:t>226</w:t>
        </w:r>
        <w:r>
          <w:rPr>
            <w:noProof/>
            <w:webHidden/>
          </w:rPr>
          <w:fldChar w:fldCharType="end"/>
        </w:r>
      </w:hyperlink>
    </w:p>
    <w:p w14:paraId="6A5C9651" w14:textId="48D523F1" w:rsidR="00266B1F" w:rsidRDefault="00266B1F">
      <w:pPr>
        <w:pStyle w:val="TM3"/>
        <w:tabs>
          <w:tab w:val="left" w:pos="960"/>
          <w:tab w:val="right" w:leader="dot" w:pos="8630"/>
        </w:tabs>
        <w:rPr>
          <w:noProof/>
          <w:kern w:val="2"/>
          <w:sz w:val="24"/>
          <w:szCs w:val="24"/>
          <w:lang w:eastAsia="fr-BE"/>
          <w14:ligatures w14:val="standardContextual"/>
        </w:rPr>
      </w:pPr>
      <w:hyperlink w:anchor="_Toc233626337" w:history="1">
        <w:r w:rsidRPr="0027322A">
          <w:rPr>
            <w:rStyle w:val="Lienhypertexte"/>
            <w:smallCaps/>
            <w:noProof/>
          </w:rPr>
          <w:t>J.</w:t>
        </w:r>
        <w:r>
          <w:rPr>
            <w:noProof/>
            <w:kern w:val="2"/>
            <w:sz w:val="24"/>
            <w:szCs w:val="24"/>
            <w:lang w:eastAsia="fr-BE"/>
            <w14:ligatures w14:val="standardContextual"/>
          </w:rPr>
          <w:tab/>
        </w:r>
        <w:r w:rsidRPr="0027322A">
          <w:rPr>
            <w:rStyle w:val="Lienhypertexte"/>
            <w:noProof/>
          </w:rPr>
          <w:t>040/367-48 : Eoliennes destinées à la production industrielle d'électricité</w:t>
        </w:r>
        <w:r>
          <w:rPr>
            <w:noProof/>
            <w:webHidden/>
          </w:rPr>
          <w:tab/>
        </w:r>
        <w:r>
          <w:rPr>
            <w:noProof/>
            <w:webHidden/>
          </w:rPr>
          <w:fldChar w:fldCharType="begin"/>
        </w:r>
        <w:r>
          <w:rPr>
            <w:noProof/>
            <w:webHidden/>
          </w:rPr>
          <w:instrText xml:space="preserve"> PAGEREF _Toc233626337 \h </w:instrText>
        </w:r>
        <w:r>
          <w:rPr>
            <w:noProof/>
            <w:webHidden/>
          </w:rPr>
        </w:r>
        <w:r>
          <w:rPr>
            <w:noProof/>
            <w:webHidden/>
          </w:rPr>
          <w:fldChar w:fldCharType="separate"/>
        </w:r>
        <w:r w:rsidR="001E3978">
          <w:rPr>
            <w:noProof/>
            <w:webHidden/>
          </w:rPr>
          <w:t>227</w:t>
        </w:r>
        <w:r>
          <w:rPr>
            <w:noProof/>
            <w:webHidden/>
          </w:rPr>
          <w:fldChar w:fldCharType="end"/>
        </w:r>
      </w:hyperlink>
    </w:p>
    <w:p w14:paraId="7CFF89DD" w14:textId="69DE4B8E" w:rsidR="00266B1F" w:rsidRDefault="00266B1F">
      <w:pPr>
        <w:pStyle w:val="TM3"/>
        <w:tabs>
          <w:tab w:val="left" w:pos="960"/>
          <w:tab w:val="right" w:leader="dot" w:pos="8630"/>
        </w:tabs>
        <w:rPr>
          <w:noProof/>
          <w:kern w:val="2"/>
          <w:sz w:val="24"/>
          <w:szCs w:val="24"/>
          <w:lang w:eastAsia="fr-BE"/>
          <w14:ligatures w14:val="standardContextual"/>
        </w:rPr>
      </w:pPr>
      <w:hyperlink w:anchor="_Toc233626338" w:history="1">
        <w:r w:rsidRPr="0027322A">
          <w:rPr>
            <w:rStyle w:val="Lienhypertexte"/>
            <w:smallCaps/>
            <w:noProof/>
          </w:rPr>
          <w:t>K.</w:t>
        </w:r>
        <w:r>
          <w:rPr>
            <w:noProof/>
            <w:kern w:val="2"/>
            <w:sz w:val="24"/>
            <w:szCs w:val="24"/>
            <w:lang w:eastAsia="fr-BE"/>
            <w14:ligatures w14:val="standardContextual"/>
          </w:rPr>
          <w:tab/>
        </w:r>
        <w:r w:rsidRPr="0027322A">
          <w:rPr>
            <w:rStyle w:val="Lienhypertexte"/>
            <w:noProof/>
          </w:rPr>
          <w:t>04002/367-48 : Emplacement de parkings gratuits</w:t>
        </w:r>
        <w:r>
          <w:rPr>
            <w:noProof/>
            <w:webHidden/>
          </w:rPr>
          <w:tab/>
        </w:r>
        <w:r>
          <w:rPr>
            <w:noProof/>
            <w:webHidden/>
          </w:rPr>
          <w:fldChar w:fldCharType="begin"/>
        </w:r>
        <w:r>
          <w:rPr>
            <w:noProof/>
            <w:webHidden/>
          </w:rPr>
          <w:instrText xml:space="preserve"> PAGEREF _Toc233626338 \h </w:instrText>
        </w:r>
        <w:r>
          <w:rPr>
            <w:noProof/>
            <w:webHidden/>
          </w:rPr>
        </w:r>
        <w:r>
          <w:rPr>
            <w:noProof/>
            <w:webHidden/>
          </w:rPr>
          <w:fldChar w:fldCharType="separate"/>
        </w:r>
        <w:r w:rsidR="001E3978">
          <w:rPr>
            <w:noProof/>
            <w:webHidden/>
          </w:rPr>
          <w:t>228</w:t>
        </w:r>
        <w:r>
          <w:rPr>
            <w:noProof/>
            <w:webHidden/>
          </w:rPr>
          <w:fldChar w:fldCharType="end"/>
        </w:r>
      </w:hyperlink>
    </w:p>
    <w:p w14:paraId="7258DC24" w14:textId="3D41F9E0" w:rsidR="00266B1F" w:rsidRDefault="00266B1F">
      <w:pPr>
        <w:pStyle w:val="TM3"/>
        <w:tabs>
          <w:tab w:val="left" w:pos="960"/>
          <w:tab w:val="right" w:leader="dot" w:pos="8630"/>
        </w:tabs>
        <w:rPr>
          <w:noProof/>
          <w:kern w:val="2"/>
          <w:sz w:val="24"/>
          <w:szCs w:val="24"/>
          <w:lang w:eastAsia="fr-BE"/>
          <w14:ligatures w14:val="standardContextual"/>
        </w:rPr>
      </w:pPr>
      <w:hyperlink w:anchor="_Toc233626339" w:history="1">
        <w:r w:rsidRPr="0027322A">
          <w:rPr>
            <w:rStyle w:val="Lienhypertexte"/>
            <w:smallCaps/>
            <w:noProof/>
          </w:rPr>
          <w:t>L.</w:t>
        </w:r>
        <w:r>
          <w:rPr>
            <w:noProof/>
            <w:kern w:val="2"/>
            <w:sz w:val="24"/>
            <w:szCs w:val="24"/>
            <w:lang w:eastAsia="fr-BE"/>
            <w14:ligatures w14:val="standardContextual"/>
          </w:rPr>
          <w:tab/>
        </w:r>
        <w:r w:rsidRPr="0027322A">
          <w:rPr>
            <w:rStyle w:val="Lienhypertexte"/>
            <w:noProof/>
          </w:rPr>
          <w:t>040/368-02 : Chevaux d’agrément et les poneys (et haras)</w:t>
        </w:r>
        <w:r>
          <w:rPr>
            <w:noProof/>
            <w:webHidden/>
          </w:rPr>
          <w:tab/>
        </w:r>
        <w:r>
          <w:rPr>
            <w:noProof/>
            <w:webHidden/>
          </w:rPr>
          <w:fldChar w:fldCharType="begin"/>
        </w:r>
        <w:r>
          <w:rPr>
            <w:noProof/>
            <w:webHidden/>
          </w:rPr>
          <w:instrText xml:space="preserve"> PAGEREF _Toc233626339 \h </w:instrText>
        </w:r>
        <w:r>
          <w:rPr>
            <w:noProof/>
            <w:webHidden/>
          </w:rPr>
        </w:r>
        <w:r>
          <w:rPr>
            <w:noProof/>
            <w:webHidden/>
          </w:rPr>
          <w:fldChar w:fldCharType="separate"/>
        </w:r>
        <w:r w:rsidR="001E3978">
          <w:rPr>
            <w:noProof/>
            <w:webHidden/>
          </w:rPr>
          <w:t>229</w:t>
        </w:r>
        <w:r>
          <w:rPr>
            <w:noProof/>
            <w:webHidden/>
          </w:rPr>
          <w:fldChar w:fldCharType="end"/>
        </w:r>
      </w:hyperlink>
    </w:p>
    <w:p w14:paraId="560250D4" w14:textId="75163CE6" w:rsidR="00266B1F" w:rsidRDefault="00266B1F">
      <w:pPr>
        <w:pStyle w:val="TM3"/>
        <w:tabs>
          <w:tab w:val="left" w:pos="960"/>
          <w:tab w:val="right" w:leader="dot" w:pos="8630"/>
        </w:tabs>
        <w:rPr>
          <w:noProof/>
          <w:kern w:val="2"/>
          <w:sz w:val="24"/>
          <w:szCs w:val="24"/>
          <w:lang w:eastAsia="fr-BE"/>
          <w14:ligatures w14:val="standardContextual"/>
        </w:rPr>
      </w:pPr>
      <w:hyperlink w:anchor="_Toc233626340" w:history="1">
        <w:r w:rsidRPr="0027322A">
          <w:rPr>
            <w:rStyle w:val="Lienhypertexte"/>
            <w:smallCaps/>
            <w:noProof/>
          </w:rPr>
          <w:t>M.</w:t>
        </w:r>
        <w:r>
          <w:rPr>
            <w:noProof/>
            <w:kern w:val="2"/>
            <w:sz w:val="24"/>
            <w:szCs w:val="24"/>
            <w:lang w:eastAsia="fr-BE"/>
            <w14:ligatures w14:val="standardContextual"/>
          </w:rPr>
          <w:tab/>
        </w:r>
        <w:r w:rsidRPr="0027322A">
          <w:rPr>
            <w:rStyle w:val="Lienhypertexte"/>
            <w:noProof/>
          </w:rPr>
          <w:t>040/368-05 : Port d'armes</w:t>
        </w:r>
        <w:r>
          <w:rPr>
            <w:noProof/>
            <w:webHidden/>
          </w:rPr>
          <w:tab/>
        </w:r>
        <w:r>
          <w:rPr>
            <w:noProof/>
            <w:webHidden/>
          </w:rPr>
          <w:fldChar w:fldCharType="begin"/>
        </w:r>
        <w:r>
          <w:rPr>
            <w:noProof/>
            <w:webHidden/>
          </w:rPr>
          <w:instrText xml:space="preserve"> PAGEREF _Toc233626340 \h </w:instrText>
        </w:r>
        <w:r>
          <w:rPr>
            <w:noProof/>
            <w:webHidden/>
          </w:rPr>
        </w:r>
        <w:r>
          <w:rPr>
            <w:noProof/>
            <w:webHidden/>
          </w:rPr>
          <w:fldChar w:fldCharType="separate"/>
        </w:r>
        <w:r w:rsidR="001E3978">
          <w:rPr>
            <w:noProof/>
            <w:webHidden/>
          </w:rPr>
          <w:t>229</w:t>
        </w:r>
        <w:r>
          <w:rPr>
            <w:noProof/>
            <w:webHidden/>
          </w:rPr>
          <w:fldChar w:fldCharType="end"/>
        </w:r>
      </w:hyperlink>
    </w:p>
    <w:p w14:paraId="31E3C9AE" w14:textId="2072023A" w:rsidR="00266B1F" w:rsidRDefault="00266B1F">
      <w:pPr>
        <w:pStyle w:val="TM3"/>
        <w:tabs>
          <w:tab w:val="left" w:pos="960"/>
          <w:tab w:val="right" w:leader="dot" w:pos="8630"/>
        </w:tabs>
        <w:rPr>
          <w:noProof/>
          <w:kern w:val="2"/>
          <w:sz w:val="24"/>
          <w:szCs w:val="24"/>
          <w:lang w:eastAsia="fr-BE"/>
          <w14:ligatures w14:val="standardContextual"/>
        </w:rPr>
      </w:pPr>
      <w:hyperlink w:anchor="_Toc233626341" w:history="1">
        <w:r w:rsidRPr="0027322A">
          <w:rPr>
            <w:rStyle w:val="Lienhypertexte"/>
            <w:smallCaps/>
            <w:noProof/>
            <w:lang w:eastAsia="fr-FR"/>
          </w:rPr>
          <w:t>N.</w:t>
        </w:r>
        <w:r>
          <w:rPr>
            <w:noProof/>
            <w:kern w:val="2"/>
            <w:sz w:val="24"/>
            <w:szCs w:val="24"/>
            <w:lang w:eastAsia="fr-BE"/>
            <w14:ligatures w14:val="standardContextual"/>
          </w:rPr>
          <w:tab/>
        </w:r>
        <w:r w:rsidRPr="0027322A">
          <w:rPr>
            <w:rStyle w:val="Lienhypertexte"/>
            <w:noProof/>
          </w:rPr>
          <w:t>040/368-08 Redevance pour enlèvement de véhicule de cyclopartage gênant : trottinette électrique, vélo électrique et les cyclomoteurs</w:t>
        </w:r>
        <w:r>
          <w:rPr>
            <w:noProof/>
            <w:webHidden/>
          </w:rPr>
          <w:tab/>
        </w:r>
        <w:r>
          <w:rPr>
            <w:noProof/>
            <w:webHidden/>
          </w:rPr>
          <w:fldChar w:fldCharType="begin"/>
        </w:r>
        <w:r>
          <w:rPr>
            <w:noProof/>
            <w:webHidden/>
          </w:rPr>
          <w:instrText xml:space="preserve"> PAGEREF _Toc233626341 \h </w:instrText>
        </w:r>
        <w:r>
          <w:rPr>
            <w:noProof/>
            <w:webHidden/>
          </w:rPr>
        </w:r>
        <w:r>
          <w:rPr>
            <w:noProof/>
            <w:webHidden/>
          </w:rPr>
          <w:fldChar w:fldCharType="separate"/>
        </w:r>
        <w:r w:rsidR="001E3978">
          <w:rPr>
            <w:noProof/>
            <w:webHidden/>
          </w:rPr>
          <w:t>229</w:t>
        </w:r>
        <w:r>
          <w:rPr>
            <w:noProof/>
            <w:webHidden/>
          </w:rPr>
          <w:fldChar w:fldCharType="end"/>
        </w:r>
      </w:hyperlink>
    </w:p>
    <w:p w14:paraId="0ABCEAEF" w14:textId="45B08502" w:rsidR="00266B1F" w:rsidRDefault="00266B1F">
      <w:pPr>
        <w:pStyle w:val="TM3"/>
        <w:tabs>
          <w:tab w:val="left" w:pos="960"/>
          <w:tab w:val="right" w:leader="dot" w:pos="8630"/>
        </w:tabs>
        <w:rPr>
          <w:noProof/>
          <w:kern w:val="2"/>
          <w:sz w:val="24"/>
          <w:szCs w:val="24"/>
          <w:lang w:eastAsia="fr-BE"/>
          <w14:ligatures w14:val="standardContextual"/>
        </w:rPr>
      </w:pPr>
      <w:hyperlink w:anchor="_Toc233626342" w:history="1">
        <w:r w:rsidRPr="0027322A">
          <w:rPr>
            <w:rStyle w:val="Lienhypertexte"/>
            <w:smallCaps/>
            <w:noProof/>
          </w:rPr>
          <w:t>O.</w:t>
        </w:r>
        <w:r>
          <w:rPr>
            <w:noProof/>
            <w:kern w:val="2"/>
            <w:sz w:val="24"/>
            <w:szCs w:val="24"/>
            <w:lang w:eastAsia="fr-BE"/>
            <w14:ligatures w14:val="standardContextual"/>
          </w:rPr>
          <w:tab/>
        </w:r>
        <w:r w:rsidRPr="0027322A">
          <w:rPr>
            <w:rStyle w:val="Lienhypertexte"/>
            <w:noProof/>
          </w:rPr>
          <w:t>040/368-12 : Terrains de tennis privés</w:t>
        </w:r>
        <w:r>
          <w:rPr>
            <w:noProof/>
            <w:webHidden/>
          </w:rPr>
          <w:tab/>
        </w:r>
        <w:r>
          <w:rPr>
            <w:noProof/>
            <w:webHidden/>
          </w:rPr>
          <w:fldChar w:fldCharType="begin"/>
        </w:r>
        <w:r>
          <w:rPr>
            <w:noProof/>
            <w:webHidden/>
          </w:rPr>
          <w:instrText xml:space="preserve"> PAGEREF _Toc233626342 \h </w:instrText>
        </w:r>
        <w:r>
          <w:rPr>
            <w:noProof/>
            <w:webHidden/>
          </w:rPr>
        </w:r>
        <w:r>
          <w:rPr>
            <w:noProof/>
            <w:webHidden/>
          </w:rPr>
          <w:fldChar w:fldCharType="separate"/>
        </w:r>
        <w:r w:rsidR="001E3978">
          <w:rPr>
            <w:noProof/>
            <w:webHidden/>
          </w:rPr>
          <w:t>230</w:t>
        </w:r>
        <w:r>
          <w:rPr>
            <w:noProof/>
            <w:webHidden/>
          </w:rPr>
          <w:fldChar w:fldCharType="end"/>
        </w:r>
      </w:hyperlink>
    </w:p>
    <w:p w14:paraId="0C8D9AAF" w14:textId="28597BB6" w:rsidR="00266B1F" w:rsidRDefault="00266B1F">
      <w:pPr>
        <w:pStyle w:val="TM3"/>
        <w:tabs>
          <w:tab w:val="left" w:pos="960"/>
          <w:tab w:val="right" w:leader="dot" w:pos="8630"/>
        </w:tabs>
        <w:rPr>
          <w:noProof/>
          <w:kern w:val="2"/>
          <w:sz w:val="24"/>
          <w:szCs w:val="24"/>
          <w:lang w:eastAsia="fr-BE"/>
          <w14:ligatures w14:val="standardContextual"/>
        </w:rPr>
      </w:pPr>
      <w:hyperlink w:anchor="_Toc233626343" w:history="1">
        <w:r w:rsidRPr="0027322A">
          <w:rPr>
            <w:rStyle w:val="Lienhypertexte"/>
            <w:smallCaps/>
            <w:noProof/>
          </w:rPr>
          <w:t>P.</w:t>
        </w:r>
        <w:r>
          <w:rPr>
            <w:noProof/>
            <w:kern w:val="2"/>
            <w:sz w:val="24"/>
            <w:szCs w:val="24"/>
            <w:lang w:eastAsia="fr-BE"/>
            <w14:ligatures w14:val="standardContextual"/>
          </w:rPr>
          <w:tab/>
        </w:r>
        <w:r w:rsidRPr="0027322A">
          <w:rPr>
            <w:rStyle w:val="Lienhypertexte"/>
            <w:noProof/>
          </w:rPr>
          <w:t>040/368-15 : Golfs</w:t>
        </w:r>
        <w:r>
          <w:rPr>
            <w:noProof/>
            <w:webHidden/>
          </w:rPr>
          <w:tab/>
        </w:r>
        <w:r>
          <w:rPr>
            <w:noProof/>
            <w:webHidden/>
          </w:rPr>
          <w:fldChar w:fldCharType="begin"/>
        </w:r>
        <w:r>
          <w:rPr>
            <w:noProof/>
            <w:webHidden/>
          </w:rPr>
          <w:instrText xml:space="preserve"> PAGEREF _Toc233626343 \h </w:instrText>
        </w:r>
        <w:r>
          <w:rPr>
            <w:noProof/>
            <w:webHidden/>
          </w:rPr>
        </w:r>
        <w:r>
          <w:rPr>
            <w:noProof/>
            <w:webHidden/>
          </w:rPr>
          <w:fldChar w:fldCharType="separate"/>
        </w:r>
        <w:r w:rsidR="001E3978">
          <w:rPr>
            <w:noProof/>
            <w:webHidden/>
          </w:rPr>
          <w:t>230</w:t>
        </w:r>
        <w:r>
          <w:rPr>
            <w:noProof/>
            <w:webHidden/>
          </w:rPr>
          <w:fldChar w:fldCharType="end"/>
        </w:r>
      </w:hyperlink>
    </w:p>
    <w:p w14:paraId="2F73E678" w14:textId="6C870BAE" w:rsidR="00266B1F" w:rsidRDefault="00266B1F">
      <w:pPr>
        <w:pStyle w:val="TM2"/>
        <w:tabs>
          <w:tab w:val="left" w:pos="720"/>
          <w:tab w:val="right" w:leader="dot" w:pos="8630"/>
        </w:tabs>
        <w:rPr>
          <w:noProof/>
          <w:kern w:val="2"/>
          <w:sz w:val="24"/>
          <w:szCs w:val="24"/>
          <w:lang w:eastAsia="fr-BE"/>
          <w14:ligatures w14:val="standardContextual"/>
        </w:rPr>
      </w:pPr>
      <w:hyperlink w:anchor="_Toc233626344" w:history="1">
        <w:r w:rsidRPr="0027322A">
          <w:rPr>
            <w:rStyle w:val="Lienhypertexte"/>
            <w:caps/>
            <w:noProof/>
          </w:rPr>
          <w:t>8.</w:t>
        </w:r>
        <w:r>
          <w:rPr>
            <w:noProof/>
            <w:kern w:val="2"/>
            <w:sz w:val="24"/>
            <w:szCs w:val="24"/>
            <w:lang w:eastAsia="fr-BE"/>
            <w14:ligatures w14:val="standardContextual"/>
          </w:rPr>
          <w:tab/>
        </w:r>
        <w:r w:rsidRPr="0027322A">
          <w:rPr>
            <w:rStyle w:val="Lienhypertexte"/>
            <w:noProof/>
          </w:rPr>
          <w:t>Taxes et redevances spécialement motivées par une situation particulière rencontrée par la commune.</w:t>
        </w:r>
        <w:r>
          <w:rPr>
            <w:noProof/>
            <w:webHidden/>
          </w:rPr>
          <w:tab/>
        </w:r>
        <w:r>
          <w:rPr>
            <w:noProof/>
            <w:webHidden/>
          </w:rPr>
          <w:fldChar w:fldCharType="begin"/>
        </w:r>
        <w:r>
          <w:rPr>
            <w:noProof/>
            <w:webHidden/>
          </w:rPr>
          <w:instrText xml:space="preserve"> PAGEREF _Toc233626344 \h </w:instrText>
        </w:r>
        <w:r>
          <w:rPr>
            <w:noProof/>
            <w:webHidden/>
          </w:rPr>
        </w:r>
        <w:r>
          <w:rPr>
            <w:noProof/>
            <w:webHidden/>
          </w:rPr>
          <w:fldChar w:fldCharType="separate"/>
        </w:r>
        <w:r w:rsidR="001E3978">
          <w:rPr>
            <w:noProof/>
            <w:webHidden/>
          </w:rPr>
          <w:t>230</w:t>
        </w:r>
        <w:r>
          <w:rPr>
            <w:noProof/>
            <w:webHidden/>
          </w:rPr>
          <w:fldChar w:fldCharType="end"/>
        </w:r>
      </w:hyperlink>
    </w:p>
    <w:p w14:paraId="0C5D5A98" w14:textId="5FA9A7E5" w:rsidR="00266B1F" w:rsidRDefault="00266B1F">
      <w:pPr>
        <w:pStyle w:val="TM3"/>
        <w:tabs>
          <w:tab w:val="right" w:leader="dot" w:pos="8630"/>
        </w:tabs>
        <w:rPr>
          <w:noProof/>
          <w:kern w:val="2"/>
          <w:sz w:val="24"/>
          <w:szCs w:val="24"/>
          <w:lang w:eastAsia="fr-BE"/>
          <w14:ligatures w14:val="standardContextual"/>
        </w:rPr>
      </w:pPr>
      <w:hyperlink w:anchor="_Toc233626345" w:history="1">
        <w:r w:rsidRPr="0027322A">
          <w:rPr>
            <w:rStyle w:val="Lienhypertexte"/>
            <w:noProof/>
          </w:rPr>
          <w:t>Centimes additionnels, décime additionnel et impôts complémentaires</w:t>
        </w:r>
        <w:r>
          <w:rPr>
            <w:noProof/>
            <w:webHidden/>
          </w:rPr>
          <w:tab/>
        </w:r>
        <w:r>
          <w:rPr>
            <w:noProof/>
            <w:webHidden/>
          </w:rPr>
          <w:fldChar w:fldCharType="begin"/>
        </w:r>
        <w:r>
          <w:rPr>
            <w:noProof/>
            <w:webHidden/>
          </w:rPr>
          <w:instrText xml:space="preserve"> PAGEREF _Toc233626345 \h </w:instrText>
        </w:r>
        <w:r>
          <w:rPr>
            <w:noProof/>
            <w:webHidden/>
          </w:rPr>
        </w:r>
        <w:r>
          <w:rPr>
            <w:noProof/>
            <w:webHidden/>
          </w:rPr>
          <w:fldChar w:fldCharType="separate"/>
        </w:r>
        <w:r w:rsidR="001E3978">
          <w:rPr>
            <w:noProof/>
            <w:webHidden/>
          </w:rPr>
          <w:t>231</w:t>
        </w:r>
        <w:r>
          <w:rPr>
            <w:noProof/>
            <w:webHidden/>
          </w:rPr>
          <w:fldChar w:fldCharType="end"/>
        </w:r>
      </w:hyperlink>
    </w:p>
    <w:p w14:paraId="74693A41" w14:textId="756FF044" w:rsidR="00266B1F" w:rsidRDefault="00266B1F">
      <w:pPr>
        <w:pStyle w:val="TM1"/>
        <w:rPr>
          <w:b w:val="0"/>
          <w:bCs w:val="0"/>
        </w:rPr>
      </w:pPr>
      <w:hyperlink w:anchor="_Toc233626346" w:history="1">
        <w:r w:rsidRPr="0027322A">
          <w:rPr>
            <w:rStyle w:val="Lienhypertexte"/>
          </w:rPr>
          <w:t>VIII.</w:t>
        </w:r>
        <w:r>
          <w:rPr>
            <w:b w:val="0"/>
            <w:bCs w:val="0"/>
          </w:rPr>
          <w:tab/>
        </w:r>
        <w:r w:rsidRPr="0027322A">
          <w:rPr>
            <w:rStyle w:val="Lienhypertexte"/>
          </w:rPr>
          <w:t>TABLEAU DES TAUX INDEXES 2027</w:t>
        </w:r>
        <w:r>
          <w:rPr>
            <w:webHidden/>
          </w:rPr>
          <w:tab/>
        </w:r>
        <w:r>
          <w:rPr>
            <w:webHidden/>
          </w:rPr>
          <w:fldChar w:fldCharType="begin"/>
        </w:r>
        <w:r>
          <w:rPr>
            <w:webHidden/>
          </w:rPr>
          <w:instrText xml:space="preserve"> PAGEREF _Toc233626346 \h </w:instrText>
        </w:r>
        <w:r>
          <w:rPr>
            <w:webHidden/>
          </w:rPr>
        </w:r>
        <w:r>
          <w:rPr>
            <w:webHidden/>
          </w:rPr>
          <w:fldChar w:fldCharType="separate"/>
        </w:r>
        <w:r w:rsidR="001E3978">
          <w:rPr>
            <w:webHidden/>
          </w:rPr>
          <w:t>235</w:t>
        </w:r>
        <w:r>
          <w:rPr>
            <w:webHidden/>
          </w:rPr>
          <w:fldChar w:fldCharType="end"/>
        </w:r>
      </w:hyperlink>
    </w:p>
    <w:p w14:paraId="03ECC2EF" w14:textId="4DF788C8" w:rsidR="00266B1F" w:rsidRDefault="00266B1F">
      <w:pPr>
        <w:pStyle w:val="TM3"/>
        <w:tabs>
          <w:tab w:val="left" w:pos="960"/>
          <w:tab w:val="right" w:leader="dot" w:pos="8630"/>
        </w:tabs>
        <w:rPr>
          <w:noProof/>
          <w:kern w:val="2"/>
          <w:sz w:val="24"/>
          <w:szCs w:val="24"/>
          <w:lang w:eastAsia="fr-BE"/>
          <w14:ligatures w14:val="standardContextual"/>
        </w:rPr>
      </w:pPr>
      <w:hyperlink w:anchor="_Toc233626347" w:history="1">
        <w:r w:rsidRPr="0027322A">
          <w:rPr>
            <w:rStyle w:val="Lienhypertexte"/>
            <w:smallCaps/>
            <w:noProof/>
          </w:rPr>
          <w:t>A.</w:t>
        </w:r>
        <w:r>
          <w:rPr>
            <w:noProof/>
            <w:kern w:val="2"/>
            <w:sz w:val="24"/>
            <w:szCs w:val="24"/>
            <w:lang w:eastAsia="fr-BE"/>
            <w14:ligatures w14:val="standardContextual"/>
          </w:rPr>
          <w:tab/>
        </w:r>
        <w:r w:rsidRPr="0027322A">
          <w:rPr>
            <w:rStyle w:val="Lienhypertexte"/>
            <w:noProof/>
          </w:rPr>
          <w:t>040/361</w:t>
        </w:r>
        <w:r>
          <w:rPr>
            <w:noProof/>
            <w:webHidden/>
          </w:rPr>
          <w:tab/>
        </w:r>
        <w:r>
          <w:rPr>
            <w:noProof/>
            <w:webHidden/>
          </w:rPr>
          <w:fldChar w:fldCharType="begin"/>
        </w:r>
        <w:r>
          <w:rPr>
            <w:noProof/>
            <w:webHidden/>
          </w:rPr>
          <w:instrText xml:space="preserve"> PAGEREF _Toc233626347 \h </w:instrText>
        </w:r>
        <w:r>
          <w:rPr>
            <w:noProof/>
            <w:webHidden/>
          </w:rPr>
        </w:r>
        <w:r>
          <w:rPr>
            <w:noProof/>
            <w:webHidden/>
          </w:rPr>
          <w:fldChar w:fldCharType="separate"/>
        </w:r>
        <w:r w:rsidR="001E3978">
          <w:rPr>
            <w:noProof/>
            <w:webHidden/>
          </w:rPr>
          <w:t>235</w:t>
        </w:r>
        <w:r>
          <w:rPr>
            <w:noProof/>
            <w:webHidden/>
          </w:rPr>
          <w:fldChar w:fldCharType="end"/>
        </w:r>
      </w:hyperlink>
    </w:p>
    <w:p w14:paraId="2CFEECEB" w14:textId="454278CC" w:rsidR="00266B1F" w:rsidRDefault="00266B1F">
      <w:pPr>
        <w:pStyle w:val="TM3"/>
        <w:tabs>
          <w:tab w:val="right" w:leader="dot" w:pos="8630"/>
        </w:tabs>
        <w:rPr>
          <w:noProof/>
          <w:kern w:val="2"/>
          <w:sz w:val="24"/>
          <w:szCs w:val="24"/>
          <w:lang w:eastAsia="fr-BE"/>
          <w14:ligatures w14:val="standardContextual"/>
        </w:rPr>
      </w:pPr>
      <w:hyperlink w:anchor="_Toc233626348" w:history="1">
        <w:r w:rsidRPr="0027322A">
          <w:rPr>
            <w:rStyle w:val="Lienhypertexte"/>
            <w:noProof/>
          </w:rPr>
          <w:t>040/361-01 : Conservation des véhicules (saisis ou déplacés par la police)</w:t>
        </w:r>
        <w:r>
          <w:rPr>
            <w:noProof/>
            <w:webHidden/>
          </w:rPr>
          <w:tab/>
        </w:r>
        <w:r>
          <w:rPr>
            <w:noProof/>
            <w:webHidden/>
          </w:rPr>
          <w:fldChar w:fldCharType="begin"/>
        </w:r>
        <w:r>
          <w:rPr>
            <w:noProof/>
            <w:webHidden/>
          </w:rPr>
          <w:instrText xml:space="preserve"> PAGEREF _Toc233626348 \h </w:instrText>
        </w:r>
        <w:r>
          <w:rPr>
            <w:noProof/>
            <w:webHidden/>
          </w:rPr>
        </w:r>
        <w:r>
          <w:rPr>
            <w:noProof/>
            <w:webHidden/>
          </w:rPr>
          <w:fldChar w:fldCharType="separate"/>
        </w:r>
        <w:r w:rsidR="001E3978">
          <w:rPr>
            <w:noProof/>
            <w:webHidden/>
          </w:rPr>
          <w:t>235</w:t>
        </w:r>
        <w:r>
          <w:rPr>
            <w:noProof/>
            <w:webHidden/>
          </w:rPr>
          <w:fldChar w:fldCharType="end"/>
        </w:r>
      </w:hyperlink>
    </w:p>
    <w:p w14:paraId="4AD3BFA6" w14:textId="68C3A5E3" w:rsidR="00266B1F" w:rsidRDefault="00266B1F">
      <w:pPr>
        <w:pStyle w:val="TM3"/>
        <w:tabs>
          <w:tab w:val="right" w:leader="dot" w:pos="8630"/>
        </w:tabs>
        <w:rPr>
          <w:noProof/>
          <w:kern w:val="2"/>
          <w:sz w:val="24"/>
          <w:szCs w:val="24"/>
          <w:lang w:eastAsia="fr-BE"/>
          <w14:ligatures w14:val="standardContextual"/>
        </w:rPr>
      </w:pPr>
      <w:hyperlink w:anchor="_Toc233626349" w:history="1">
        <w:r w:rsidRPr="0027322A">
          <w:rPr>
            <w:rStyle w:val="Lienhypertexte"/>
            <w:noProof/>
          </w:rPr>
          <w:t>040/361-02 : Demandes d’autorisation d’activités (permis d’environnement)</w:t>
        </w:r>
        <w:r>
          <w:rPr>
            <w:noProof/>
            <w:webHidden/>
          </w:rPr>
          <w:tab/>
        </w:r>
        <w:r>
          <w:rPr>
            <w:noProof/>
            <w:webHidden/>
          </w:rPr>
          <w:fldChar w:fldCharType="begin"/>
        </w:r>
        <w:r>
          <w:rPr>
            <w:noProof/>
            <w:webHidden/>
          </w:rPr>
          <w:instrText xml:space="preserve"> PAGEREF _Toc233626349 \h </w:instrText>
        </w:r>
        <w:r>
          <w:rPr>
            <w:noProof/>
            <w:webHidden/>
          </w:rPr>
        </w:r>
        <w:r>
          <w:rPr>
            <w:noProof/>
            <w:webHidden/>
          </w:rPr>
          <w:fldChar w:fldCharType="separate"/>
        </w:r>
        <w:r w:rsidR="001E3978">
          <w:rPr>
            <w:noProof/>
            <w:webHidden/>
          </w:rPr>
          <w:t>236</w:t>
        </w:r>
        <w:r>
          <w:rPr>
            <w:noProof/>
            <w:webHidden/>
          </w:rPr>
          <w:fldChar w:fldCharType="end"/>
        </w:r>
      </w:hyperlink>
    </w:p>
    <w:p w14:paraId="386C19B3" w14:textId="3E4CCBD3" w:rsidR="00266B1F" w:rsidRDefault="00266B1F">
      <w:pPr>
        <w:pStyle w:val="TM3"/>
        <w:tabs>
          <w:tab w:val="right" w:leader="dot" w:pos="8630"/>
        </w:tabs>
        <w:rPr>
          <w:noProof/>
          <w:kern w:val="2"/>
          <w:sz w:val="24"/>
          <w:szCs w:val="24"/>
          <w:lang w:eastAsia="fr-BE"/>
          <w14:ligatures w14:val="standardContextual"/>
        </w:rPr>
      </w:pPr>
      <w:hyperlink w:anchor="_Toc233626350" w:history="1">
        <w:r w:rsidRPr="0027322A">
          <w:rPr>
            <w:rStyle w:val="Lienhypertexte"/>
            <w:noProof/>
          </w:rPr>
          <w:t>Permis d’environnement – 1ère classe</w:t>
        </w:r>
        <w:r>
          <w:rPr>
            <w:noProof/>
            <w:webHidden/>
          </w:rPr>
          <w:tab/>
        </w:r>
        <w:r>
          <w:rPr>
            <w:noProof/>
            <w:webHidden/>
          </w:rPr>
          <w:fldChar w:fldCharType="begin"/>
        </w:r>
        <w:r>
          <w:rPr>
            <w:noProof/>
            <w:webHidden/>
          </w:rPr>
          <w:instrText xml:space="preserve"> PAGEREF _Toc233626350 \h </w:instrText>
        </w:r>
        <w:r>
          <w:rPr>
            <w:noProof/>
            <w:webHidden/>
          </w:rPr>
        </w:r>
        <w:r>
          <w:rPr>
            <w:noProof/>
            <w:webHidden/>
          </w:rPr>
          <w:fldChar w:fldCharType="separate"/>
        </w:r>
        <w:r w:rsidR="001E3978">
          <w:rPr>
            <w:noProof/>
            <w:webHidden/>
          </w:rPr>
          <w:t>236</w:t>
        </w:r>
        <w:r>
          <w:rPr>
            <w:noProof/>
            <w:webHidden/>
          </w:rPr>
          <w:fldChar w:fldCharType="end"/>
        </w:r>
      </w:hyperlink>
    </w:p>
    <w:p w14:paraId="2622AC10" w14:textId="27557686" w:rsidR="00266B1F" w:rsidRDefault="00266B1F">
      <w:pPr>
        <w:pStyle w:val="TM3"/>
        <w:tabs>
          <w:tab w:val="right" w:leader="dot" w:pos="8630"/>
        </w:tabs>
        <w:rPr>
          <w:noProof/>
          <w:kern w:val="2"/>
          <w:sz w:val="24"/>
          <w:szCs w:val="24"/>
          <w:lang w:eastAsia="fr-BE"/>
          <w14:ligatures w14:val="standardContextual"/>
        </w:rPr>
      </w:pPr>
      <w:hyperlink w:anchor="_Toc233626351" w:history="1">
        <w:r w:rsidRPr="0027322A">
          <w:rPr>
            <w:rStyle w:val="Lienhypertexte"/>
            <w:noProof/>
          </w:rPr>
          <w:t>Permis d’environnement – 2ème classe</w:t>
        </w:r>
        <w:r>
          <w:rPr>
            <w:noProof/>
            <w:webHidden/>
          </w:rPr>
          <w:tab/>
        </w:r>
        <w:r>
          <w:rPr>
            <w:noProof/>
            <w:webHidden/>
          </w:rPr>
          <w:fldChar w:fldCharType="begin"/>
        </w:r>
        <w:r>
          <w:rPr>
            <w:noProof/>
            <w:webHidden/>
          </w:rPr>
          <w:instrText xml:space="preserve"> PAGEREF _Toc233626351 \h </w:instrText>
        </w:r>
        <w:r>
          <w:rPr>
            <w:noProof/>
            <w:webHidden/>
          </w:rPr>
        </w:r>
        <w:r>
          <w:rPr>
            <w:noProof/>
            <w:webHidden/>
          </w:rPr>
          <w:fldChar w:fldCharType="separate"/>
        </w:r>
        <w:r w:rsidR="001E3978">
          <w:rPr>
            <w:noProof/>
            <w:webHidden/>
          </w:rPr>
          <w:t>236</w:t>
        </w:r>
        <w:r>
          <w:rPr>
            <w:noProof/>
            <w:webHidden/>
          </w:rPr>
          <w:fldChar w:fldCharType="end"/>
        </w:r>
      </w:hyperlink>
    </w:p>
    <w:p w14:paraId="1B2FB8F5" w14:textId="588CB692" w:rsidR="00266B1F" w:rsidRDefault="00266B1F">
      <w:pPr>
        <w:pStyle w:val="TM3"/>
        <w:tabs>
          <w:tab w:val="right" w:leader="dot" w:pos="8630"/>
        </w:tabs>
        <w:rPr>
          <w:noProof/>
          <w:kern w:val="2"/>
          <w:sz w:val="24"/>
          <w:szCs w:val="24"/>
          <w:lang w:eastAsia="fr-BE"/>
          <w14:ligatures w14:val="standardContextual"/>
        </w:rPr>
      </w:pPr>
      <w:hyperlink w:anchor="_Toc233626352" w:history="1">
        <w:r w:rsidRPr="0027322A">
          <w:rPr>
            <w:rStyle w:val="Lienhypertexte"/>
            <w:noProof/>
          </w:rPr>
          <w:t>Permis unique – 1ère classe</w:t>
        </w:r>
        <w:r>
          <w:rPr>
            <w:noProof/>
            <w:webHidden/>
          </w:rPr>
          <w:tab/>
        </w:r>
        <w:r>
          <w:rPr>
            <w:noProof/>
            <w:webHidden/>
          </w:rPr>
          <w:fldChar w:fldCharType="begin"/>
        </w:r>
        <w:r>
          <w:rPr>
            <w:noProof/>
            <w:webHidden/>
          </w:rPr>
          <w:instrText xml:space="preserve"> PAGEREF _Toc233626352 \h </w:instrText>
        </w:r>
        <w:r>
          <w:rPr>
            <w:noProof/>
            <w:webHidden/>
          </w:rPr>
        </w:r>
        <w:r>
          <w:rPr>
            <w:noProof/>
            <w:webHidden/>
          </w:rPr>
          <w:fldChar w:fldCharType="separate"/>
        </w:r>
        <w:r w:rsidR="001E3978">
          <w:rPr>
            <w:noProof/>
            <w:webHidden/>
          </w:rPr>
          <w:t>236</w:t>
        </w:r>
        <w:r>
          <w:rPr>
            <w:noProof/>
            <w:webHidden/>
          </w:rPr>
          <w:fldChar w:fldCharType="end"/>
        </w:r>
      </w:hyperlink>
    </w:p>
    <w:p w14:paraId="10D74C00" w14:textId="54FE3658" w:rsidR="00266B1F" w:rsidRDefault="00266B1F">
      <w:pPr>
        <w:pStyle w:val="TM3"/>
        <w:tabs>
          <w:tab w:val="right" w:leader="dot" w:pos="8630"/>
        </w:tabs>
        <w:rPr>
          <w:noProof/>
          <w:kern w:val="2"/>
          <w:sz w:val="24"/>
          <w:szCs w:val="24"/>
          <w:lang w:eastAsia="fr-BE"/>
          <w14:ligatures w14:val="standardContextual"/>
        </w:rPr>
      </w:pPr>
      <w:hyperlink w:anchor="_Toc233626353" w:history="1">
        <w:r w:rsidRPr="0027322A">
          <w:rPr>
            <w:rStyle w:val="Lienhypertexte"/>
            <w:noProof/>
          </w:rPr>
          <w:t>Permis unique – 2ème classe</w:t>
        </w:r>
        <w:r>
          <w:rPr>
            <w:noProof/>
            <w:webHidden/>
          </w:rPr>
          <w:tab/>
        </w:r>
        <w:r>
          <w:rPr>
            <w:noProof/>
            <w:webHidden/>
          </w:rPr>
          <w:fldChar w:fldCharType="begin"/>
        </w:r>
        <w:r>
          <w:rPr>
            <w:noProof/>
            <w:webHidden/>
          </w:rPr>
          <w:instrText xml:space="preserve"> PAGEREF _Toc233626353 \h </w:instrText>
        </w:r>
        <w:r>
          <w:rPr>
            <w:noProof/>
            <w:webHidden/>
          </w:rPr>
        </w:r>
        <w:r>
          <w:rPr>
            <w:noProof/>
            <w:webHidden/>
          </w:rPr>
          <w:fldChar w:fldCharType="separate"/>
        </w:r>
        <w:r w:rsidR="001E3978">
          <w:rPr>
            <w:noProof/>
            <w:webHidden/>
          </w:rPr>
          <w:t>236</w:t>
        </w:r>
        <w:r>
          <w:rPr>
            <w:noProof/>
            <w:webHidden/>
          </w:rPr>
          <w:fldChar w:fldCharType="end"/>
        </w:r>
      </w:hyperlink>
    </w:p>
    <w:p w14:paraId="2E8B49EF" w14:textId="05AC9385" w:rsidR="00266B1F" w:rsidRDefault="00266B1F">
      <w:pPr>
        <w:pStyle w:val="TM3"/>
        <w:tabs>
          <w:tab w:val="right" w:leader="dot" w:pos="8630"/>
        </w:tabs>
        <w:rPr>
          <w:noProof/>
          <w:kern w:val="2"/>
          <w:sz w:val="24"/>
          <w:szCs w:val="24"/>
          <w:lang w:eastAsia="fr-BE"/>
          <w14:ligatures w14:val="standardContextual"/>
        </w:rPr>
      </w:pPr>
      <w:hyperlink w:anchor="_Toc233626354" w:history="1">
        <w:r w:rsidRPr="0027322A">
          <w:rPr>
            <w:rStyle w:val="Lienhypertexte"/>
            <w:noProof/>
          </w:rPr>
          <w:t>Déclaration – 3ème classe</w:t>
        </w:r>
        <w:r>
          <w:rPr>
            <w:noProof/>
            <w:webHidden/>
          </w:rPr>
          <w:tab/>
        </w:r>
        <w:r>
          <w:rPr>
            <w:noProof/>
            <w:webHidden/>
          </w:rPr>
          <w:fldChar w:fldCharType="begin"/>
        </w:r>
        <w:r>
          <w:rPr>
            <w:noProof/>
            <w:webHidden/>
          </w:rPr>
          <w:instrText xml:space="preserve"> PAGEREF _Toc233626354 \h </w:instrText>
        </w:r>
        <w:r>
          <w:rPr>
            <w:noProof/>
            <w:webHidden/>
          </w:rPr>
        </w:r>
        <w:r>
          <w:rPr>
            <w:noProof/>
            <w:webHidden/>
          </w:rPr>
          <w:fldChar w:fldCharType="separate"/>
        </w:r>
        <w:r w:rsidR="001E3978">
          <w:rPr>
            <w:noProof/>
            <w:webHidden/>
          </w:rPr>
          <w:t>236</w:t>
        </w:r>
        <w:r>
          <w:rPr>
            <w:noProof/>
            <w:webHidden/>
          </w:rPr>
          <w:fldChar w:fldCharType="end"/>
        </w:r>
      </w:hyperlink>
    </w:p>
    <w:p w14:paraId="30A01690" w14:textId="58510126" w:rsidR="00266B1F" w:rsidRDefault="00266B1F">
      <w:pPr>
        <w:pStyle w:val="TM3"/>
        <w:tabs>
          <w:tab w:val="right" w:leader="dot" w:pos="8630"/>
        </w:tabs>
        <w:rPr>
          <w:noProof/>
          <w:kern w:val="2"/>
          <w:sz w:val="24"/>
          <w:szCs w:val="24"/>
          <w:lang w:eastAsia="fr-BE"/>
          <w14:ligatures w14:val="standardContextual"/>
        </w:rPr>
      </w:pPr>
      <w:hyperlink w:anchor="_Toc233626355" w:history="1">
        <w:r w:rsidRPr="0027322A">
          <w:rPr>
            <w:rStyle w:val="Lienhypertexte"/>
            <w:noProof/>
          </w:rPr>
          <w:t>040/361-03 : Délivrance d’un permis d’urbanisation</w:t>
        </w:r>
        <w:r>
          <w:rPr>
            <w:noProof/>
            <w:webHidden/>
          </w:rPr>
          <w:tab/>
        </w:r>
        <w:r>
          <w:rPr>
            <w:noProof/>
            <w:webHidden/>
          </w:rPr>
          <w:fldChar w:fldCharType="begin"/>
        </w:r>
        <w:r>
          <w:rPr>
            <w:noProof/>
            <w:webHidden/>
          </w:rPr>
          <w:instrText xml:space="preserve"> PAGEREF _Toc233626355 \h </w:instrText>
        </w:r>
        <w:r>
          <w:rPr>
            <w:noProof/>
            <w:webHidden/>
          </w:rPr>
        </w:r>
        <w:r>
          <w:rPr>
            <w:noProof/>
            <w:webHidden/>
          </w:rPr>
          <w:fldChar w:fldCharType="separate"/>
        </w:r>
        <w:r w:rsidR="001E3978">
          <w:rPr>
            <w:noProof/>
            <w:webHidden/>
          </w:rPr>
          <w:t>236</w:t>
        </w:r>
        <w:r>
          <w:rPr>
            <w:noProof/>
            <w:webHidden/>
          </w:rPr>
          <w:fldChar w:fldCharType="end"/>
        </w:r>
      </w:hyperlink>
    </w:p>
    <w:p w14:paraId="088E69C2" w14:textId="18675642" w:rsidR="00266B1F" w:rsidRDefault="00266B1F">
      <w:pPr>
        <w:pStyle w:val="TM3"/>
        <w:tabs>
          <w:tab w:val="right" w:leader="dot" w:pos="8630"/>
        </w:tabs>
        <w:rPr>
          <w:noProof/>
          <w:kern w:val="2"/>
          <w:sz w:val="24"/>
          <w:szCs w:val="24"/>
          <w:lang w:eastAsia="fr-BE"/>
          <w14:ligatures w14:val="standardContextual"/>
        </w:rPr>
      </w:pPr>
      <w:hyperlink w:anchor="_Toc233626356" w:history="1">
        <w:r w:rsidRPr="0027322A">
          <w:rPr>
            <w:rStyle w:val="Lienhypertexte"/>
            <w:noProof/>
          </w:rPr>
          <w:t>040/361-04 : Délivrance de documents administratifs</w:t>
        </w:r>
        <w:r>
          <w:rPr>
            <w:noProof/>
            <w:webHidden/>
          </w:rPr>
          <w:tab/>
        </w:r>
        <w:r>
          <w:rPr>
            <w:noProof/>
            <w:webHidden/>
          </w:rPr>
          <w:fldChar w:fldCharType="begin"/>
        </w:r>
        <w:r>
          <w:rPr>
            <w:noProof/>
            <w:webHidden/>
          </w:rPr>
          <w:instrText xml:space="preserve"> PAGEREF _Toc233626356 \h </w:instrText>
        </w:r>
        <w:r>
          <w:rPr>
            <w:noProof/>
            <w:webHidden/>
          </w:rPr>
        </w:r>
        <w:r>
          <w:rPr>
            <w:noProof/>
            <w:webHidden/>
          </w:rPr>
          <w:fldChar w:fldCharType="separate"/>
        </w:r>
        <w:r w:rsidR="001E3978">
          <w:rPr>
            <w:noProof/>
            <w:webHidden/>
          </w:rPr>
          <w:t>236</w:t>
        </w:r>
        <w:r>
          <w:rPr>
            <w:noProof/>
            <w:webHidden/>
          </w:rPr>
          <w:fldChar w:fldCharType="end"/>
        </w:r>
      </w:hyperlink>
    </w:p>
    <w:p w14:paraId="5A7BE9FA" w14:textId="6DD5CCD9" w:rsidR="00266B1F" w:rsidRDefault="00266B1F">
      <w:pPr>
        <w:pStyle w:val="TM3"/>
        <w:tabs>
          <w:tab w:val="right" w:leader="dot" w:pos="8630"/>
        </w:tabs>
        <w:rPr>
          <w:noProof/>
          <w:kern w:val="2"/>
          <w:sz w:val="24"/>
          <w:szCs w:val="24"/>
          <w:lang w:eastAsia="fr-BE"/>
          <w14:ligatures w14:val="standardContextual"/>
        </w:rPr>
      </w:pPr>
      <w:hyperlink w:anchor="_Toc233626357" w:history="1">
        <w:r w:rsidRPr="0027322A">
          <w:rPr>
            <w:rStyle w:val="Lienhypertexte"/>
            <w:noProof/>
          </w:rPr>
          <w:t>Demande de changement de prénom</w:t>
        </w:r>
        <w:r>
          <w:rPr>
            <w:noProof/>
            <w:webHidden/>
          </w:rPr>
          <w:tab/>
        </w:r>
        <w:r>
          <w:rPr>
            <w:noProof/>
            <w:webHidden/>
          </w:rPr>
          <w:fldChar w:fldCharType="begin"/>
        </w:r>
        <w:r>
          <w:rPr>
            <w:noProof/>
            <w:webHidden/>
          </w:rPr>
          <w:instrText xml:space="preserve"> PAGEREF _Toc233626357 \h </w:instrText>
        </w:r>
        <w:r>
          <w:rPr>
            <w:noProof/>
            <w:webHidden/>
          </w:rPr>
        </w:r>
        <w:r>
          <w:rPr>
            <w:noProof/>
            <w:webHidden/>
          </w:rPr>
          <w:fldChar w:fldCharType="separate"/>
        </w:r>
        <w:r w:rsidR="001E3978">
          <w:rPr>
            <w:noProof/>
            <w:webHidden/>
          </w:rPr>
          <w:t>237</w:t>
        </w:r>
        <w:r>
          <w:rPr>
            <w:noProof/>
            <w:webHidden/>
          </w:rPr>
          <w:fldChar w:fldCharType="end"/>
        </w:r>
      </w:hyperlink>
    </w:p>
    <w:p w14:paraId="5ECC05FE" w14:textId="03A0D5AD" w:rsidR="00266B1F" w:rsidRDefault="00266B1F">
      <w:pPr>
        <w:pStyle w:val="TM3"/>
        <w:tabs>
          <w:tab w:val="right" w:leader="dot" w:pos="8630"/>
        </w:tabs>
        <w:rPr>
          <w:noProof/>
          <w:kern w:val="2"/>
          <w:sz w:val="24"/>
          <w:szCs w:val="24"/>
          <w:lang w:eastAsia="fr-BE"/>
          <w14:ligatures w14:val="standardContextual"/>
        </w:rPr>
      </w:pPr>
      <w:hyperlink w:anchor="_Toc233626358" w:history="1">
        <w:r w:rsidRPr="0027322A">
          <w:rPr>
            <w:rStyle w:val="Lienhypertexte"/>
            <w:noProof/>
          </w:rPr>
          <w:t>Demande de changement de nom</w:t>
        </w:r>
        <w:r>
          <w:rPr>
            <w:noProof/>
            <w:webHidden/>
          </w:rPr>
          <w:tab/>
        </w:r>
        <w:r>
          <w:rPr>
            <w:noProof/>
            <w:webHidden/>
          </w:rPr>
          <w:fldChar w:fldCharType="begin"/>
        </w:r>
        <w:r>
          <w:rPr>
            <w:noProof/>
            <w:webHidden/>
          </w:rPr>
          <w:instrText xml:space="preserve"> PAGEREF _Toc233626358 \h </w:instrText>
        </w:r>
        <w:r>
          <w:rPr>
            <w:noProof/>
            <w:webHidden/>
          </w:rPr>
        </w:r>
        <w:r>
          <w:rPr>
            <w:noProof/>
            <w:webHidden/>
          </w:rPr>
          <w:fldChar w:fldCharType="separate"/>
        </w:r>
        <w:r w:rsidR="001E3978">
          <w:rPr>
            <w:noProof/>
            <w:webHidden/>
          </w:rPr>
          <w:t>237</w:t>
        </w:r>
        <w:r>
          <w:rPr>
            <w:noProof/>
            <w:webHidden/>
          </w:rPr>
          <w:fldChar w:fldCharType="end"/>
        </w:r>
      </w:hyperlink>
    </w:p>
    <w:p w14:paraId="540EC9DF" w14:textId="334A5745" w:rsidR="00266B1F" w:rsidRDefault="00266B1F">
      <w:pPr>
        <w:pStyle w:val="TM3"/>
        <w:tabs>
          <w:tab w:val="right" w:leader="dot" w:pos="8630"/>
        </w:tabs>
        <w:rPr>
          <w:noProof/>
          <w:kern w:val="2"/>
          <w:sz w:val="24"/>
          <w:szCs w:val="24"/>
          <w:lang w:eastAsia="fr-BE"/>
          <w14:ligatures w14:val="standardContextual"/>
        </w:rPr>
      </w:pPr>
      <w:hyperlink w:anchor="_Toc233626359" w:history="1">
        <w:r w:rsidRPr="0027322A">
          <w:rPr>
            <w:rStyle w:val="Lienhypertexte"/>
            <w:noProof/>
          </w:rPr>
          <w:t>Enquête pour le permis de location :</w:t>
        </w:r>
        <w:r>
          <w:rPr>
            <w:noProof/>
            <w:webHidden/>
          </w:rPr>
          <w:tab/>
        </w:r>
        <w:r>
          <w:rPr>
            <w:noProof/>
            <w:webHidden/>
          </w:rPr>
          <w:fldChar w:fldCharType="begin"/>
        </w:r>
        <w:r>
          <w:rPr>
            <w:noProof/>
            <w:webHidden/>
          </w:rPr>
          <w:instrText xml:space="preserve"> PAGEREF _Toc233626359 \h </w:instrText>
        </w:r>
        <w:r>
          <w:rPr>
            <w:noProof/>
            <w:webHidden/>
          </w:rPr>
        </w:r>
        <w:r>
          <w:rPr>
            <w:noProof/>
            <w:webHidden/>
          </w:rPr>
          <w:fldChar w:fldCharType="separate"/>
        </w:r>
        <w:r w:rsidR="001E3978">
          <w:rPr>
            <w:noProof/>
            <w:webHidden/>
          </w:rPr>
          <w:t>237</w:t>
        </w:r>
        <w:r>
          <w:rPr>
            <w:noProof/>
            <w:webHidden/>
          </w:rPr>
          <w:fldChar w:fldCharType="end"/>
        </w:r>
      </w:hyperlink>
    </w:p>
    <w:p w14:paraId="56635FBB" w14:textId="7041E3E5" w:rsidR="00266B1F" w:rsidRDefault="00266B1F">
      <w:pPr>
        <w:pStyle w:val="TM3"/>
        <w:tabs>
          <w:tab w:val="right" w:leader="dot" w:pos="8630"/>
        </w:tabs>
        <w:rPr>
          <w:noProof/>
          <w:kern w:val="2"/>
          <w:sz w:val="24"/>
          <w:szCs w:val="24"/>
          <w:lang w:eastAsia="fr-BE"/>
          <w14:ligatures w14:val="standardContextual"/>
        </w:rPr>
      </w:pPr>
      <w:hyperlink w:anchor="_Toc233626360" w:history="1">
        <w:r w:rsidRPr="0027322A">
          <w:rPr>
            <w:rStyle w:val="Lienhypertexte"/>
            <w:noProof/>
          </w:rPr>
          <w:t>040/361-48 : Prestations communales administratives ou techniques en général</w:t>
        </w:r>
        <w:r>
          <w:rPr>
            <w:noProof/>
            <w:webHidden/>
          </w:rPr>
          <w:tab/>
        </w:r>
        <w:r>
          <w:rPr>
            <w:noProof/>
            <w:webHidden/>
          </w:rPr>
          <w:fldChar w:fldCharType="begin"/>
        </w:r>
        <w:r>
          <w:rPr>
            <w:noProof/>
            <w:webHidden/>
          </w:rPr>
          <w:instrText xml:space="preserve"> PAGEREF _Toc233626360 \h </w:instrText>
        </w:r>
        <w:r>
          <w:rPr>
            <w:noProof/>
            <w:webHidden/>
          </w:rPr>
        </w:r>
        <w:r>
          <w:rPr>
            <w:noProof/>
            <w:webHidden/>
          </w:rPr>
          <w:fldChar w:fldCharType="separate"/>
        </w:r>
        <w:r w:rsidR="001E3978">
          <w:rPr>
            <w:noProof/>
            <w:webHidden/>
          </w:rPr>
          <w:t>237</w:t>
        </w:r>
        <w:r>
          <w:rPr>
            <w:noProof/>
            <w:webHidden/>
          </w:rPr>
          <w:fldChar w:fldCharType="end"/>
        </w:r>
      </w:hyperlink>
    </w:p>
    <w:p w14:paraId="3D5C5C1B" w14:textId="268ABDAE" w:rsidR="00266B1F" w:rsidRDefault="00266B1F">
      <w:pPr>
        <w:pStyle w:val="TM3"/>
        <w:tabs>
          <w:tab w:val="right" w:leader="dot" w:pos="8630"/>
        </w:tabs>
        <w:rPr>
          <w:noProof/>
          <w:kern w:val="2"/>
          <w:sz w:val="24"/>
          <w:szCs w:val="24"/>
          <w:lang w:eastAsia="fr-BE"/>
          <w14:ligatures w14:val="standardContextual"/>
        </w:rPr>
      </w:pPr>
      <w:hyperlink w:anchor="_Toc233626361" w:history="1">
        <w:r w:rsidRPr="0027322A">
          <w:rPr>
            <w:rStyle w:val="Lienhypertexte"/>
            <w:noProof/>
          </w:rPr>
          <w:t>Traitement – Certificat d’urbanisme n°1</w:t>
        </w:r>
        <w:r>
          <w:rPr>
            <w:noProof/>
            <w:webHidden/>
          </w:rPr>
          <w:tab/>
        </w:r>
        <w:r>
          <w:rPr>
            <w:noProof/>
            <w:webHidden/>
          </w:rPr>
          <w:fldChar w:fldCharType="begin"/>
        </w:r>
        <w:r>
          <w:rPr>
            <w:noProof/>
            <w:webHidden/>
          </w:rPr>
          <w:instrText xml:space="preserve"> PAGEREF _Toc233626361 \h </w:instrText>
        </w:r>
        <w:r>
          <w:rPr>
            <w:noProof/>
            <w:webHidden/>
          </w:rPr>
        </w:r>
        <w:r>
          <w:rPr>
            <w:noProof/>
            <w:webHidden/>
          </w:rPr>
          <w:fldChar w:fldCharType="separate"/>
        </w:r>
        <w:r w:rsidR="001E3978">
          <w:rPr>
            <w:noProof/>
            <w:webHidden/>
          </w:rPr>
          <w:t>237</w:t>
        </w:r>
        <w:r>
          <w:rPr>
            <w:noProof/>
            <w:webHidden/>
          </w:rPr>
          <w:fldChar w:fldCharType="end"/>
        </w:r>
      </w:hyperlink>
    </w:p>
    <w:p w14:paraId="1B46431D" w14:textId="6EED0F87" w:rsidR="00266B1F" w:rsidRDefault="00266B1F">
      <w:pPr>
        <w:pStyle w:val="TM3"/>
        <w:tabs>
          <w:tab w:val="right" w:leader="dot" w:pos="8630"/>
        </w:tabs>
        <w:rPr>
          <w:noProof/>
          <w:kern w:val="2"/>
          <w:sz w:val="24"/>
          <w:szCs w:val="24"/>
          <w:lang w:eastAsia="fr-BE"/>
          <w14:ligatures w14:val="standardContextual"/>
        </w:rPr>
      </w:pPr>
      <w:hyperlink w:anchor="_Toc233626362" w:history="1">
        <w:r w:rsidRPr="0027322A">
          <w:rPr>
            <w:rStyle w:val="Lienhypertexte"/>
            <w:noProof/>
          </w:rPr>
          <w:t>Traitement – Permis d’urbanisme / d’urbanisation / Certificat n°2</w:t>
        </w:r>
        <w:r>
          <w:rPr>
            <w:noProof/>
            <w:webHidden/>
          </w:rPr>
          <w:tab/>
        </w:r>
        <w:r>
          <w:rPr>
            <w:noProof/>
            <w:webHidden/>
          </w:rPr>
          <w:fldChar w:fldCharType="begin"/>
        </w:r>
        <w:r>
          <w:rPr>
            <w:noProof/>
            <w:webHidden/>
          </w:rPr>
          <w:instrText xml:space="preserve"> PAGEREF _Toc233626362 \h </w:instrText>
        </w:r>
        <w:r>
          <w:rPr>
            <w:noProof/>
            <w:webHidden/>
          </w:rPr>
        </w:r>
        <w:r>
          <w:rPr>
            <w:noProof/>
            <w:webHidden/>
          </w:rPr>
          <w:fldChar w:fldCharType="separate"/>
        </w:r>
        <w:r w:rsidR="001E3978">
          <w:rPr>
            <w:noProof/>
            <w:webHidden/>
          </w:rPr>
          <w:t>238</w:t>
        </w:r>
        <w:r>
          <w:rPr>
            <w:noProof/>
            <w:webHidden/>
          </w:rPr>
          <w:fldChar w:fldCharType="end"/>
        </w:r>
      </w:hyperlink>
    </w:p>
    <w:p w14:paraId="71897810" w14:textId="2F1EFB17" w:rsidR="00266B1F" w:rsidRDefault="00266B1F">
      <w:pPr>
        <w:pStyle w:val="TM3"/>
        <w:tabs>
          <w:tab w:val="right" w:leader="dot" w:pos="8630"/>
        </w:tabs>
        <w:rPr>
          <w:noProof/>
          <w:kern w:val="2"/>
          <w:sz w:val="24"/>
          <w:szCs w:val="24"/>
          <w:lang w:eastAsia="fr-BE"/>
          <w14:ligatures w14:val="standardContextual"/>
        </w:rPr>
      </w:pPr>
      <w:hyperlink w:anchor="_Toc233626363" w:history="1">
        <w:r w:rsidRPr="0027322A">
          <w:rPr>
            <w:rStyle w:val="Lienhypertexte"/>
            <w:noProof/>
          </w:rPr>
          <w:t>Traitement – Permis groupés / écarts SDT / dérogations plan secteur</w:t>
        </w:r>
        <w:r>
          <w:rPr>
            <w:noProof/>
            <w:webHidden/>
          </w:rPr>
          <w:tab/>
        </w:r>
        <w:r>
          <w:rPr>
            <w:noProof/>
            <w:webHidden/>
          </w:rPr>
          <w:fldChar w:fldCharType="begin"/>
        </w:r>
        <w:r>
          <w:rPr>
            <w:noProof/>
            <w:webHidden/>
          </w:rPr>
          <w:instrText xml:space="preserve"> PAGEREF _Toc233626363 \h </w:instrText>
        </w:r>
        <w:r>
          <w:rPr>
            <w:noProof/>
            <w:webHidden/>
          </w:rPr>
        </w:r>
        <w:r>
          <w:rPr>
            <w:noProof/>
            <w:webHidden/>
          </w:rPr>
          <w:fldChar w:fldCharType="separate"/>
        </w:r>
        <w:r w:rsidR="001E3978">
          <w:rPr>
            <w:noProof/>
            <w:webHidden/>
          </w:rPr>
          <w:t>238</w:t>
        </w:r>
        <w:r>
          <w:rPr>
            <w:noProof/>
            <w:webHidden/>
          </w:rPr>
          <w:fldChar w:fldCharType="end"/>
        </w:r>
      </w:hyperlink>
    </w:p>
    <w:p w14:paraId="41CFF76C" w14:textId="7D0434B0" w:rsidR="00266B1F" w:rsidRDefault="00266B1F">
      <w:pPr>
        <w:pStyle w:val="TM3"/>
        <w:tabs>
          <w:tab w:val="right" w:leader="dot" w:pos="8630"/>
        </w:tabs>
        <w:rPr>
          <w:noProof/>
          <w:kern w:val="2"/>
          <w:sz w:val="24"/>
          <w:szCs w:val="24"/>
          <w:lang w:eastAsia="fr-BE"/>
          <w14:ligatures w14:val="standardContextual"/>
        </w:rPr>
      </w:pPr>
      <w:hyperlink w:anchor="_Toc233626364" w:history="1">
        <w:r w:rsidRPr="0027322A">
          <w:rPr>
            <w:rStyle w:val="Lienhypertexte"/>
            <w:noProof/>
          </w:rPr>
          <w:t>Indication sur place de l’implantation + PV (art. D.IV.72 CoDT)</w:t>
        </w:r>
        <w:r>
          <w:rPr>
            <w:noProof/>
            <w:webHidden/>
          </w:rPr>
          <w:tab/>
        </w:r>
        <w:r>
          <w:rPr>
            <w:noProof/>
            <w:webHidden/>
          </w:rPr>
          <w:fldChar w:fldCharType="begin"/>
        </w:r>
        <w:r>
          <w:rPr>
            <w:noProof/>
            <w:webHidden/>
          </w:rPr>
          <w:instrText xml:space="preserve"> PAGEREF _Toc233626364 \h </w:instrText>
        </w:r>
        <w:r>
          <w:rPr>
            <w:noProof/>
            <w:webHidden/>
          </w:rPr>
        </w:r>
        <w:r>
          <w:rPr>
            <w:noProof/>
            <w:webHidden/>
          </w:rPr>
          <w:fldChar w:fldCharType="separate"/>
        </w:r>
        <w:r w:rsidR="001E3978">
          <w:rPr>
            <w:noProof/>
            <w:webHidden/>
          </w:rPr>
          <w:t>238</w:t>
        </w:r>
        <w:r>
          <w:rPr>
            <w:noProof/>
            <w:webHidden/>
          </w:rPr>
          <w:fldChar w:fldCharType="end"/>
        </w:r>
      </w:hyperlink>
    </w:p>
    <w:p w14:paraId="6253BC94" w14:textId="6022C14F" w:rsidR="00266B1F" w:rsidRDefault="00266B1F">
      <w:pPr>
        <w:pStyle w:val="TM3"/>
        <w:tabs>
          <w:tab w:val="right" w:leader="dot" w:pos="8630"/>
        </w:tabs>
        <w:rPr>
          <w:noProof/>
          <w:kern w:val="2"/>
          <w:sz w:val="24"/>
          <w:szCs w:val="24"/>
          <w:lang w:eastAsia="fr-BE"/>
          <w14:ligatures w14:val="standardContextual"/>
        </w:rPr>
      </w:pPr>
      <w:hyperlink w:anchor="_Toc233626365" w:history="1">
        <w:r w:rsidRPr="0027322A">
          <w:rPr>
            <w:rStyle w:val="Lienhypertexte"/>
            <w:noProof/>
          </w:rPr>
          <w:t>Permis d’urbanisme de régularisation</w:t>
        </w:r>
        <w:r>
          <w:rPr>
            <w:noProof/>
            <w:webHidden/>
          </w:rPr>
          <w:tab/>
        </w:r>
        <w:r>
          <w:rPr>
            <w:noProof/>
            <w:webHidden/>
          </w:rPr>
          <w:fldChar w:fldCharType="begin"/>
        </w:r>
        <w:r>
          <w:rPr>
            <w:noProof/>
            <w:webHidden/>
          </w:rPr>
          <w:instrText xml:space="preserve"> PAGEREF _Toc233626365 \h </w:instrText>
        </w:r>
        <w:r>
          <w:rPr>
            <w:noProof/>
            <w:webHidden/>
          </w:rPr>
        </w:r>
        <w:r>
          <w:rPr>
            <w:noProof/>
            <w:webHidden/>
          </w:rPr>
          <w:fldChar w:fldCharType="separate"/>
        </w:r>
        <w:r w:rsidR="001E3978">
          <w:rPr>
            <w:noProof/>
            <w:webHidden/>
          </w:rPr>
          <w:t>238</w:t>
        </w:r>
        <w:r>
          <w:rPr>
            <w:noProof/>
            <w:webHidden/>
          </w:rPr>
          <w:fldChar w:fldCharType="end"/>
        </w:r>
      </w:hyperlink>
    </w:p>
    <w:p w14:paraId="41766B82" w14:textId="40D78F1B" w:rsidR="00266B1F" w:rsidRDefault="00266B1F">
      <w:pPr>
        <w:pStyle w:val="TM3"/>
        <w:tabs>
          <w:tab w:val="left" w:pos="960"/>
          <w:tab w:val="right" w:leader="dot" w:pos="8630"/>
        </w:tabs>
        <w:rPr>
          <w:noProof/>
          <w:kern w:val="2"/>
          <w:sz w:val="24"/>
          <w:szCs w:val="24"/>
          <w:lang w:eastAsia="fr-BE"/>
          <w14:ligatures w14:val="standardContextual"/>
        </w:rPr>
      </w:pPr>
      <w:hyperlink w:anchor="_Toc233626366" w:history="1">
        <w:r w:rsidRPr="0027322A">
          <w:rPr>
            <w:rStyle w:val="Lienhypertexte"/>
            <w:smallCaps/>
            <w:noProof/>
          </w:rPr>
          <w:t>B.</w:t>
        </w:r>
        <w:r>
          <w:rPr>
            <w:noProof/>
            <w:kern w:val="2"/>
            <w:sz w:val="24"/>
            <w:szCs w:val="24"/>
            <w:lang w:eastAsia="fr-BE"/>
            <w14:ligatures w14:val="standardContextual"/>
          </w:rPr>
          <w:tab/>
        </w:r>
        <w:r w:rsidRPr="0027322A">
          <w:rPr>
            <w:rStyle w:val="Lienhypertexte"/>
            <w:noProof/>
          </w:rPr>
          <w:t>040/362 taxes de remboursement</w:t>
        </w:r>
        <w:r>
          <w:rPr>
            <w:noProof/>
            <w:webHidden/>
          </w:rPr>
          <w:tab/>
        </w:r>
        <w:r>
          <w:rPr>
            <w:noProof/>
            <w:webHidden/>
          </w:rPr>
          <w:fldChar w:fldCharType="begin"/>
        </w:r>
        <w:r>
          <w:rPr>
            <w:noProof/>
            <w:webHidden/>
          </w:rPr>
          <w:instrText xml:space="preserve"> PAGEREF _Toc233626366 \h </w:instrText>
        </w:r>
        <w:r>
          <w:rPr>
            <w:noProof/>
            <w:webHidden/>
          </w:rPr>
        </w:r>
        <w:r>
          <w:rPr>
            <w:noProof/>
            <w:webHidden/>
          </w:rPr>
          <w:fldChar w:fldCharType="separate"/>
        </w:r>
        <w:r w:rsidR="001E3978">
          <w:rPr>
            <w:noProof/>
            <w:webHidden/>
          </w:rPr>
          <w:t>238</w:t>
        </w:r>
        <w:r>
          <w:rPr>
            <w:noProof/>
            <w:webHidden/>
          </w:rPr>
          <w:fldChar w:fldCharType="end"/>
        </w:r>
      </w:hyperlink>
    </w:p>
    <w:p w14:paraId="770729B9" w14:textId="30B48E81" w:rsidR="00266B1F" w:rsidRDefault="00266B1F">
      <w:pPr>
        <w:pStyle w:val="TM3"/>
        <w:tabs>
          <w:tab w:val="right" w:leader="dot" w:pos="8630"/>
        </w:tabs>
        <w:rPr>
          <w:noProof/>
          <w:kern w:val="2"/>
          <w:sz w:val="24"/>
          <w:szCs w:val="24"/>
          <w:lang w:eastAsia="fr-BE"/>
          <w14:ligatures w14:val="standardContextual"/>
        </w:rPr>
      </w:pPr>
      <w:hyperlink w:anchor="_Toc233626367" w:history="1">
        <w:r w:rsidRPr="0027322A">
          <w:rPr>
            <w:rStyle w:val="Lienhypertexte"/>
            <w:noProof/>
          </w:rPr>
          <w:t>040/362-01 Acquisition d’assiettes de voirie</w:t>
        </w:r>
        <w:r>
          <w:rPr>
            <w:noProof/>
            <w:webHidden/>
          </w:rPr>
          <w:tab/>
        </w:r>
        <w:r>
          <w:rPr>
            <w:noProof/>
            <w:webHidden/>
          </w:rPr>
          <w:fldChar w:fldCharType="begin"/>
        </w:r>
        <w:r>
          <w:rPr>
            <w:noProof/>
            <w:webHidden/>
          </w:rPr>
          <w:instrText xml:space="preserve"> PAGEREF _Toc233626367 \h </w:instrText>
        </w:r>
        <w:r>
          <w:rPr>
            <w:noProof/>
            <w:webHidden/>
          </w:rPr>
        </w:r>
        <w:r>
          <w:rPr>
            <w:noProof/>
            <w:webHidden/>
          </w:rPr>
          <w:fldChar w:fldCharType="separate"/>
        </w:r>
        <w:r w:rsidR="001E3978">
          <w:rPr>
            <w:noProof/>
            <w:webHidden/>
          </w:rPr>
          <w:t>238</w:t>
        </w:r>
        <w:r>
          <w:rPr>
            <w:noProof/>
            <w:webHidden/>
          </w:rPr>
          <w:fldChar w:fldCharType="end"/>
        </w:r>
      </w:hyperlink>
    </w:p>
    <w:p w14:paraId="68D893B1" w14:textId="37D32FBF" w:rsidR="00266B1F" w:rsidRDefault="00266B1F">
      <w:pPr>
        <w:pStyle w:val="TM3"/>
        <w:tabs>
          <w:tab w:val="right" w:leader="dot" w:pos="8630"/>
        </w:tabs>
        <w:rPr>
          <w:noProof/>
          <w:kern w:val="2"/>
          <w:sz w:val="24"/>
          <w:szCs w:val="24"/>
          <w:lang w:eastAsia="fr-BE"/>
          <w14:ligatures w14:val="standardContextual"/>
        </w:rPr>
      </w:pPr>
      <w:hyperlink w:anchor="_Toc233626368" w:history="1">
        <w:r w:rsidRPr="0027322A">
          <w:rPr>
            <w:rStyle w:val="Lienhypertexte"/>
            <w:noProof/>
          </w:rPr>
          <w:t>040/362-02 Pavage / revêtement de voirie</w:t>
        </w:r>
        <w:r>
          <w:rPr>
            <w:noProof/>
            <w:webHidden/>
          </w:rPr>
          <w:tab/>
        </w:r>
        <w:r>
          <w:rPr>
            <w:noProof/>
            <w:webHidden/>
          </w:rPr>
          <w:fldChar w:fldCharType="begin"/>
        </w:r>
        <w:r>
          <w:rPr>
            <w:noProof/>
            <w:webHidden/>
          </w:rPr>
          <w:instrText xml:space="preserve"> PAGEREF _Toc233626368 \h </w:instrText>
        </w:r>
        <w:r>
          <w:rPr>
            <w:noProof/>
            <w:webHidden/>
          </w:rPr>
        </w:r>
        <w:r>
          <w:rPr>
            <w:noProof/>
            <w:webHidden/>
          </w:rPr>
          <w:fldChar w:fldCharType="separate"/>
        </w:r>
        <w:r w:rsidR="001E3978">
          <w:rPr>
            <w:noProof/>
            <w:webHidden/>
          </w:rPr>
          <w:t>238</w:t>
        </w:r>
        <w:r>
          <w:rPr>
            <w:noProof/>
            <w:webHidden/>
          </w:rPr>
          <w:fldChar w:fldCharType="end"/>
        </w:r>
      </w:hyperlink>
    </w:p>
    <w:p w14:paraId="57A6E64F" w14:textId="6FBC48F5" w:rsidR="00266B1F" w:rsidRDefault="00266B1F">
      <w:pPr>
        <w:pStyle w:val="TM3"/>
        <w:tabs>
          <w:tab w:val="right" w:leader="dot" w:pos="8630"/>
        </w:tabs>
        <w:rPr>
          <w:noProof/>
          <w:kern w:val="2"/>
          <w:sz w:val="24"/>
          <w:szCs w:val="24"/>
          <w:lang w:eastAsia="fr-BE"/>
          <w14:ligatures w14:val="standardContextual"/>
        </w:rPr>
      </w:pPr>
      <w:hyperlink w:anchor="_Toc233626369" w:history="1">
        <w:r w:rsidRPr="0027322A">
          <w:rPr>
            <w:rStyle w:val="Lienhypertexte"/>
            <w:noProof/>
          </w:rPr>
          <w:t>040/362-03 Construction des trottoirs</w:t>
        </w:r>
        <w:r>
          <w:rPr>
            <w:noProof/>
            <w:webHidden/>
          </w:rPr>
          <w:tab/>
        </w:r>
        <w:r>
          <w:rPr>
            <w:noProof/>
            <w:webHidden/>
          </w:rPr>
          <w:fldChar w:fldCharType="begin"/>
        </w:r>
        <w:r>
          <w:rPr>
            <w:noProof/>
            <w:webHidden/>
          </w:rPr>
          <w:instrText xml:space="preserve"> PAGEREF _Toc233626369 \h </w:instrText>
        </w:r>
        <w:r>
          <w:rPr>
            <w:noProof/>
            <w:webHidden/>
          </w:rPr>
        </w:r>
        <w:r>
          <w:rPr>
            <w:noProof/>
            <w:webHidden/>
          </w:rPr>
          <w:fldChar w:fldCharType="separate"/>
        </w:r>
        <w:r w:rsidR="001E3978">
          <w:rPr>
            <w:noProof/>
            <w:webHidden/>
          </w:rPr>
          <w:t>238</w:t>
        </w:r>
        <w:r>
          <w:rPr>
            <w:noProof/>
            <w:webHidden/>
          </w:rPr>
          <w:fldChar w:fldCharType="end"/>
        </w:r>
      </w:hyperlink>
    </w:p>
    <w:p w14:paraId="38DE4BF3" w14:textId="4E4588DD" w:rsidR="00266B1F" w:rsidRDefault="00266B1F">
      <w:pPr>
        <w:pStyle w:val="TM3"/>
        <w:tabs>
          <w:tab w:val="right" w:leader="dot" w:pos="8630"/>
        </w:tabs>
        <w:rPr>
          <w:noProof/>
          <w:kern w:val="2"/>
          <w:sz w:val="24"/>
          <w:szCs w:val="24"/>
          <w:lang w:eastAsia="fr-BE"/>
          <w14:ligatures w14:val="standardContextual"/>
        </w:rPr>
      </w:pPr>
      <w:hyperlink w:anchor="_Toc233626370" w:history="1">
        <w:r w:rsidRPr="0027322A">
          <w:rPr>
            <w:rStyle w:val="Lienhypertexte"/>
            <w:noProof/>
          </w:rPr>
          <w:t>040/362-04 Constructions d’égouts</w:t>
        </w:r>
        <w:r>
          <w:rPr>
            <w:noProof/>
            <w:webHidden/>
          </w:rPr>
          <w:tab/>
        </w:r>
        <w:r>
          <w:rPr>
            <w:noProof/>
            <w:webHidden/>
          </w:rPr>
          <w:fldChar w:fldCharType="begin"/>
        </w:r>
        <w:r>
          <w:rPr>
            <w:noProof/>
            <w:webHidden/>
          </w:rPr>
          <w:instrText xml:space="preserve"> PAGEREF _Toc233626370 \h </w:instrText>
        </w:r>
        <w:r>
          <w:rPr>
            <w:noProof/>
            <w:webHidden/>
          </w:rPr>
        </w:r>
        <w:r>
          <w:rPr>
            <w:noProof/>
            <w:webHidden/>
          </w:rPr>
          <w:fldChar w:fldCharType="separate"/>
        </w:r>
        <w:r w:rsidR="001E3978">
          <w:rPr>
            <w:noProof/>
            <w:webHidden/>
          </w:rPr>
          <w:t>238</w:t>
        </w:r>
        <w:r>
          <w:rPr>
            <w:noProof/>
            <w:webHidden/>
          </w:rPr>
          <w:fldChar w:fldCharType="end"/>
        </w:r>
      </w:hyperlink>
    </w:p>
    <w:p w14:paraId="43148EA8" w14:textId="11018CE0" w:rsidR="00266B1F" w:rsidRDefault="00266B1F">
      <w:pPr>
        <w:pStyle w:val="TM3"/>
        <w:tabs>
          <w:tab w:val="right" w:leader="dot" w:pos="8630"/>
        </w:tabs>
        <w:rPr>
          <w:noProof/>
          <w:kern w:val="2"/>
          <w:sz w:val="24"/>
          <w:szCs w:val="24"/>
          <w:lang w:eastAsia="fr-BE"/>
          <w14:ligatures w14:val="standardContextual"/>
        </w:rPr>
      </w:pPr>
      <w:hyperlink w:anchor="_Toc233626371" w:history="1">
        <w:r w:rsidRPr="0027322A">
          <w:rPr>
            <w:rStyle w:val="Lienhypertexte"/>
            <w:noProof/>
          </w:rPr>
          <w:t>040/362-05 Travaux de raccordement au réseau d’égouts</w:t>
        </w:r>
        <w:r>
          <w:rPr>
            <w:noProof/>
            <w:webHidden/>
          </w:rPr>
          <w:tab/>
        </w:r>
        <w:r>
          <w:rPr>
            <w:noProof/>
            <w:webHidden/>
          </w:rPr>
          <w:fldChar w:fldCharType="begin"/>
        </w:r>
        <w:r>
          <w:rPr>
            <w:noProof/>
            <w:webHidden/>
          </w:rPr>
          <w:instrText xml:space="preserve"> PAGEREF _Toc233626371 \h </w:instrText>
        </w:r>
        <w:r>
          <w:rPr>
            <w:noProof/>
            <w:webHidden/>
          </w:rPr>
        </w:r>
        <w:r>
          <w:rPr>
            <w:noProof/>
            <w:webHidden/>
          </w:rPr>
          <w:fldChar w:fldCharType="separate"/>
        </w:r>
        <w:r w:rsidR="001E3978">
          <w:rPr>
            <w:noProof/>
            <w:webHidden/>
          </w:rPr>
          <w:t>238</w:t>
        </w:r>
        <w:r>
          <w:rPr>
            <w:noProof/>
            <w:webHidden/>
          </w:rPr>
          <w:fldChar w:fldCharType="end"/>
        </w:r>
      </w:hyperlink>
    </w:p>
    <w:p w14:paraId="06B193A8" w14:textId="4DA3E5FA" w:rsidR="00266B1F" w:rsidRDefault="00266B1F">
      <w:pPr>
        <w:pStyle w:val="TM3"/>
        <w:tabs>
          <w:tab w:val="right" w:leader="dot" w:pos="8630"/>
        </w:tabs>
        <w:rPr>
          <w:noProof/>
          <w:kern w:val="2"/>
          <w:sz w:val="24"/>
          <w:szCs w:val="24"/>
          <w:lang w:eastAsia="fr-BE"/>
          <w14:ligatures w14:val="standardContextual"/>
        </w:rPr>
      </w:pPr>
      <w:hyperlink w:anchor="_Toc233626372" w:history="1">
        <w:r w:rsidRPr="0027322A">
          <w:rPr>
            <w:rStyle w:val="Lienhypertexte"/>
            <w:noProof/>
          </w:rPr>
          <w:t>040/362-07 Urbanisation</w:t>
        </w:r>
        <w:r>
          <w:rPr>
            <w:noProof/>
            <w:webHidden/>
          </w:rPr>
          <w:tab/>
        </w:r>
        <w:r>
          <w:rPr>
            <w:noProof/>
            <w:webHidden/>
          </w:rPr>
          <w:fldChar w:fldCharType="begin"/>
        </w:r>
        <w:r>
          <w:rPr>
            <w:noProof/>
            <w:webHidden/>
          </w:rPr>
          <w:instrText xml:space="preserve"> PAGEREF _Toc233626372 \h </w:instrText>
        </w:r>
        <w:r>
          <w:rPr>
            <w:noProof/>
            <w:webHidden/>
          </w:rPr>
        </w:r>
        <w:r>
          <w:rPr>
            <w:noProof/>
            <w:webHidden/>
          </w:rPr>
          <w:fldChar w:fldCharType="separate"/>
        </w:r>
        <w:r w:rsidR="001E3978">
          <w:rPr>
            <w:noProof/>
            <w:webHidden/>
          </w:rPr>
          <w:t>239</w:t>
        </w:r>
        <w:r>
          <w:rPr>
            <w:noProof/>
            <w:webHidden/>
          </w:rPr>
          <w:fldChar w:fldCharType="end"/>
        </w:r>
      </w:hyperlink>
    </w:p>
    <w:p w14:paraId="657A5897" w14:textId="44E7A3BF" w:rsidR="00266B1F" w:rsidRDefault="00266B1F">
      <w:pPr>
        <w:pStyle w:val="TM3"/>
        <w:tabs>
          <w:tab w:val="right" w:leader="dot" w:pos="8630"/>
        </w:tabs>
        <w:rPr>
          <w:noProof/>
          <w:kern w:val="2"/>
          <w:sz w:val="24"/>
          <w:szCs w:val="24"/>
          <w:lang w:eastAsia="fr-BE"/>
          <w14:ligatures w14:val="standardContextual"/>
        </w:rPr>
      </w:pPr>
      <w:hyperlink w:anchor="_Toc233626373" w:history="1">
        <w:r w:rsidRPr="0027322A">
          <w:rPr>
            <w:rStyle w:val="Lienhypertexte"/>
            <w:noProof/>
          </w:rPr>
          <w:t>040/362-08 Inflexion dans les trottoirs</w:t>
        </w:r>
        <w:r>
          <w:rPr>
            <w:noProof/>
            <w:webHidden/>
          </w:rPr>
          <w:tab/>
        </w:r>
        <w:r>
          <w:rPr>
            <w:noProof/>
            <w:webHidden/>
          </w:rPr>
          <w:fldChar w:fldCharType="begin"/>
        </w:r>
        <w:r>
          <w:rPr>
            <w:noProof/>
            <w:webHidden/>
          </w:rPr>
          <w:instrText xml:space="preserve"> PAGEREF _Toc233626373 \h </w:instrText>
        </w:r>
        <w:r>
          <w:rPr>
            <w:noProof/>
            <w:webHidden/>
          </w:rPr>
        </w:r>
        <w:r>
          <w:rPr>
            <w:noProof/>
            <w:webHidden/>
          </w:rPr>
          <w:fldChar w:fldCharType="separate"/>
        </w:r>
        <w:r w:rsidR="001E3978">
          <w:rPr>
            <w:noProof/>
            <w:webHidden/>
          </w:rPr>
          <w:t>239</w:t>
        </w:r>
        <w:r>
          <w:rPr>
            <w:noProof/>
            <w:webHidden/>
          </w:rPr>
          <w:fldChar w:fldCharType="end"/>
        </w:r>
      </w:hyperlink>
    </w:p>
    <w:p w14:paraId="21A57A6A" w14:textId="5D88B943" w:rsidR="00266B1F" w:rsidRDefault="00266B1F">
      <w:pPr>
        <w:pStyle w:val="TM3"/>
        <w:tabs>
          <w:tab w:val="right" w:leader="dot" w:pos="8630"/>
        </w:tabs>
        <w:rPr>
          <w:noProof/>
          <w:kern w:val="2"/>
          <w:sz w:val="24"/>
          <w:szCs w:val="24"/>
          <w:lang w:eastAsia="fr-BE"/>
          <w14:ligatures w14:val="standardContextual"/>
        </w:rPr>
      </w:pPr>
      <w:hyperlink w:anchor="_Toc233626374" w:history="1">
        <w:r w:rsidRPr="0027322A">
          <w:rPr>
            <w:rStyle w:val="Lienhypertexte"/>
            <w:noProof/>
          </w:rPr>
          <w:t>040/362-09 Aménagement rues piétonnières commerçantes</w:t>
        </w:r>
        <w:r>
          <w:rPr>
            <w:noProof/>
            <w:webHidden/>
          </w:rPr>
          <w:tab/>
        </w:r>
        <w:r>
          <w:rPr>
            <w:noProof/>
            <w:webHidden/>
          </w:rPr>
          <w:fldChar w:fldCharType="begin"/>
        </w:r>
        <w:r>
          <w:rPr>
            <w:noProof/>
            <w:webHidden/>
          </w:rPr>
          <w:instrText xml:space="preserve"> PAGEREF _Toc233626374 \h </w:instrText>
        </w:r>
        <w:r>
          <w:rPr>
            <w:noProof/>
            <w:webHidden/>
          </w:rPr>
        </w:r>
        <w:r>
          <w:rPr>
            <w:noProof/>
            <w:webHidden/>
          </w:rPr>
          <w:fldChar w:fldCharType="separate"/>
        </w:r>
        <w:r w:rsidR="001E3978">
          <w:rPr>
            <w:noProof/>
            <w:webHidden/>
          </w:rPr>
          <w:t>239</w:t>
        </w:r>
        <w:r>
          <w:rPr>
            <w:noProof/>
            <w:webHidden/>
          </w:rPr>
          <w:fldChar w:fldCharType="end"/>
        </w:r>
      </w:hyperlink>
    </w:p>
    <w:p w14:paraId="6455FB03" w14:textId="44EAB4AE" w:rsidR="00266B1F" w:rsidRDefault="00266B1F">
      <w:pPr>
        <w:pStyle w:val="TM3"/>
        <w:tabs>
          <w:tab w:val="left" w:pos="960"/>
          <w:tab w:val="right" w:leader="dot" w:pos="8630"/>
        </w:tabs>
        <w:rPr>
          <w:noProof/>
          <w:kern w:val="2"/>
          <w:sz w:val="24"/>
          <w:szCs w:val="24"/>
          <w:lang w:eastAsia="fr-BE"/>
          <w14:ligatures w14:val="standardContextual"/>
        </w:rPr>
      </w:pPr>
      <w:hyperlink w:anchor="_Toc233626375" w:history="1">
        <w:r w:rsidRPr="0027322A">
          <w:rPr>
            <w:rStyle w:val="Lienhypertexte"/>
            <w:smallCaps/>
            <w:noProof/>
          </w:rPr>
          <w:t>C.</w:t>
        </w:r>
        <w:r>
          <w:rPr>
            <w:noProof/>
            <w:kern w:val="2"/>
            <w:sz w:val="24"/>
            <w:szCs w:val="24"/>
            <w:lang w:eastAsia="fr-BE"/>
            <w14:ligatures w14:val="standardContextual"/>
          </w:rPr>
          <w:tab/>
        </w:r>
        <w:r w:rsidRPr="0027322A">
          <w:rPr>
            <w:rStyle w:val="Lienhypertexte"/>
            <w:noProof/>
          </w:rPr>
          <w:t>040/363 Prestations d’hygiène</w:t>
        </w:r>
        <w:r>
          <w:rPr>
            <w:noProof/>
            <w:webHidden/>
          </w:rPr>
          <w:tab/>
        </w:r>
        <w:r>
          <w:rPr>
            <w:noProof/>
            <w:webHidden/>
          </w:rPr>
          <w:fldChar w:fldCharType="begin"/>
        </w:r>
        <w:r>
          <w:rPr>
            <w:noProof/>
            <w:webHidden/>
          </w:rPr>
          <w:instrText xml:space="preserve"> PAGEREF _Toc233626375 \h </w:instrText>
        </w:r>
        <w:r>
          <w:rPr>
            <w:noProof/>
            <w:webHidden/>
          </w:rPr>
        </w:r>
        <w:r>
          <w:rPr>
            <w:noProof/>
            <w:webHidden/>
          </w:rPr>
          <w:fldChar w:fldCharType="separate"/>
        </w:r>
        <w:r w:rsidR="001E3978">
          <w:rPr>
            <w:noProof/>
            <w:webHidden/>
          </w:rPr>
          <w:t>239</w:t>
        </w:r>
        <w:r>
          <w:rPr>
            <w:noProof/>
            <w:webHidden/>
          </w:rPr>
          <w:fldChar w:fldCharType="end"/>
        </w:r>
      </w:hyperlink>
    </w:p>
    <w:p w14:paraId="518B9F5F" w14:textId="6BF42F44" w:rsidR="00266B1F" w:rsidRDefault="00266B1F">
      <w:pPr>
        <w:pStyle w:val="TM3"/>
        <w:tabs>
          <w:tab w:val="right" w:leader="dot" w:pos="8630"/>
        </w:tabs>
        <w:rPr>
          <w:noProof/>
          <w:kern w:val="2"/>
          <w:sz w:val="24"/>
          <w:szCs w:val="24"/>
          <w:lang w:eastAsia="fr-BE"/>
          <w14:ligatures w14:val="standardContextual"/>
        </w:rPr>
      </w:pPr>
      <w:hyperlink w:anchor="_Toc233626376" w:history="1">
        <w:r w:rsidRPr="0027322A">
          <w:rPr>
            <w:rStyle w:val="Lienhypertexte"/>
            <w:noProof/>
          </w:rPr>
          <w:t>040/363-02 Travaux de raccordement au réseau de distribution d’eau</w:t>
        </w:r>
        <w:r>
          <w:rPr>
            <w:noProof/>
            <w:webHidden/>
          </w:rPr>
          <w:tab/>
        </w:r>
        <w:r>
          <w:rPr>
            <w:noProof/>
            <w:webHidden/>
          </w:rPr>
          <w:fldChar w:fldCharType="begin"/>
        </w:r>
        <w:r>
          <w:rPr>
            <w:noProof/>
            <w:webHidden/>
          </w:rPr>
          <w:instrText xml:space="preserve"> PAGEREF _Toc233626376 \h </w:instrText>
        </w:r>
        <w:r>
          <w:rPr>
            <w:noProof/>
            <w:webHidden/>
          </w:rPr>
        </w:r>
        <w:r>
          <w:rPr>
            <w:noProof/>
            <w:webHidden/>
          </w:rPr>
          <w:fldChar w:fldCharType="separate"/>
        </w:r>
        <w:r w:rsidR="001E3978">
          <w:rPr>
            <w:noProof/>
            <w:webHidden/>
          </w:rPr>
          <w:t>239</w:t>
        </w:r>
        <w:r>
          <w:rPr>
            <w:noProof/>
            <w:webHidden/>
          </w:rPr>
          <w:fldChar w:fldCharType="end"/>
        </w:r>
      </w:hyperlink>
    </w:p>
    <w:p w14:paraId="746DCDF5" w14:textId="7D0879F5" w:rsidR="00266B1F" w:rsidRDefault="00266B1F">
      <w:pPr>
        <w:pStyle w:val="TM3"/>
        <w:tabs>
          <w:tab w:val="right" w:leader="dot" w:pos="8630"/>
        </w:tabs>
        <w:rPr>
          <w:noProof/>
          <w:kern w:val="2"/>
          <w:sz w:val="24"/>
          <w:szCs w:val="24"/>
          <w:lang w:eastAsia="fr-BE"/>
          <w14:ligatures w14:val="standardContextual"/>
        </w:rPr>
      </w:pPr>
      <w:hyperlink w:anchor="_Toc233626377" w:history="1">
        <w:r w:rsidRPr="0027322A">
          <w:rPr>
            <w:rStyle w:val="Lienhypertexte"/>
            <w:noProof/>
          </w:rPr>
          <w:t>040/363-03 Enlèvement et traitement des immondices</w:t>
        </w:r>
        <w:r>
          <w:rPr>
            <w:noProof/>
            <w:webHidden/>
          </w:rPr>
          <w:tab/>
        </w:r>
        <w:r>
          <w:rPr>
            <w:noProof/>
            <w:webHidden/>
          </w:rPr>
          <w:fldChar w:fldCharType="begin"/>
        </w:r>
        <w:r>
          <w:rPr>
            <w:noProof/>
            <w:webHidden/>
          </w:rPr>
          <w:instrText xml:space="preserve"> PAGEREF _Toc233626377 \h </w:instrText>
        </w:r>
        <w:r>
          <w:rPr>
            <w:noProof/>
            <w:webHidden/>
          </w:rPr>
        </w:r>
        <w:r>
          <w:rPr>
            <w:noProof/>
            <w:webHidden/>
          </w:rPr>
          <w:fldChar w:fldCharType="separate"/>
        </w:r>
        <w:r w:rsidR="001E3978">
          <w:rPr>
            <w:noProof/>
            <w:webHidden/>
          </w:rPr>
          <w:t>239</w:t>
        </w:r>
        <w:r>
          <w:rPr>
            <w:noProof/>
            <w:webHidden/>
          </w:rPr>
          <w:fldChar w:fldCharType="end"/>
        </w:r>
      </w:hyperlink>
    </w:p>
    <w:p w14:paraId="33833707" w14:textId="10C8E4E6" w:rsidR="00266B1F" w:rsidRDefault="00266B1F">
      <w:pPr>
        <w:pStyle w:val="TM3"/>
        <w:tabs>
          <w:tab w:val="right" w:leader="dot" w:pos="8630"/>
        </w:tabs>
        <w:rPr>
          <w:noProof/>
          <w:kern w:val="2"/>
          <w:sz w:val="24"/>
          <w:szCs w:val="24"/>
          <w:lang w:eastAsia="fr-BE"/>
          <w14:ligatures w14:val="standardContextual"/>
        </w:rPr>
      </w:pPr>
      <w:hyperlink w:anchor="_Toc233626378" w:history="1">
        <w:r w:rsidRPr="0027322A">
          <w:rPr>
            <w:rStyle w:val="Lienhypertexte"/>
            <w:noProof/>
          </w:rPr>
          <w:t>040/363-04 Vidange des fosses d’aisance</w:t>
        </w:r>
        <w:r>
          <w:rPr>
            <w:noProof/>
            <w:webHidden/>
          </w:rPr>
          <w:tab/>
        </w:r>
        <w:r>
          <w:rPr>
            <w:noProof/>
            <w:webHidden/>
          </w:rPr>
          <w:fldChar w:fldCharType="begin"/>
        </w:r>
        <w:r>
          <w:rPr>
            <w:noProof/>
            <w:webHidden/>
          </w:rPr>
          <w:instrText xml:space="preserve"> PAGEREF _Toc233626378 \h </w:instrText>
        </w:r>
        <w:r>
          <w:rPr>
            <w:noProof/>
            <w:webHidden/>
          </w:rPr>
        </w:r>
        <w:r>
          <w:rPr>
            <w:noProof/>
            <w:webHidden/>
          </w:rPr>
          <w:fldChar w:fldCharType="separate"/>
        </w:r>
        <w:r w:rsidR="001E3978">
          <w:rPr>
            <w:noProof/>
            <w:webHidden/>
          </w:rPr>
          <w:t>239</w:t>
        </w:r>
        <w:r>
          <w:rPr>
            <w:noProof/>
            <w:webHidden/>
          </w:rPr>
          <w:fldChar w:fldCharType="end"/>
        </w:r>
      </w:hyperlink>
    </w:p>
    <w:p w14:paraId="4BE2C74E" w14:textId="16B2BB4C" w:rsidR="00266B1F" w:rsidRDefault="00266B1F">
      <w:pPr>
        <w:pStyle w:val="TM3"/>
        <w:tabs>
          <w:tab w:val="right" w:leader="dot" w:pos="8630"/>
        </w:tabs>
        <w:rPr>
          <w:noProof/>
          <w:kern w:val="2"/>
          <w:sz w:val="24"/>
          <w:szCs w:val="24"/>
          <w:lang w:eastAsia="fr-BE"/>
          <w14:ligatures w14:val="standardContextual"/>
        </w:rPr>
      </w:pPr>
      <w:hyperlink w:anchor="_Toc233626379" w:history="1">
        <w:r w:rsidRPr="0027322A">
          <w:rPr>
            <w:rStyle w:val="Lienhypertexte"/>
            <w:noProof/>
          </w:rPr>
          <w:t>040/363-05 Enlèvement d’objets encombrants</w:t>
        </w:r>
        <w:r>
          <w:rPr>
            <w:noProof/>
            <w:webHidden/>
          </w:rPr>
          <w:tab/>
        </w:r>
        <w:r>
          <w:rPr>
            <w:noProof/>
            <w:webHidden/>
          </w:rPr>
          <w:fldChar w:fldCharType="begin"/>
        </w:r>
        <w:r>
          <w:rPr>
            <w:noProof/>
            <w:webHidden/>
          </w:rPr>
          <w:instrText xml:space="preserve"> PAGEREF _Toc233626379 \h </w:instrText>
        </w:r>
        <w:r>
          <w:rPr>
            <w:noProof/>
            <w:webHidden/>
          </w:rPr>
        </w:r>
        <w:r>
          <w:rPr>
            <w:noProof/>
            <w:webHidden/>
          </w:rPr>
          <w:fldChar w:fldCharType="separate"/>
        </w:r>
        <w:r w:rsidR="001E3978">
          <w:rPr>
            <w:noProof/>
            <w:webHidden/>
          </w:rPr>
          <w:t>239</w:t>
        </w:r>
        <w:r>
          <w:rPr>
            <w:noProof/>
            <w:webHidden/>
          </w:rPr>
          <w:fldChar w:fldCharType="end"/>
        </w:r>
      </w:hyperlink>
    </w:p>
    <w:p w14:paraId="5604EB47" w14:textId="505F3A05" w:rsidR="00266B1F" w:rsidRDefault="00266B1F">
      <w:pPr>
        <w:pStyle w:val="TM3"/>
        <w:tabs>
          <w:tab w:val="right" w:leader="dot" w:pos="8630"/>
        </w:tabs>
        <w:rPr>
          <w:noProof/>
          <w:kern w:val="2"/>
          <w:sz w:val="24"/>
          <w:szCs w:val="24"/>
          <w:lang w:eastAsia="fr-BE"/>
          <w14:ligatures w14:val="standardContextual"/>
        </w:rPr>
      </w:pPr>
      <w:hyperlink w:anchor="_Toc233626380" w:history="1">
        <w:r w:rsidRPr="0027322A">
          <w:rPr>
            <w:rStyle w:val="Lienhypertexte"/>
            <w:noProof/>
          </w:rPr>
          <w:t>040/363-07 Enlèvement des versages sauvages</w:t>
        </w:r>
        <w:r>
          <w:rPr>
            <w:noProof/>
            <w:webHidden/>
          </w:rPr>
          <w:tab/>
        </w:r>
        <w:r>
          <w:rPr>
            <w:noProof/>
            <w:webHidden/>
          </w:rPr>
          <w:fldChar w:fldCharType="begin"/>
        </w:r>
        <w:r>
          <w:rPr>
            <w:noProof/>
            <w:webHidden/>
          </w:rPr>
          <w:instrText xml:space="preserve"> PAGEREF _Toc233626380 \h </w:instrText>
        </w:r>
        <w:r>
          <w:rPr>
            <w:noProof/>
            <w:webHidden/>
          </w:rPr>
        </w:r>
        <w:r>
          <w:rPr>
            <w:noProof/>
            <w:webHidden/>
          </w:rPr>
          <w:fldChar w:fldCharType="separate"/>
        </w:r>
        <w:r w:rsidR="001E3978">
          <w:rPr>
            <w:noProof/>
            <w:webHidden/>
          </w:rPr>
          <w:t>239</w:t>
        </w:r>
        <w:r>
          <w:rPr>
            <w:noProof/>
            <w:webHidden/>
          </w:rPr>
          <w:fldChar w:fldCharType="end"/>
        </w:r>
      </w:hyperlink>
    </w:p>
    <w:p w14:paraId="15C2EADF" w14:textId="21E1C386" w:rsidR="00266B1F" w:rsidRDefault="00266B1F">
      <w:pPr>
        <w:pStyle w:val="TM3"/>
        <w:tabs>
          <w:tab w:val="right" w:leader="dot" w:pos="8630"/>
        </w:tabs>
        <w:rPr>
          <w:noProof/>
          <w:kern w:val="2"/>
          <w:sz w:val="24"/>
          <w:szCs w:val="24"/>
          <w:lang w:eastAsia="fr-BE"/>
          <w14:ligatures w14:val="standardContextual"/>
        </w:rPr>
      </w:pPr>
      <w:hyperlink w:anchor="_Toc233626381" w:history="1">
        <w:r w:rsidRPr="0027322A">
          <w:rPr>
            <w:rStyle w:val="Lienhypertexte"/>
            <w:noProof/>
          </w:rPr>
          <w:t>040/363-08 Immeubles reliés/reliables au réseau d’égouts</w:t>
        </w:r>
        <w:r>
          <w:rPr>
            <w:noProof/>
            <w:webHidden/>
          </w:rPr>
          <w:tab/>
        </w:r>
        <w:r>
          <w:rPr>
            <w:noProof/>
            <w:webHidden/>
          </w:rPr>
          <w:fldChar w:fldCharType="begin"/>
        </w:r>
        <w:r>
          <w:rPr>
            <w:noProof/>
            <w:webHidden/>
          </w:rPr>
          <w:instrText xml:space="preserve"> PAGEREF _Toc233626381 \h </w:instrText>
        </w:r>
        <w:r>
          <w:rPr>
            <w:noProof/>
            <w:webHidden/>
          </w:rPr>
        </w:r>
        <w:r>
          <w:rPr>
            <w:noProof/>
            <w:webHidden/>
          </w:rPr>
          <w:fldChar w:fldCharType="separate"/>
        </w:r>
        <w:r w:rsidR="001E3978">
          <w:rPr>
            <w:noProof/>
            <w:webHidden/>
          </w:rPr>
          <w:t>239</w:t>
        </w:r>
        <w:r>
          <w:rPr>
            <w:noProof/>
            <w:webHidden/>
          </w:rPr>
          <w:fldChar w:fldCharType="end"/>
        </w:r>
      </w:hyperlink>
    </w:p>
    <w:p w14:paraId="71B92BF3" w14:textId="1CA19CA1" w:rsidR="00266B1F" w:rsidRDefault="00266B1F">
      <w:pPr>
        <w:pStyle w:val="TM3"/>
        <w:tabs>
          <w:tab w:val="right" w:leader="dot" w:pos="8630"/>
        </w:tabs>
        <w:rPr>
          <w:noProof/>
          <w:kern w:val="2"/>
          <w:sz w:val="24"/>
          <w:szCs w:val="24"/>
          <w:lang w:eastAsia="fr-BE"/>
          <w14:ligatures w14:val="standardContextual"/>
        </w:rPr>
      </w:pPr>
      <w:hyperlink w:anchor="_Toc233626382" w:history="1">
        <w:r w:rsidRPr="0027322A">
          <w:rPr>
            <w:rStyle w:val="Lienhypertexte"/>
            <w:noProof/>
          </w:rPr>
          <w:t>040/363-09 Entretien des égouts</w:t>
        </w:r>
        <w:r>
          <w:rPr>
            <w:noProof/>
            <w:webHidden/>
          </w:rPr>
          <w:tab/>
        </w:r>
        <w:r>
          <w:rPr>
            <w:noProof/>
            <w:webHidden/>
          </w:rPr>
          <w:fldChar w:fldCharType="begin"/>
        </w:r>
        <w:r>
          <w:rPr>
            <w:noProof/>
            <w:webHidden/>
          </w:rPr>
          <w:instrText xml:space="preserve"> PAGEREF _Toc233626382 \h </w:instrText>
        </w:r>
        <w:r>
          <w:rPr>
            <w:noProof/>
            <w:webHidden/>
          </w:rPr>
        </w:r>
        <w:r>
          <w:rPr>
            <w:noProof/>
            <w:webHidden/>
          </w:rPr>
          <w:fldChar w:fldCharType="separate"/>
        </w:r>
        <w:r w:rsidR="001E3978">
          <w:rPr>
            <w:noProof/>
            <w:webHidden/>
          </w:rPr>
          <w:t>240</w:t>
        </w:r>
        <w:r>
          <w:rPr>
            <w:noProof/>
            <w:webHidden/>
          </w:rPr>
          <w:fldChar w:fldCharType="end"/>
        </w:r>
      </w:hyperlink>
    </w:p>
    <w:p w14:paraId="67D7F94B" w14:textId="21B9CCF3" w:rsidR="00266B1F" w:rsidRDefault="00266B1F">
      <w:pPr>
        <w:pStyle w:val="TM3"/>
        <w:tabs>
          <w:tab w:val="right" w:leader="dot" w:pos="8630"/>
        </w:tabs>
        <w:rPr>
          <w:noProof/>
          <w:kern w:val="2"/>
          <w:sz w:val="24"/>
          <w:szCs w:val="24"/>
          <w:lang w:eastAsia="fr-BE"/>
          <w14:ligatures w14:val="standardContextual"/>
        </w:rPr>
      </w:pPr>
      <w:hyperlink w:anchor="_Toc233626383" w:history="1">
        <w:r w:rsidRPr="0027322A">
          <w:rPr>
            <w:rStyle w:val="Lienhypertexte"/>
            <w:noProof/>
          </w:rPr>
          <w:t>04001/363-10 Inhumations, dispersion cendres, columbarium</w:t>
        </w:r>
        <w:r>
          <w:rPr>
            <w:noProof/>
            <w:webHidden/>
          </w:rPr>
          <w:tab/>
        </w:r>
        <w:r>
          <w:rPr>
            <w:noProof/>
            <w:webHidden/>
          </w:rPr>
          <w:fldChar w:fldCharType="begin"/>
        </w:r>
        <w:r>
          <w:rPr>
            <w:noProof/>
            <w:webHidden/>
          </w:rPr>
          <w:instrText xml:space="preserve"> PAGEREF _Toc233626383 \h </w:instrText>
        </w:r>
        <w:r>
          <w:rPr>
            <w:noProof/>
            <w:webHidden/>
          </w:rPr>
        </w:r>
        <w:r>
          <w:rPr>
            <w:noProof/>
            <w:webHidden/>
          </w:rPr>
          <w:fldChar w:fldCharType="separate"/>
        </w:r>
        <w:r w:rsidR="001E3978">
          <w:rPr>
            <w:noProof/>
            <w:webHidden/>
          </w:rPr>
          <w:t>240</w:t>
        </w:r>
        <w:r>
          <w:rPr>
            <w:noProof/>
            <w:webHidden/>
          </w:rPr>
          <w:fldChar w:fldCharType="end"/>
        </w:r>
      </w:hyperlink>
    </w:p>
    <w:p w14:paraId="6383A15D" w14:textId="25F6B74C" w:rsidR="00266B1F" w:rsidRDefault="00266B1F">
      <w:pPr>
        <w:pStyle w:val="TM3"/>
        <w:tabs>
          <w:tab w:val="right" w:leader="dot" w:pos="8630"/>
        </w:tabs>
        <w:rPr>
          <w:noProof/>
          <w:kern w:val="2"/>
          <w:sz w:val="24"/>
          <w:szCs w:val="24"/>
          <w:lang w:eastAsia="fr-BE"/>
          <w14:ligatures w14:val="standardContextual"/>
        </w:rPr>
      </w:pPr>
      <w:hyperlink w:anchor="_Toc233626384" w:history="1">
        <w:r w:rsidRPr="0027322A">
          <w:rPr>
            <w:rStyle w:val="Lienhypertexte"/>
            <w:noProof/>
          </w:rPr>
          <w:t>04002/363-10 Utilisation de cercueils en polyester</w:t>
        </w:r>
        <w:r>
          <w:rPr>
            <w:noProof/>
            <w:webHidden/>
          </w:rPr>
          <w:tab/>
        </w:r>
        <w:r>
          <w:rPr>
            <w:noProof/>
            <w:webHidden/>
          </w:rPr>
          <w:fldChar w:fldCharType="begin"/>
        </w:r>
        <w:r>
          <w:rPr>
            <w:noProof/>
            <w:webHidden/>
          </w:rPr>
          <w:instrText xml:space="preserve"> PAGEREF _Toc233626384 \h </w:instrText>
        </w:r>
        <w:r>
          <w:rPr>
            <w:noProof/>
            <w:webHidden/>
          </w:rPr>
        </w:r>
        <w:r>
          <w:rPr>
            <w:noProof/>
            <w:webHidden/>
          </w:rPr>
          <w:fldChar w:fldCharType="separate"/>
        </w:r>
        <w:r w:rsidR="001E3978">
          <w:rPr>
            <w:noProof/>
            <w:webHidden/>
          </w:rPr>
          <w:t>240</w:t>
        </w:r>
        <w:r>
          <w:rPr>
            <w:noProof/>
            <w:webHidden/>
          </w:rPr>
          <w:fldChar w:fldCharType="end"/>
        </w:r>
      </w:hyperlink>
    </w:p>
    <w:p w14:paraId="4BD254EF" w14:textId="065E0163" w:rsidR="00266B1F" w:rsidRDefault="00266B1F">
      <w:pPr>
        <w:pStyle w:val="TM3"/>
        <w:tabs>
          <w:tab w:val="right" w:leader="dot" w:pos="8630"/>
        </w:tabs>
        <w:rPr>
          <w:noProof/>
          <w:kern w:val="2"/>
          <w:sz w:val="24"/>
          <w:szCs w:val="24"/>
          <w:lang w:eastAsia="fr-BE"/>
          <w14:ligatures w14:val="standardContextual"/>
        </w:rPr>
      </w:pPr>
      <w:hyperlink w:anchor="_Toc233626385" w:history="1">
        <w:r w:rsidRPr="0027322A">
          <w:rPr>
            <w:rStyle w:val="Lienhypertexte"/>
            <w:noProof/>
          </w:rPr>
          <w:t>040/363-11 Exhumation</w:t>
        </w:r>
        <w:r>
          <w:rPr>
            <w:noProof/>
            <w:webHidden/>
          </w:rPr>
          <w:tab/>
        </w:r>
        <w:r>
          <w:rPr>
            <w:noProof/>
            <w:webHidden/>
          </w:rPr>
          <w:fldChar w:fldCharType="begin"/>
        </w:r>
        <w:r>
          <w:rPr>
            <w:noProof/>
            <w:webHidden/>
          </w:rPr>
          <w:instrText xml:space="preserve"> PAGEREF _Toc233626385 \h </w:instrText>
        </w:r>
        <w:r>
          <w:rPr>
            <w:noProof/>
            <w:webHidden/>
          </w:rPr>
        </w:r>
        <w:r>
          <w:rPr>
            <w:noProof/>
            <w:webHidden/>
          </w:rPr>
          <w:fldChar w:fldCharType="separate"/>
        </w:r>
        <w:r w:rsidR="001E3978">
          <w:rPr>
            <w:noProof/>
            <w:webHidden/>
          </w:rPr>
          <w:t>240</w:t>
        </w:r>
        <w:r>
          <w:rPr>
            <w:noProof/>
            <w:webHidden/>
          </w:rPr>
          <w:fldChar w:fldCharType="end"/>
        </w:r>
      </w:hyperlink>
    </w:p>
    <w:p w14:paraId="5F114118" w14:textId="311A020D" w:rsidR="00266B1F" w:rsidRDefault="00266B1F">
      <w:pPr>
        <w:pStyle w:val="TM3"/>
        <w:tabs>
          <w:tab w:val="right" w:leader="dot" w:pos="8630"/>
        </w:tabs>
        <w:rPr>
          <w:noProof/>
          <w:kern w:val="2"/>
          <w:sz w:val="24"/>
          <w:szCs w:val="24"/>
          <w:lang w:eastAsia="fr-BE"/>
          <w14:ligatures w14:val="standardContextual"/>
        </w:rPr>
      </w:pPr>
      <w:hyperlink w:anchor="_Toc233626386" w:history="1">
        <w:r w:rsidRPr="0027322A">
          <w:rPr>
            <w:rStyle w:val="Lienhypertexte"/>
            <w:noProof/>
          </w:rPr>
          <w:t>040/363-13 Location de caveaux d’attente</w:t>
        </w:r>
        <w:r>
          <w:rPr>
            <w:noProof/>
            <w:webHidden/>
          </w:rPr>
          <w:tab/>
        </w:r>
        <w:r>
          <w:rPr>
            <w:noProof/>
            <w:webHidden/>
          </w:rPr>
          <w:fldChar w:fldCharType="begin"/>
        </w:r>
        <w:r>
          <w:rPr>
            <w:noProof/>
            <w:webHidden/>
          </w:rPr>
          <w:instrText xml:space="preserve"> PAGEREF _Toc233626386 \h </w:instrText>
        </w:r>
        <w:r>
          <w:rPr>
            <w:noProof/>
            <w:webHidden/>
          </w:rPr>
        </w:r>
        <w:r>
          <w:rPr>
            <w:noProof/>
            <w:webHidden/>
          </w:rPr>
          <w:fldChar w:fldCharType="separate"/>
        </w:r>
        <w:r w:rsidR="001E3978">
          <w:rPr>
            <w:noProof/>
            <w:webHidden/>
          </w:rPr>
          <w:t>240</w:t>
        </w:r>
        <w:r>
          <w:rPr>
            <w:noProof/>
            <w:webHidden/>
          </w:rPr>
          <w:fldChar w:fldCharType="end"/>
        </w:r>
      </w:hyperlink>
    </w:p>
    <w:p w14:paraId="33FB219E" w14:textId="5D96B7AD" w:rsidR="00266B1F" w:rsidRDefault="00266B1F">
      <w:pPr>
        <w:pStyle w:val="TM3"/>
        <w:tabs>
          <w:tab w:val="right" w:leader="dot" w:pos="8630"/>
        </w:tabs>
        <w:rPr>
          <w:noProof/>
          <w:kern w:val="2"/>
          <w:sz w:val="24"/>
          <w:szCs w:val="24"/>
          <w:lang w:eastAsia="fr-BE"/>
          <w14:ligatures w14:val="standardContextual"/>
        </w:rPr>
      </w:pPr>
      <w:hyperlink w:anchor="_Toc233626387" w:history="1">
        <w:r w:rsidRPr="0027322A">
          <w:rPr>
            <w:rStyle w:val="Lienhypertexte"/>
            <w:noProof/>
          </w:rPr>
          <w:t>040/363-14 Séjour à la morgue/dépôt mortuaire</w:t>
        </w:r>
        <w:r>
          <w:rPr>
            <w:noProof/>
            <w:webHidden/>
          </w:rPr>
          <w:tab/>
        </w:r>
        <w:r>
          <w:rPr>
            <w:noProof/>
            <w:webHidden/>
          </w:rPr>
          <w:fldChar w:fldCharType="begin"/>
        </w:r>
        <w:r>
          <w:rPr>
            <w:noProof/>
            <w:webHidden/>
          </w:rPr>
          <w:instrText xml:space="preserve"> PAGEREF _Toc233626387 \h </w:instrText>
        </w:r>
        <w:r>
          <w:rPr>
            <w:noProof/>
            <w:webHidden/>
          </w:rPr>
        </w:r>
        <w:r>
          <w:rPr>
            <w:noProof/>
            <w:webHidden/>
          </w:rPr>
          <w:fldChar w:fldCharType="separate"/>
        </w:r>
        <w:r w:rsidR="001E3978">
          <w:rPr>
            <w:noProof/>
            <w:webHidden/>
          </w:rPr>
          <w:t>240</w:t>
        </w:r>
        <w:r>
          <w:rPr>
            <w:noProof/>
            <w:webHidden/>
          </w:rPr>
          <w:fldChar w:fldCharType="end"/>
        </w:r>
      </w:hyperlink>
    </w:p>
    <w:p w14:paraId="44457374" w14:textId="06BAE474" w:rsidR="00266B1F" w:rsidRDefault="00266B1F">
      <w:pPr>
        <w:pStyle w:val="TM3"/>
        <w:tabs>
          <w:tab w:val="right" w:leader="dot" w:pos="8630"/>
        </w:tabs>
        <w:rPr>
          <w:noProof/>
          <w:kern w:val="2"/>
          <w:sz w:val="24"/>
          <w:szCs w:val="24"/>
          <w:lang w:eastAsia="fr-BE"/>
          <w14:ligatures w14:val="standardContextual"/>
        </w:rPr>
      </w:pPr>
      <w:hyperlink w:anchor="_Toc233626388" w:history="1">
        <w:r w:rsidRPr="0027322A">
          <w:rPr>
            <w:rStyle w:val="Lienhypertexte"/>
            <w:noProof/>
          </w:rPr>
          <w:t>040/363-15 Concessions dans les cimetières</w:t>
        </w:r>
        <w:r>
          <w:rPr>
            <w:noProof/>
            <w:webHidden/>
          </w:rPr>
          <w:tab/>
        </w:r>
        <w:r>
          <w:rPr>
            <w:noProof/>
            <w:webHidden/>
          </w:rPr>
          <w:fldChar w:fldCharType="begin"/>
        </w:r>
        <w:r>
          <w:rPr>
            <w:noProof/>
            <w:webHidden/>
          </w:rPr>
          <w:instrText xml:space="preserve"> PAGEREF _Toc233626388 \h </w:instrText>
        </w:r>
        <w:r>
          <w:rPr>
            <w:noProof/>
            <w:webHidden/>
          </w:rPr>
        </w:r>
        <w:r>
          <w:rPr>
            <w:noProof/>
            <w:webHidden/>
          </w:rPr>
          <w:fldChar w:fldCharType="separate"/>
        </w:r>
        <w:r w:rsidR="001E3978">
          <w:rPr>
            <w:noProof/>
            <w:webHidden/>
          </w:rPr>
          <w:t>240</w:t>
        </w:r>
        <w:r>
          <w:rPr>
            <w:noProof/>
            <w:webHidden/>
          </w:rPr>
          <w:fldChar w:fldCharType="end"/>
        </w:r>
      </w:hyperlink>
    </w:p>
    <w:p w14:paraId="376B06CD" w14:textId="4B132624" w:rsidR="00266B1F" w:rsidRDefault="00266B1F">
      <w:pPr>
        <w:pStyle w:val="TM3"/>
        <w:tabs>
          <w:tab w:val="right" w:leader="dot" w:pos="8630"/>
        </w:tabs>
        <w:rPr>
          <w:noProof/>
          <w:kern w:val="2"/>
          <w:sz w:val="24"/>
          <w:szCs w:val="24"/>
          <w:lang w:eastAsia="fr-BE"/>
          <w14:ligatures w14:val="standardContextual"/>
        </w:rPr>
      </w:pPr>
      <w:hyperlink w:anchor="_Toc233626389" w:history="1">
        <w:r w:rsidRPr="0027322A">
          <w:rPr>
            <w:rStyle w:val="Lienhypertexte"/>
            <w:noProof/>
          </w:rPr>
          <w:t>040/363-48 Prestations diverses d’hygiène publique</w:t>
        </w:r>
        <w:r>
          <w:rPr>
            <w:noProof/>
            <w:webHidden/>
          </w:rPr>
          <w:tab/>
        </w:r>
        <w:r>
          <w:rPr>
            <w:noProof/>
            <w:webHidden/>
          </w:rPr>
          <w:fldChar w:fldCharType="begin"/>
        </w:r>
        <w:r>
          <w:rPr>
            <w:noProof/>
            <w:webHidden/>
          </w:rPr>
          <w:instrText xml:space="preserve"> PAGEREF _Toc233626389 \h </w:instrText>
        </w:r>
        <w:r>
          <w:rPr>
            <w:noProof/>
            <w:webHidden/>
          </w:rPr>
        </w:r>
        <w:r>
          <w:rPr>
            <w:noProof/>
            <w:webHidden/>
          </w:rPr>
          <w:fldChar w:fldCharType="separate"/>
        </w:r>
        <w:r w:rsidR="001E3978">
          <w:rPr>
            <w:noProof/>
            <w:webHidden/>
          </w:rPr>
          <w:t>240</w:t>
        </w:r>
        <w:r>
          <w:rPr>
            <w:noProof/>
            <w:webHidden/>
          </w:rPr>
          <w:fldChar w:fldCharType="end"/>
        </w:r>
      </w:hyperlink>
    </w:p>
    <w:p w14:paraId="1FF0C243" w14:textId="136C3872" w:rsidR="00266B1F" w:rsidRDefault="00266B1F">
      <w:pPr>
        <w:pStyle w:val="TM3"/>
        <w:tabs>
          <w:tab w:val="right" w:leader="dot" w:pos="8630"/>
        </w:tabs>
        <w:rPr>
          <w:noProof/>
          <w:kern w:val="2"/>
          <w:sz w:val="24"/>
          <w:szCs w:val="24"/>
          <w:lang w:eastAsia="fr-BE"/>
          <w14:ligatures w14:val="standardContextual"/>
        </w:rPr>
      </w:pPr>
      <w:hyperlink w:anchor="_Toc233626390" w:history="1">
        <w:r w:rsidRPr="0027322A">
          <w:rPr>
            <w:rStyle w:val="Lienhypertexte"/>
            <w:noProof/>
          </w:rPr>
          <w:t>04001/363-48 Propreté des trottoirs (désherbage)</w:t>
        </w:r>
        <w:r>
          <w:rPr>
            <w:noProof/>
            <w:webHidden/>
          </w:rPr>
          <w:tab/>
        </w:r>
        <w:r>
          <w:rPr>
            <w:noProof/>
            <w:webHidden/>
          </w:rPr>
          <w:fldChar w:fldCharType="begin"/>
        </w:r>
        <w:r>
          <w:rPr>
            <w:noProof/>
            <w:webHidden/>
          </w:rPr>
          <w:instrText xml:space="preserve"> PAGEREF _Toc233626390 \h </w:instrText>
        </w:r>
        <w:r>
          <w:rPr>
            <w:noProof/>
            <w:webHidden/>
          </w:rPr>
        </w:r>
        <w:r>
          <w:rPr>
            <w:noProof/>
            <w:webHidden/>
          </w:rPr>
          <w:fldChar w:fldCharType="separate"/>
        </w:r>
        <w:r w:rsidR="001E3978">
          <w:rPr>
            <w:noProof/>
            <w:webHidden/>
          </w:rPr>
          <w:t>240</w:t>
        </w:r>
        <w:r>
          <w:rPr>
            <w:noProof/>
            <w:webHidden/>
          </w:rPr>
          <w:fldChar w:fldCharType="end"/>
        </w:r>
      </w:hyperlink>
    </w:p>
    <w:p w14:paraId="72594B5E" w14:textId="4E9615C6" w:rsidR="00266B1F" w:rsidRDefault="00266B1F">
      <w:pPr>
        <w:pStyle w:val="TM3"/>
        <w:tabs>
          <w:tab w:val="left" w:pos="960"/>
          <w:tab w:val="right" w:leader="dot" w:pos="8630"/>
        </w:tabs>
        <w:rPr>
          <w:noProof/>
          <w:kern w:val="2"/>
          <w:sz w:val="24"/>
          <w:szCs w:val="24"/>
          <w:lang w:eastAsia="fr-BE"/>
          <w14:ligatures w14:val="standardContextual"/>
        </w:rPr>
      </w:pPr>
      <w:hyperlink w:anchor="_Toc233626391" w:history="1">
        <w:r w:rsidRPr="0027322A">
          <w:rPr>
            <w:rStyle w:val="Lienhypertexte"/>
            <w:smallCaps/>
            <w:noProof/>
          </w:rPr>
          <w:t>D.</w:t>
        </w:r>
        <w:r>
          <w:rPr>
            <w:noProof/>
            <w:kern w:val="2"/>
            <w:sz w:val="24"/>
            <w:szCs w:val="24"/>
            <w:lang w:eastAsia="fr-BE"/>
            <w14:ligatures w14:val="standardContextual"/>
          </w:rPr>
          <w:tab/>
        </w:r>
        <w:r w:rsidRPr="0027322A">
          <w:rPr>
            <w:rStyle w:val="Lienhypertexte"/>
            <w:noProof/>
          </w:rPr>
          <w:t>040/364 Taxes sur les entreprises industrielles, commerciales et agricoles</w:t>
        </w:r>
        <w:r>
          <w:rPr>
            <w:noProof/>
            <w:webHidden/>
          </w:rPr>
          <w:tab/>
        </w:r>
        <w:r>
          <w:rPr>
            <w:noProof/>
            <w:webHidden/>
          </w:rPr>
          <w:fldChar w:fldCharType="begin"/>
        </w:r>
        <w:r>
          <w:rPr>
            <w:noProof/>
            <w:webHidden/>
          </w:rPr>
          <w:instrText xml:space="preserve"> PAGEREF _Toc233626391 \h </w:instrText>
        </w:r>
        <w:r>
          <w:rPr>
            <w:noProof/>
            <w:webHidden/>
          </w:rPr>
        </w:r>
        <w:r>
          <w:rPr>
            <w:noProof/>
            <w:webHidden/>
          </w:rPr>
          <w:fldChar w:fldCharType="separate"/>
        </w:r>
        <w:r w:rsidR="001E3978">
          <w:rPr>
            <w:noProof/>
            <w:webHidden/>
          </w:rPr>
          <w:t>241</w:t>
        </w:r>
        <w:r>
          <w:rPr>
            <w:noProof/>
            <w:webHidden/>
          </w:rPr>
          <w:fldChar w:fldCharType="end"/>
        </w:r>
      </w:hyperlink>
    </w:p>
    <w:p w14:paraId="66AD5CD7" w14:textId="78024A98" w:rsidR="00266B1F" w:rsidRDefault="00266B1F">
      <w:pPr>
        <w:pStyle w:val="TM3"/>
        <w:tabs>
          <w:tab w:val="right" w:leader="dot" w:pos="8630"/>
        </w:tabs>
        <w:rPr>
          <w:noProof/>
          <w:kern w:val="2"/>
          <w:sz w:val="24"/>
          <w:szCs w:val="24"/>
          <w:lang w:eastAsia="fr-BE"/>
          <w14:ligatures w14:val="standardContextual"/>
        </w:rPr>
      </w:pPr>
      <w:hyperlink w:anchor="_Toc233626392" w:history="1">
        <w:r w:rsidRPr="0027322A">
          <w:rPr>
            <w:rStyle w:val="Lienhypertexte"/>
            <w:noProof/>
          </w:rPr>
          <w:t>040/364-02 Établissement occupant du personnel de bar</w:t>
        </w:r>
        <w:r>
          <w:rPr>
            <w:noProof/>
            <w:webHidden/>
          </w:rPr>
          <w:tab/>
        </w:r>
        <w:r>
          <w:rPr>
            <w:noProof/>
            <w:webHidden/>
          </w:rPr>
          <w:fldChar w:fldCharType="begin"/>
        </w:r>
        <w:r>
          <w:rPr>
            <w:noProof/>
            <w:webHidden/>
          </w:rPr>
          <w:instrText xml:space="preserve"> PAGEREF _Toc233626392 \h </w:instrText>
        </w:r>
        <w:r>
          <w:rPr>
            <w:noProof/>
            <w:webHidden/>
          </w:rPr>
        </w:r>
        <w:r>
          <w:rPr>
            <w:noProof/>
            <w:webHidden/>
          </w:rPr>
          <w:fldChar w:fldCharType="separate"/>
        </w:r>
        <w:r w:rsidR="001E3978">
          <w:rPr>
            <w:noProof/>
            <w:webHidden/>
          </w:rPr>
          <w:t>241</w:t>
        </w:r>
        <w:r>
          <w:rPr>
            <w:noProof/>
            <w:webHidden/>
          </w:rPr>
          <w:fldChar w:fldCharType="end"/>
        </w:r>
      </w:hyperlink>
    </w:p>
    <w:p w14:paraId="23CFA283" w14:textId="66456F4A" w:rsidR="00266B1F" w:rsidRDefault="00266B1F">
      <w:pPr>
        <w:pStyle w:val="TM3"/>
        <w:tabs>
          <w:tab w:val="right" w:leader="dot" w:pos="8630"/>
        </w:tabs>
        <w:rPr>
          <w:noProof/>
          <w:kern w:val="2"/>
          <w:sz w:val="24"/>
          <w:szCs w:val="24"/>
          <w:lang w:eastAsia="fr-BE"/>
          <w14:ligatures w14:val="standardContextual"/>
        </w:rPr>
      </w:pPr>
      <w:hyperlink w:anchor="_Toc233626393" w:history="1">
        <w:r w:rsidRPr="0027322A">
          <w:rPr>
            <w:rStyle w:val="Lienhypertexte"/>
            <w:noProof/>
          </w:rPr>
          <w:t>040/364-03 Force motrice</w:t>
        </w:r>
        <w:r>
          <w:rPr>
            <w:noProof/>
            <w:webHidden/>
          </w:rPr>
          <w:tab/>
        </w:r>
        <w:r>
          <w:rPr>
            <w:noProof/>
            <w:webHidden/>
          </w:rPr>
          <w:fldChar w:fldCharType="begin"/>
        </w:r>
        <w:r>
          <w:rPr>
            <w:noProof/>
            <w:webHidden/>
          </w:rPr>
          <w:instrText xml:space="preserve"> PAGEREF _Toc233626393 \h </w:instrText>
        </w:r>
        <w:r>
          <w:rPr>
            <w:noProof/>
            <w:webHidden/>
          </w:rPr>
        </w:r>
        <w:r>
          <w:rPr>
            <w:noProof/>
            <w:webHidden/>
          </w:rPr>
          <w:fldChar w:fldCharType="separate"/>
        </w:r>
        <w:r w:rsidR="001E3978">
          <w:rPr>
            <w:noProof/>
            <w:webHidden/>
          </w:rPr>
          <w:t>241</w:t>
        </w:r>
        <w:r>
          <w:rPr>
            <w:noProof/>
            <w:webHidden/>
          </w:rPr>
          <w:fldChar w:fldCharType="end"/>
        </w:r>
      </w:hyperlink>
    </w:p>
    <w:p w14:paraId="6F9A3F79" w14:textId="6624C600" w:rsidR="00266B1F" w:rsidRDefault="00266B1F">
      <w:pPr>
        <w:pStyle w:val="TM3"/>
        <w:tabs>
          <w:tab w:val="right" w:leader="dot" w:pos="8630"/>
        </w:tabs>
        <w:rPr>
          <w:noProof/>
          <w:kern w:val="2"/>
          <w:sz w:val="24"/>
          <w:szCs w:val="24"/>
          <w:lang w:eastAsia="fr-BE"/>
          <w14:ligatures w14:val="standardContextual"/>
        </w:rPr>
      </w:pPr>
      <w:hyperlink w:anchor="_Toc233626394" w:history="1">
        <w:r w:rsidRPr="0027322A">
          <w:rPr>
            <w:rStyle w:val="Lienhypertexte"/>
            <w:noProof/>
          </w:rPr>
          <w:t>040/364-04 Tanks et réservoirs</w:t>
        </w:r>
        <w:r>
          <w:rPr>
            <w:noProof/>
            <w:webHidden/>
          </w:rPr>
          <w:tab/>
        </w:r>
        <w:r>
          <w:rPr>
            <w:noProof/>
            <w:webHidden/>
          </w:rPr>
          <w:fldChar w:fldCharType="begin"/>
        </w:r>
        <w:r>
          <w:rPr>
            <w:noProof/>
            <w:webHidden/>
          </w:rPr>
          <w:instrText xml:space="preserve"> PAGEREF _Toc233626394 \h </w:instrText>
        </w:r>
        <w:r>
          <w:rPr>
            <w:noProof/>
            <w:webHidden/>
          </w:rPr>
        </w:r>
        <w:r>
          <w:rPr>
            <w:noProof/>
            <w:webHidden/>
          </w:rPr>
          <w:fldChar w:fldCharType="separate"/>
        </w:r>
        <w:r w:rsidR="001E3978">
          <w:rPr>
            <w:noProof/>
            <w:webHidden/>
          </w:rPr>
          <w:t>241</w:t>
        </w:r>
        <w:r>
          <w:rPr>
            <w:noProof/>
            <w:webHidden/>
          </w:rPr>
          <w:fldChar w:fldCharType="end"/>
        </w:r>
      </w:hyperlink>
    </w:p>
    <w:p w14:paraId="0B81F487" w14:textId="6B8E2418" w:rsidR="00266B1F" w:rsidRDefault="00266B1F">
      <w:pPr>
        <w:pStyle w:val="TM3"/>
        <w:tabs>
          <w:tab w:val="right" w:leader="dot" w:pos="8630"/>
        </w:tabs>
        <w:rPr>
          <w:noProof/>
          <w:kern w:val="2"/>
          <w:sz w:val="24"/>
          <w:szCs w:val="24"/>
          <w:lang w:eastAsia="fr-BE"/>
          <w14:ligatures w14:val="standardContextual"/>
        </w:rPr>
      </w:pPr>
      <w:hyperlink w:anchor="_Toc233626395" w:history="1">
        <w:r w:rsidRPr="0027322A">
          <w:rPr>
            <w:rStyle w:val="Lienhypertexte"/>
            <w:noProof/>
          </w:rPr>
          <w:t>040/364-09 Mines, minières, carrières et terrils</w:t>
        </w:r>
        <w:r>
          <w:rPr>
            <w:noProof/>
            <w:webHidden/>
          </w:rPr>
          <w:tab/>
        </w:r>
        <w:r>
          <w:rPr>
            <w:noProof/>
            <w:webHidden/>
          </w:rPr>
          <w:fldChar w:fldCharType="begin"/>
        </w:r>
        <w:r>
          <w:rPr>
            <w:noProof/>
            <w:webHidden/>
          </w:rPr>
          <w:instrText xml:space="preserve"> PAGEREF _Toc233626395 \h </w:instrText>
        </w:r>
        <w:r>
          <w:rPr>
            <w:noProof/>
            <w:webHidden/>
          </w:rPr>
        </w:r>
        <w:r>
          <w:rPr>
            <w:noProof/>
            <w:webHidden/>
          </w:rPr>
          <w:fldChar w:fldCharType="separate"/>
        </w:r>
        <w:r w:rsidR="001E3978">
          <w:rPr>
            <w:noProof/>
            <w:webHidden/>
          </w:rPr>
          <w:t>241</w:t>
        </w:r>
        <w:r>
          <w:rPr>
            <w:noProof/>
            <w:webHidden/>
          </w:rPr>
          <w:fldChar w:fldCharType="end"/>
        </w:r>
      </w:hyperlink>
    </w:p>
    <w:p w14:paraId="138EA45B" w14:textId="20F6851C" w:rsidR="00266B1F" w:rsidRDefault="00266B1F">
      <w:pPr>
        <w:pStyle w:val="TM3"/>
        <w:tabs>
          <w:tab w:val="right" w:leader="dot" w:pos="8630"/>
        </w:tabs>
        <w:rPr>
          <w:noProof/>
          <w:kern w:val="2"/>
          <w:sz w:val="24"/>
          <w:szCs w:val="24"/>
          <w:lang w:eastAsia="fr-BE"/>
          <w14:ligatures w14:val="standardContextual"/>
        </w:rPr>
      </w:pPr>
      <w:hyperlink w:anchor="_Toc233626396" w:history="1">
        <w:r w:rsidRPr="0027322A">
          <w:rPr>
            <w:rStyle w:val="Lienhypertexte"/>
            <w:noProof/>
          </w:rPr>
          <w:t>040/364-12 Débits de boissons</w:t>
        </w:r>
        <w:r>
          <w:rPr>
            <w:noProof/>
            <w:webHidden/>
          </w:rPr>
          <w:tab/>
        </w:r>
        <w:r>
          <w:rPr>
            <w:noProof/>
            <w:webHidden/>
          </w:rPr>
          <w:fldChar w:fldCharType="begin"/>
        </w:r>
        <w:r>
          <w:rPr>
            <w:noProof/>
            <w:webHidden/>
          </w:rPr>
          <w:instrText xml:space="preserve"> PAGEREF _Toc233626396 \h </w:instrText>
        </w:r>
        <w:r>
          <w:rPr>
            <w:noProof/>
            <w:webHidden/>
          </w:rPr>
        </w:r>
        <w:r>
          <w:rPr>
            <w:noProof/>
            <w:webHidden/>
          </w:rPr>
          <w:fldChar w:fldCharType="separate"/>
        </w:r>
        <w:r w:rsidR="001E3978">
          <w:rPr>
            <w:noProof/>
            <w:webHidden/>
          </w:rPr>
          <w:t>241</w:t>
        </w:r>
        <w:r>
          <w:rPr>
            <w:noProof/>
            <w:webHidden/>
          </w:rPr>
          <w:fldChar w:fldCharType="end"/>
        </w:r>
      </w:hyperlink>
    </w:p>
    <w:p w14:paraId="6243EB35" w14:textId="0FE965C3" w:rsidR="00266B1F" w:rsidRDefault="00266B1F">
      <w:pPr>
        <w:pStyle w:val="TM3"/>
        <w:tabs>
          <w:tab w:val="right" w:leader="dot" w:pos="8630"/>
        </w:tabs>
        <w:rPr>
          <w:noProof/>
          <w:kern w:val="2"/>
          <w:sz w:val="24"/>
          <w:szCs w:val="24"/>
          <w:lang w:eastAsia="fr-BE"/>
          <w14:ligatures w14:val="standardContextual"/>
        </w:rPr>
      </w:pPr>
      <w:hyperlink w:anchor="_Toc233626397" w:history="1">
        <w:r w:rsidRPr="0027322A">
          <w:rPr>
            <w:rStyle w:val="Lienhypertexte"/>
            <w:noProof/>
          </w:rPr>
          <w:t>040/364-13 Débits de tabac</w:t>
        </w:r>
        <w:r>
          <w:rPr>
            <w:noProof/>
            <w:webHidden/>
          </w:rPr>
          <w:tab/>
        </w:r>
        <w:r>
          <w:rPr>
            <w:noProof/>
            <w:webHidden/>
          </w:rPr>
          <w:fldChar w:fldCharType="begin"/>
        </w:r>
        <w:r>
          <w:rPr>
            <w:noProof/>
            <w:webHidden/>
          </w:rPr>
          <w:instrText xml:space="preserve"> PAGEREF _Toc233626397 \h </w:instrText>
        </w:r>
        <w:r>
          <w:rPr>
            <w:noProof/>
            <w:webHidden/>
          </w:rPr>
        </w:r>
        <w:r>
          <w:rPr>
            <w:noProof/>
            <w:webHidden/>
          </w:rPr>
          <w:fldChar w:fldCharType="separate"/>
        </w:r>
        <w:r w:rsidR="001E3978">
          <w:rPr>
            <w:noProof/>
            <w:webHidden/>
          </w:rPr>
          <w:t>241</w:t>
        </w:r>
        <w:r>
          <w:rPr>
            <w:noProof/>
            <w:webHidden/>
          </w:rPr>
          <w:fldChar w:fldCharType="end"/>
        </w:r>
      </w:hyperlink>
    </w:p>
    <w:p w14:paraId="62A33A47" w14:textId="5E0FBCDC" w:rsidR="00266B1F" w:rsidRDefault="00266B1F">
      <w:pPr>
        <w:pStyle w:val="TM3"/>
        <w:tabs>
          <w:tab w:val="right" w:leader="dot" w:pos="8630"/>
        </w:tabs>
        <w:rPr>
          <w:noProof/>
          <w:kern w:val="2"/>
          <w:sz w:val="24"/>
          <w:szCs w:val="24"/>
          <w:lang w:eastAsia="fr-BE"/>
          <w14:ligatures w14:val="standardContextual"/>
        </w:rPr>
      </w:pPr>
      <w:hyperlink w:anchor="_Toc233626398" w:history="1">
        <w:r w:rsidRPr="0027322A">
          <w:rPr>
            <w:rStyle w:val="Lienhypertexte"/>
            <w:noProof/>
          </w:rPr>
          <w:t>040/364-16 Agences de paris chevaux</w:t>
        </w:r>
        <w:r>
          <w:rPr>
            <w:noProof/>
            <w:webHidden/>
          </w:rPr>
          <w:tab/>
        </w:r>
        <w:r>
          <w:rPr>
            <w:noProof/>
            <w:webHidden/>
          </w:rPr>
          <w:fldChar w:fldCharType="begin"/>
        </w:r>
        <w:r>
          <w:rPr>
            <w:noProof/>
            <w:webHidden/>
          </w:rPr>
          <w:instrText xml:space="preserve"> PAGEREF _Toc233626398 \h </w:instrText>
        </w:r>
        <w:r>
          <w:rPr>
            <w:noProof/>
            <w:webHidden/>
          </w:rPr>
        </w:r>
        <w:r>
          <w:rPr>
            <w:noProof/>
            <w:webHidden/>
          </w:rPr>
          <w:fldChar w:fldCharType="separate"/>
        </w:r>
        <w:r w:rsidR="001E3978">
          <w:rPr>
            <w:noProof/>
            <w:webHidden/>
          </w:rPr>
          <w:t>241</w:t>
        </w:r>
        <w:r>
          <w:rPr>
            <w:noProof/>
            <w:webHidden/>
          </w:rPr>
          <w:fldChar w:fldCharType="end"/>
        </w:r>
      </w:hyperlink>
    </w:p>
    <w:p w14:paraId="2AFF9075" w14:textId="062C1A4C" w:rsidR="00266B1F" w:rsidRDefault="00266B1F">
      <w:pPr>
        <w:pStyle w:val="TM3"/>
        <w:tabs>
          <w:tab w:val="right" w:leader="dot" w:pos="8630"/>
        </w:tabs>
        <w:rPr>
          <w:noProof/>
          <w:kern w:val="2"/>
          <w:sz w:val="24"/>
          <w:szCs w:val="24"/>
          <w:lang w:eastAsia="fr-BE"/>
          <w14:ligatures w14:val="standardContextual"/>
        </w:rPr>
      </w:pPr>
      <w:hyperlink w:anchor="_Toc233626399" w:history="1">
        <w:r w:rsidRPr="0027322A">
          <w:rPr>
            <w:rStyle w:val="Lienhypertexte"/>
            <w:noProof/>
          </w:rPr>
          <w:t>040/364-18 Clubs privés</w:t>
        </w:r>
        <w:r>
          <w:rPr>
            <w:noProof/>
            <w:webHidden/>
          </w:rPr>
          <w:tab/>
        </w:r>
        <w:r>
          <w:rPr>
            <w:noProof/>
            <w:webHidden/>
          </w:rPr>
          <w:fldChar w:fldCharType="begin"/>
        </w:r>
        <w:r>
          <w:rPr>
            <w:noProof/>
            <w:webHidden/>
          </w:rPr>
          <w:instrText xml:space="preserve"> PAGEREF _Toc233626399 \h </w:instrText>
        </w:r>
        <w:r>
          <w:rPr>
            <w:noProof/>
            <w:webHidden/>
          </w:rPr>
        </w:r>
        <w:r>
          <w:rPr>
            <w:noProof/>
            <w:webHidden/>
          </w:rPr>
          <w:fldChar w:fldCharType="separate"/>
        </w:r>
        <w:r w:rsidR="001E3978">
          <w:rPr>
            <w:noProof/>
            <w:webHidden/>
          </w:rPr>
          <w:t>241</w:t>
        </w:r>
        <w:r>
          <w:rPr>
            <w:noProof/>
            <w:webHidden/>
          </w:rPr>
          <w:fldChar w:fldCharType="end"/>
        </w:r>
      </w:hyperlink>
    </w:p>
    <w:p w14:paraId="2955AA1A" w14:textId="54493FF3" w:rsidR="00266B1F" w:rsidRDefault="00266B1F">
      <w:pPr>
        <w:pStyle w:val="TM3"/>
        <w:tabs>
          <w:tab w:val="right" w:leader="dot" w:pos="8630"/>
        </w:tabs>
        <w:rPr>
          <w:noProof/>
          <w:kern w:val="2"/>
          <w:sz w:val="24"/>
          <w:szCs w:val="24"/>
          <w:lang w:eastAsia="fr-BE"/>
          <w14:ligatures w14:val="standardContextual"/>
        </w:rPr>
      </w:pPr>
      <w:hyperlink w:anchor="_Toc233626400" w:history="1">
        <w:r w:rsidRPr="0027322A">
          <w:rPr>
            <w:rStyle w:val="Lienhypertexte"/>
            <w:noProof/>
          </w:rPr>
          <w:t>040/364-21 Exploitations de taxis</w:t>
        </w:r>
        <w:r>
          <w:rPr>
            <w:noProof/>
            <w:webHidden/>
          </w:rPr>
          <w:tab/>
        </w:r>
        <w:r>
          <w:rPr>
            <w:noProof/>
            <w:webHidden/>
          </w:rPr>
          <w:fldChar w:fldCharType="begin"/>
        </w:r>
        <w:r>
          <w:rPr>
            <w:noProof/>
            <w:webHidden/>
          </w:rPr>
          <w:instrText xml:space="preserve"> PAGEREF _Toc233626400 \h </w:instrText>
        </w:r>
        <w:r>
          <w:rPr>
            <w:noProof/>
            <w:webHidden/>
          </w:rPr>
        </w:r>
        <w:r>
          <w:rPr>
            <w:noProof/>
            <w:webHidden/>
          </w:rPr>
          <w:fldChar w:fldCharType="separate"/>
        </w:r>
        <w:r w:rsidR="001E3978">
          <w:rPr>
            <w:noProof/>
            <w:webHidden/>
          </w:rPr>
          <w:t>241</w:t>
        </w:r>
        <w:r>
          <w:rPr>
            <w:noProof/>
            <w:webHidden/>
          </w:rPr>
          <w:fldChar w:fldCharType="end"/>
        </w:r>
      </w:hyperlink>
    </w:p>
    <w:p w14:paraId="566B79DE" w14:textId="0C8AAD4B" w:rsidR="00266B1F" w:rsidRDefault="00266B1F">
      <w:pPr>
        <w:pStyle w:val="TM3"/>
        <w:tabs>
          <w:tab w:val="right" w:leader="dot" w:pos="8630"/>
        </w:tabs>
        <w:rPr>
          <w:noProof/>
          <w:kern w:val="2"/>
          <w:sz w:val="24"/>
          <w:szCs w:val="24"/>
          <w:lang w:eastAsia="fr-BE"/>
          <w14:ligatures w14:val="standardContextual"/>
        </w:rPr>
      </w:pPr>
      <w:hyperlink w:anchor="_Toc233626401" w:history="1">
        <w:r w:rsidRPr="0027322A">
          <w:rPr>
            <w:rStyle w:val="Lienhypertexte"/>
            <w:noProof/>
          </w:rPr>
          <w:t>040/364-22 Enseignes et publicités assimilées</w:t>
        </w:r>
        <w:r>
          <w:rPr>
            <w:noProof/>
            <w:webHidden/>
          </w:rPr>
          <w:tab/>
        </w:r>
        <w:r>
          <w:rPr>
            <w:noProof/>
            <w:webHidden/>
          </w:rPr>
          <w:fldChar w:fldCharType="begin"/>
        </w:r>
        <w:r>
          <w:rPr>
            <w:noProof/>
            <w:webHidden/>
          </w:rPr>
          <w:instrText xml:space="preserve"> PAGEREF _Toc233626401 \h </w:instrText>
        </w:r>
        <w:r>
          <w:rPr>
            <w:noProof/>
            <w:webHidden/>
          </w:rPr>
        </w:r>
        <w:r>
          <w:rPr>
            <w:noProof/>
            <w:webHidden/>
          </w:rPr>
          <w:fldChar w:fldCharType="separate"/>
        </w:r>
        <w:r w:rsidR="001E3978">
          <w:rPr>
            <w:noProof/>
            <w:webHidden/>
          </w:rPr>
          <w:t>242</w:t>
        </w:r>
        <w:r>
          <w:rPr>
            <w:noProof/>
            <w:webHidden/>
          </w:rPr>
          <w:fldChar w:fldCharType="end"/>
        </w:r>
      </w:hyperlink>
    </w:p>
    <w:p w14:paraId="742F0BFE" w14:textId="4C638368" w:rsidR="00266B1F" w:rsidRDefault="00266B1F">
      <w:pPr>
        <w:pStyle w:val="TM3"/>
        <w:tabs>
          <w:tab w:val="right" w:leader="dot" w:pos="8630"/>
        </w:tabs>
        <w:rPr>
          <w:noProof/>
          <w:kern w:val="2"/>
          <w:sz w:val="24"/>
          <w:szCs w:val="24"/>
          <w:lang w:eastAsia="fr-BE"/>
          <w14:ligatures w14:val="standardContextual"/>
        </w:rPr>
      </w:pPr>
      <w:hyperlink w:anchor="_Toc233626402" w:history="1">
        <w:r w:rsidRPr="0027322A">
          <w:rPr>
            <w:rStyle w:val="Lienhypertexte"/>
            <w:noProof/>
          </w:rPr>
          <w:t>04001/364-22 Enseignes/publicités obsolètes</w:t>
        </w:r>
        <w:r>
          <w:rPr>
            <w:noProof/>
            <w:webHidden/>
          </w:rPr>
          <w:tab/>
        </w:r>
        <w:r>
          <w:rPr>
            <w:noProof/>
            <w:webHidden/>
          </w:rPr>
          <w:fldChar w:fldCharType="begin"/>
        </w:r>
        <w:r>
          <w:rPr>
            <w:noProof/>
            <w:webHidden/>
          </w:rPr>
          <w:instrText xml:space="preserve"> PAGEREF _Toc233626402 \h </w:instrText>
        </w:r>
        <w:r>
          <w:rPr>
            <w:noProof/>
            <w:webHidden/>
          </w:rPr>
        </w:r>
        <w:r>
          <w:rPr>
            <w:noProof/>
            <w:webHidden/>
          </w:rPr>
          <w:fldChar w:fldCharType="separate"/>
        </w:r>
        <w:r w:rsidR="001E3978">
          <w:rPr>
            <w:noProof/>
            <w:webHidden/>
          </w:rPr>
          <w:t>242</w:t>
        </w:r>
        <w:r>
          <w:rPr>
            <w:noProof/>
            <w:webHidden/>
          </w:rPr>
          <w:fldChar w:fldCharType="end"/>
        </w:r>
      </w:hyperlink>
    </w:p>
    <w:p w14:paraId="4BEC0104" w14:textId="5CFF6598" w:rsidR="00266B1F" w:rsidRDefault="00266B1F">
      <w:pPr>
        <w:pStyle w:val="TM3"/>
        <w:tabs>
          <w:tab w:val="right" w:leader="dot" w:pos="8630"/>
        </w:tabs>
        <w:rPr>
          <w:noProof/>
          <w:kern w:val="2"/>
          <w:sz w:val="24"/>
          <w:szCs w:val="24"/>
          <w:lang w:eastAsia="fr-BE"/>
          <w14:ligatures w14:val="standardContextual"/>
        </w:rPr>
      </w:pPr>
      <w:hyperlink w:anchor="_Toc233626403" w:history="1">
        <w:r w:rsidRPr="0027322A">
          <w:rPr>
            <w:rStyle w:val="Lienhypertexte"/>
            <w:noProof/>
          </w:rPr>
          <w:t>040/364-23 Panneaux publicitaires</w:t>
        </w:r>
        <w:r>
          <w:rPr>
            <w:noProof/>
            <w:webHidden/>
          </w:rPr>
          <w:tab/>
        </w:r>
        <w:r>
          <w:rPr>
            <w:noProof/>
            <w:webHidden/>
          </w:rPr>
          <w:fldChar w:fldCharType="begin"/>
        </w:r>
        <w:r>
          <w:rPr>
            <w:noProof/>
            <w:webHidden/>
          </w:rPr>
          <w:instrText xml:space="preserve"> PAGEREF _Toc233626403 \h </w:instrText>
        </w:r>
        <w:r>
          <w:rPr>
            <w:noProof/>
            <w:webHidden/>
          </w:rPr>
        </w:r>
        <w:r>
          <w:rPr>
            <w:noProof/>
            <w:webHidden/>
          </w:rPr>
          <w:fldChar w:fldCharType="separate"/>
        </w:r>
        <w:r w:rsidR="001E3978">
          <w:rPr>
            <w:noProof/>
            <w:webHidden/>
          </w:rPr>
          <w:t>242</w:t>
        </w:r>
        <w:r>
          <w:rPr>
            <w:noProof/>
            <w:webHidden/>
          </w:rPr>
          <w:fldChar w:fldCharType="end"/>
        </w:r>
      </w:hyperlink>
    </w:p>
    <w:p w14:paraId="37EFC61A" w14:textId="30D51A67" w:rsidR="00266B1F" w:rsidRDefault="00266B1F">
      <w:pPr>
        <w:pStyle w:val="TM3"/>
        <w:tabs>
          <w:tab w:val="right" w:leader="dot" w:pos="8630"/>
        </w:tabs>
        <w:rPr>
          <w:noProof/>
          <w:kern w:val="2"/>
          <w:sz w:val="24"/>
          <w:szCs w:val="24"/>
          <w:lang w:eastAsia="fr-BE"/>
          <w14:ligatures w14:val="standardContextual"/>
        </w:rPr>
      </w:pPr>
      <w:hyperlink w:anchor="_Toc233626404" w:history="1">
        <w:r w:rsidRPr="0027322A">
          <w:rPr>
            <w:rStyle w:val="Lienhypertexte"/>
            <w:noProof/>
          </w:rPr>
          <w:t>04001/364-24 Distribution gratuite (publicités / PRG)</w:t>
        </w:r>
        <w:r>
          <w:rPr>
            <w:noProof/>
            <w:webHidden/>
          </w:rPr>
          <w:tab/>
        </w:r>
        <w:r>
          <w:rPr>
            <w:noProof/>
            <w:webHidden/>
          </w:rPr>
          <w:fldChar w:fldCharType="begin"/>
        </w:r>
        <w:r>
          <w:rPr>
            <w:noProof/>
            <w:webHidden/>
          </w:rPr>
          <w:instrText xml:space="preserve"> PAGEREF _Toc233626404 \h </w:instrText>
        </w:r>
        <w:r>
          <w:rPr>
            <w:noProof/>
            <w:webHidden/>
          </w:rPr>
        </w:r>
        <w:r>
          <w:rPr>
            <w:noProof/>
            <w:webHidden/>
          </w:rPr>
          <w:fldChar w:fldCharType="separate"/>
        </w:r>
        <w:r w:rsidR="001E3978">
          <w:rPr>
            <w:noProof/>
            <w:webHidden/>
          </w:rPr>
          <w:t>243</w:t>
        </w:r>
        <w:r>
          <w:rPr>
            <w:noProof/>
            <w:webHidden/>
          </w:rPr>
          <w:fldChar w:fldCharType="end"/>
        </w:r>
      </w:hyperlink>
    </w:p>
    <w:p w14:paraId="048FB083" w14:textId="379FD132" w:rsidR="00266B1F" w:rsidRDefault="00266B1F">
      <w:pPr>
        <w:pStyle w:val="TM3"/>
        <w:tabs>
          <w:tab w:val="right" w:leader="dot" w:pos="8630"/>
        </w:tabs>
        <w:rPr>
          <w:noProof/>
          <w:kern w:val="2"/>
          <w:sz w:val="24"/>
          <w:szCs w:val="24"/>
          <w:lang w:eastAsia="fr-BE"/>
          <w14:ligatures w14:val="standardContextual"/>
        </w:rPr>
      </w:pPr>
      <w:hyperlink w:anchor="_Toc233626405" w:history="1">
        <w:r w:rsidRPr="0027322A">
          <w:rPr>
            <w:rStyle w:val="Lienhypertexte"/>
            <w:noProof/>
          </w:rPr>
          <w:t>04002/364-24 Diffusion publicitaire voie publique</w:t>
        </w:r>
        <w:r>
          <w:rPr>
            <w:noProof/>
            <w:webHidden/>
          </w:rPr>
          <w:tab/>
        </w:r>
        <w:r>
          <w:rPr>
            <w:noProof/>
            <w:webHidden/>
          </w:rPr>
          <w:fldChar w:fldCharType="begin"/>
        </w:r>
        <w:r>
          <w:rPr>
            <w:noProof/>
            <w:webHidden/>
          </w:rPr>
          <w:instrText xml:space="preserve"> PAGEREF _Toc233626405 \h </w:instrText>
        </w:r>
        <w:r>
          <w:rPr>
            <w:noProof/>
            <w:webHidden/>
          </w:rPr>
        </w:r>
        <w:r>
          <w:rPr>
            <w:noProof/>
            <w:webHidden/>
          </w:rPr>
          <w:fldChar w:fldCharType="separate"/>
        </w:r>
        <w:r w:rsidR="001E3978">
          <w:rPr>
            <w:noProof/>
            <w:webHidden/>
          </w:rPr>
          <w:t>243</w:t>
        </w:r>
        <w:r>
          <w:rPr>
            <w:noProof/>
            <w:webHidden/>
          </w:rPr>
          <w:fldChar w:fldCharType="end"/>
        </w:r>
      </w:hyperlink>
    </w:p>
    <w:p w14:paraId="177335A2" w14:textId="0BE4F018" w:rsidR="00266B1F" w:rsidRDefault="00266B1F">
      <w:pPr>
        <w:pStyle w:val="TM3"/>
        <w:tabs>
          <w:tab w:val="right" w:leader="dot" w:pos="8630"/>
        </w:tabs>
        <w:rPr>
          <w:noProof/>
          <w:kern w:val="2"/>
          <w:sz w:val="24"/>
          <w:szCs w:val="24"/>
          <w:lang w:eastAsia="fr-BE"/>
          <w14:ligatures w14:val="standardContextual"/>
        </w:rPr>
      </w:pPr>
      <w:hyperlink w:anchor="_Toc233626406" w:history="1">
        <w:r w:rsidRPr="0027322A">
          <w:rPr>
            <w:rStyle w:val="Lienhypertexte"/>
            <w:noProof/>
          </w:rPr>
          <w:t>040/364-26 Séjour</w:t>
        </w:r>
        <w:r>
          <w:rPr>
            <w:noProof/>
            <w:webHidden/>
          </w:rPr>
          <w:tab/>
        </w:r>
        <w:r>
          <w:rPr>
            <w:noProof/>
            <w:webHidden/>
          </w:rPr>
          <w:fldChar w:fldCharType="begin"/>
        </w:r>
        <w:r>
          <w:rPr>
            <w:noProof/>
            <w:webHidden/>
          </w:rPr>
          <w:instrText xml:space="preserve"> PAGEREF _Toc233626406 \h </w:instrText>
        </w:r>
        <w:r>
          <w:rPr>
            <w:noProof/>
            <w:webHidden/>
          </w:rPr>
        </w:r>
        <w:r>
          <w:rPr>
            <w:noProof/>
            <w:webHidden/>
          </w:rPr>
          <w:fldChar w:fldCharType="separate"/>
        </w:r>
        <w:r w:rsidR="001E3978">
          <w:rPr>
            <w:noProof/>
            <w:webHidden/>
          </w:rPr>
          <w:t>243</w:t>
        </w:r>
        <w:r>
          <w:rPr>
            <w:noProof/>
            <w:webHidden/>
          </w:rPr>
          <w:fldChar w:fldCharType="end"/>
        </w:r>
      </w:hyperlink>
    </w:p>
    <w:p w14:paraId="39DD497D" w14:textId="49B0BF62" w:rsidR="00266B1F" w:rsidRDefault="00266B1F">
      <w:pPr>
        <w:pStyle w:val="TM3"/>
        <w:tabs>
          <w:tab w:val="right" w:leader="dot" w:pos="8630"/>
        </w:tabs>
        <w:rPr>
          <w:noProof/>
          <w:kern w:val="2"/>
          <w:sz w:val="24"/>
          <w:szCs w:val="24"/>
          <w:lang w:eastAsia="fr-BE"/>
          <w14:ligatures w14:val="standardContextual"/>
        </w:rPr>
      </w:pPr>
      <w:hyperlink w:anchor="_Toc233626407" w:history="1">
        <w:r w:rsidRPr="0027322A">
          <w:rPr>
            <w:rStyle w:val="Lienhypertexte"/>
            <w:noProof/>
          </w:rPr>
          <w:t>040/364-26 Hébergement touristique</w:t>
        </w:r>
        <w:r>
          <w:rPr>
            <w:noProof/>
            <w:webHidden/>
          </w:rPr>
          <w:tab/>
        </w:r>
        <w:r>
          <w:rPr>
            <w:noProof/>
            <w:webHidden/>
          </w:rPr>
          <w:fldChar w:fldCharType="begin"/>
        </w:r>
        <w:r>
          <w:rPr>
            <w:noProof/>
            <w:webHidden/>
          </w:rPr>
          <w:instrText xml:space="preserve"> PAGEREF _Toc233626407 \h </w:instrText>
        </w:r>
        <w:r>
          <w:rPr>
            <w:noProof/>
            <w:webHidden/>
          </w:rPr>
        </w:r>
        <w:r>
          <w:rPr>
            <w:noProof/>
            <w:webHidden/>
          </w:rPr>
          <w:fldChar w:fldCharType="separate"/>
        </w:r>
        <w:r w:rsidR="001E3978">
          <w:rPr>
            <w:noProof/>
            <w:webHidden/>
          </w:rPr>
          <w:t>243</w:t>
        </w:r>
        <w:r>
          <w:rPr>
            <w:noProof/>
            <w:webHidden/>
          </w:rPr>
          <w:fldChar w:fldCharType="end"/>
        </w:r>
      </w:hyperlink>
    </w:p>
    <w:p w14:paraId="79591EBE" w14:textId="6648A52F" w:rsidR="00266B1F" w:rsidRDefault="00266B1F">
      <w:pPr>
        <w:pStyle w:val="TM3"/>
        <w:tabs>
          <w:tab w:val="right" w:leader="dot" w:pos="8630"/>
        </w:tabs>
        <w:rPr>
          <w:noProof/>
          <w:kern w:val="2"/>
          <w:sz w:val="24"/>
          <w:szCs w:val="24"/>
          <w:lang w:eastAsia="fr-BE"/>
          <w14:ligatures w14:val="standardContextual"/>
        </w:rPr>
      </w:pPr>
      <w:hyperlink w:anchor="_Toc233626408" w:history="1">
        <w:r w:rsidRPr="0027322A">
          <w:rPr>
            <w:rStyle w:val="Lienhypertexte"/>
            <w:noProof/>
          </w:rPr>
          <w:t>040/364-27 Terrains de camping</w:t>
        </w:r>
        <w:r>
          <w:rPr>
            <w:noProof/>
            <w:webHidden/>
          </w:rPr>
          <w:tab/>
        </w:r>
        <w:r>
          <w:rPr>
            <w:noProof/>
            <w:webHidden/>
          </w:rPr>
          <w:fldChar w:fldCharType="begin"/>
        </w:r>
        <w:r>
          <w:rPr>
            <w:noProof/>
            <w:webHidden/>
          </w:rPr>
          <w:instrText xml:space="preserve"> PAGEREF _Toc233626408 \h </w:instrText>
        </w:r>
        <w:r>
          <w:rPr>
            <w:noProof/>
            <w:webHidden/>
          </w:rPr>
        </w:r>
        <w:r>
          <w:rPr>
            <w:noProof/>
            <w:webHidden/>
          </w:rPr>
          <w:fldChar w:fldCharType="separate"/>
        </w:r>
        <w:r w:rsidR="001E3978">
          <w:rPr>
            <w:noProof/>
            <w:webHidden/>
          </w:rPr>
          <w:t>244</w:t>
        </w:r>
        <w:r>
          <w:rPr>
            <w:noProof/>
            <w:webHidden/>
          </w:rPr>
          <w:fldChar w:fldCharType="end"/>
        </w:r>
      </w:hyperlink>
    </w:p>
    <w:p w14:paraId="6AFD5329" w14:textId="73A026B5" w:rsidR="00266B1F" w:rsidRDefault="00266B1F">
      <w:pPr>
        <w:pStyle w:val="TM3"/>
        <w:tabs>
          <w:tab w:val="right" w:leader="dot" w:pos="8630"/>
        </w:tabs>
        <w:rPr>
          <w:noProof/>
          <w:kern w:val="2"/>
          <w:sz w:val="24"/>
          <w:szCs w:val="24"/>
          <w:lang w:eastAsia="fr-BE"/>
          <w14:ligatures w14:val="standardContextual"/>
        </w:rPr>
      </w:pPr>
      <w:hyperlink w:anchor="_Toc233626409" w:history="1">
        <w:r w:rsidRPr="0027322A">
          <w:rPr>
            <w:rStyle w:val="Lienhypertexte"/>
            <w:noProof/>
          </w:rPr>
          <w:t>040/364-29 Mitrailles/véhicules usagés &amp; véhicules isolés abandonnés</w:t>
        </w:r>
        <w:r>
          <w:rPr>
            <w:noProof/>
            <w:webHidden/>
          </w:rPr>
          <w:tab/>
        </w:r>
        <w:r>
          <w:rPr>
            <w:noProof/>
            <w:webHidden/>
          </w:rPr>
          <w:fldChar w:fldCharType="begin"/>
        </w:r>
        <w:r>
          <w:rPr>
            <w:noProof/>
            <w:webHidden/>
          </w:rPr>
          <w:instrText xml:space="preserve"> PAGEREF _Toc233626409 \h </w:instrText>
        </w:r>
        <w:r>
          <w:rPr>
            <w:noProof/>
            <w:webHidden/>
          </w:rPr>
        </w:r>
        <w:r>
          <w:rPr>
            <w:noProof/>
            <w:webHidden/>
          </w:rPr>
          <w:fldChar w:fldCharType="separate"/>
        </w:r>
        <w:r w:rsidR="001E3978">
          <w:rPr>
            <w:noProof/>
            <w:webHidden/>
          </w:rPr>
          <w:t>244</w:t>
        </w:r>
        <w:r>
          <w:rPr>
            <w:noProof/>
            <w:webHidden/>
          </w:rPr>
          <w:fldChar w:fldCharType="end"/>
        </w:r>
      </w:hyperlink>
    </w:p>
    <w:p w14:paraId="136C3AB7" w14:textId="4BBD66AA" w:rsidR="00266B1F" w:rsidRDefault="00266B1F">
      <w:pPr>
        <w:pStyle w:val="TM3"/>
        <w:tabs>
          <w:tab w:val="right" w:leader="dot" w:pos="8630"/>
        </w:tabs>
        <w:rPr>
          <w:noProof/>
          <w:kern w:val="2"/>
          <w:sz w:val="24"/>
          <w:szCs w:val="24"/>
          <w:lang w:eastAsia="fr-BE"/>
          <w14:ligatures w14:val="standardContextual"/>
        </w:rPr>
      </w:pPr>
      <w:hyperlink w:anchor="_Toc233626410" w:history="1">
        <w:r w:rsidRPr="0027322A">
          <w:rPr>
            <w:rStyle w:val="Lienhypertexte"/>
            <w:noProof/>
          </w:rPr>
          <w:t>040/364-30 Etablissements dangereux/insalubres/incommodes &amp; permis env.</w:t>
        </w:r>
        <w:r>
          <w:rPr>
            <w:noProof/>
            <w:webHidden/>
          </w:rPr>
          <w:tab/>
        </w:r>
        <w:r>
          <w:rPr>
            <w:noProof/>
            <w:webHidden/>
          </w:rPr>
          <w:fldChar w:fldCharType="begin"/>
        </w:r>
        <w:r>
          <w:rPr>
            <w:noProof/>
            <w:webHidden/>
          </w:rPr>
          <w:instrText xml:space="preserve"> PAGEREF _Toc233626410 \h </w:instrText>
        </w:r>
        <w:r>
          <w:rPr>
            <w:noProof/>
            <w:webHidden/>
          </w:rPr>
        </w:r>
        <w:r>
          <w:rPr>
            <w:noProof/>
            <w:webHidden/>
          </w:rPr>
          <w:fldChar w:fldCharType="separate"/>
        </w:r>
        <w:r w:rsidR="001E3978">
          <w:rPr>
            <w:noProof/>
            <w:webHidden/>
          </w:rPr>
          <w:t>244</w:t>
        </w:r>
        <w:r>
          <w:rPr>
            <w:noProof/>
            <w:webHidden/>
          </w:rPr>
          <w:fldChar w:fldCharType="end"/>
        </w:r>
      </w:hyperlink>
    </w:p>
    <w:p w14:paraId="3A154AD5" w14:textId="0FD7CB93" w:rsidR="00266B1F" w:rsidRDefault="00266B1F">
      <w:pPr>
        <w:pStyle w:val="TM3"/>
        <w:tabs>
          <w:tab w:val="right" w:leader="dot" w:pos="8630"/>
        </w:tabs>
        <w:rPr>
          <w:noProof/>
          <w:kern w:val="2"/>
          <w:sz w:val="24"/>
          <w:szCs w:val="24"/>
          <w:lang w:eastAsia="fr-BE"/>
          <w14:ligatures w14:val="standardContextual"/>
        </w:rPr>
      </w:pPr>
      <w:hyperlink w:anchor="_Toc233626411" w:history="1">
        <w:r w:rsidRPr="0027322A">
          <w:rPr>
            <w:rStyle w:val="Lienhypertexte"/>
            <w:noProof/>
          </w:rPr>
          <w:t>040/364-32 Agences bancaires</w:t>
        </w:r>
        <w:r>
          <w:rPr>
            <w:noProof/>
            <w:webHidden/>
          </w:rPr>
          <w:tab/>
        </w:r>
        <w:r>
          <w:rPr>
            <w:noProof/>
            <w:webHidden/>
          </w:rPr>
          <w:fldChar w:fldCharType="begin"/>
        </w:r>
        <w:r>
          <w:rPr>
            <w:noProof/>
            <w:webHidden/>
          </w:rPr>
          <w:instrText xml:space="preserve"> PAGEREF _Toc233626411 \h </w:instrText>
        </w:r>
        <w:r>
          <w:rPr>
            <w:noProof/>
            <w:webHidden/>
          </w:rPr>
        </w:r>
        <w:r>
          <w:rPr>
            <w:noProof/>
            <w:webHidden/>
          </w:rPr>
          <w:fldChar w:fldCharType="separate"/>
        </w:r>
        <w:r w:rsidR="001E3978">
          <w:rPr>
            <w:noProof/>
            <w:webHidden/>
          </w:rPr>
          <w:t>244</w:t>
        </w:r>
        <w:r>
          <w:rPr>
            <w:noProof/>
            <w:webHidden/>
          </w:rPr>
          <w:fldChar w:fldCharType="end"/>
        </w:r>
      </w:hyperlink>
    </w:p>
    <w:p w14:paraId="5DE4AABD" w14:textId="557615BF" w:rsidR="00266B1F" w:rsidRDefault="00266B1F">
      <w:pPr>
        <w:pStyle w:val="TM3"/>
        <w:tabs>
          <w:tab w:val="right" w:leader="dot" w:pos="8630"/>
        </w:tabs>
        <w:rPr>
          <w:noProof/>
          <w:kern w:val="2"/>
          <w:sz w:val="24"/>
          <w:szCs w:val="24"/>
          <w:lang w:eastAsia="fr-BE"/>
          <w14:ligatures w14:val="standardContextual"/>
        </w:rPr>
      </w:pPr>
      <w:hyperlink w:anchor="_Toc233626412" w:history="1">
        <w:r w:rsidRPr="0027322A">
          <w:rPr>
            <w:rStyle w:val="Lienhypertexte"/>
            <w:noProof/>
          </w:rPr>
          <w:t>040/364-33 Centres d’enfouissement technique</w:t>
        </w:r>
        <w:r>
          <w:rPr>
            <w:noProof/>
            <w:webHidden/>
          </w:rPr>
          <w:tab/>
        </w:r>
        <w:r>
          <w:rPr>
            <w:noProof/>
            <w:webHidden/>
          </w:rPr>
          <w:fldChar w:fldCharType="begin"/>
        </w:r>
        <w:r>
          <w:rPr>
            <w:noProof/>
            <w:webHidden/>
          </w:rPr>
          <w:instrText xml:space="preserve"> PAGEREF _Toc233626412 \h </w:instrText>
        </w:r>
        <w:r>
          <w:rPr>
            <w:noProof/>
            <w:webHidden/>
          </w:rPr>
        </w:r>
        <w:r>
          <w:rPr>
            <w:noProof/>
            <w:webHidden/>
          </w:rPr>
          <w:fldChar w:fldCharType="separate"/>
        </w:r>
        <w:r w:rsidR="001E3978">
          <w:rPr>
            <w:noProof/>
            <w:webHidden/>
          </w:rPr>
          <w:t>244</w:t>
        </w:r>
        <w:r>
          <w:rPr>
            <w:noProof/>
            <w:webHidden/>
          </w:rPr>
          <w:fldChar w:fldCharType="end"/>
        </w:r>
      </w:hyperlink>
    </w:p>
    <w:p w14:paraId="2876FAF0" w14:textId="12206295" w:rsidR="00266B1F" w:rsidRDefault="00266B1F">
      <w:pPr>
        <w:pStyle w:val="TM3"/>
        <w:tabs>
          <w:tab w:val="right" w:leader="dot" w:pos="8630"/>
        </w:tabs>
        <w:rPr>
          <w:noProof/>
          <w:kern w:val="2"/>
          <w:sz w:val="24"/>
          <w:szCs w:val="24"/>
          <w:lang w:eastAsia="fr-BE"/>
          <w14:ligatures w14:val="standardContextual"/>
        </w:rPr>
      </w:pPr>
      <w:hyperlink w:anchor="_Toc233626413" w:history="1">
        <w:r w:rsidRPr="0027322A">
          <w:rPr>
            <w:rStyle w:val="Lienhypertexte"/>
            <w:noProof/>
          </w:rPr>
          <w:t>040/364-34 Logements loués meublés (incl. Airbnb)</w:t>
        </w:r>
        <w:r>
          <w:rPr>
            <w:noProof/>
            <w:webHidden/>
          </w:rPr>
          <w:tab/>
        </w:r>
        <w:r>
          <w:rPr>
            <w:noProof/>
            <w:webHidden/>
          </w:rPr>
          <w:fldChar w:fldCharType="begin"/>
        </w:r>
        <w:r>
          <w:rPr>
            <w:noProof/>
            <w:webHidden/>
          </w:rPr>
          <w:instrText xml:space="preserve"> PAGEREF _Toc233626413 \h </w:instrText>
        </w:r>
        <w:r>
          <w:rPr>
            <w:noProof/>
            <w:webHidden/>
          </w:rPr>
        </w:r>
        <w:r>
          <w:rPr>
            <w:noProof/>
            <w:webHidden/>
          </w:rPr>
          <w:fldChar w:fldCharType="separate"/>
        </w:r>
        <w:r w:rsidR="001E3978">
          <w:rPr>
            <w:noProof/>
            <w:webHidden/>
          </w:rPr>
          <w:t>244</w:t>
        </w:r>
        <w:r>
          <w:rPr>
            <w:noProof/>
            <w:webHidden/>
          </w:rPr>
          <w:fldChar w:fldCharType="end"/>
        </w:r>
      </w:hyperlink>
    </w:p>
    <w:p w14:paraId="7785A0B3" w14:textId="6E748909" w:rsidR="00266B1F" w:rsidRDefault="00266B1F">
      <w:pPr>
        <w:pStyle w:val="TM3"/>
        <w:tabs>
          <w:tab w:val="right" w:leader="dot" w:pos="8630"/>
        </w:tabs>
        <w:rPr>
          <w:noProof/>
          <w:kern w:val="2"/>
          <w:sz w:val="24"/>
          <w:szCs w:val="24"/>
          <w:lang w:eastAsia="fr-BE"/>
          <w14:ligatures w14:val="standardContextual"/>
        </w:rPr>
      </w:pPr>
      <w:hyperlink w:anchor="_Toc233626414" w:history="1">
        <w:r w:rsidRPr="0027322A">
          <w:rPr>
            <w:rStyle w:val="Lienhypertexte"/>
            <w:noProof/>
          </w:rPr>
          <w:t>04001/364-48 Taxe industrielle compensatoire</w:t>
        </w:r>
        <w:r>
          <w:rPr>
            <w:noProof/>
            <w:webHidden/>
          </w:rPr>
          <w:tab/>
        </w:r>
        <w:r>
          <w:rPr>
            <w:noProof/>
            <w:webHidden/>
          </w:rPr>
          <w:fldChar w:fldCharType="begin"/>
        </w:r>
        <w:r>
          <w:rPr>
            <w:noProof/>
            <w:webHidden/>
          </w:rPr>
          <w:instrText xml:space="preserve"> PAGEREF _Toc233626414 \h </w:instrText>
        </w:r>
        <w:r>
          <w:rPr>
            <w:noProof/>
            <w:webHidden/>
          </w:rPr>
        </w:r>
        <w:r>
          <w:rPr>
            <w:noProof/>
            <w:webHidden/>
          </w:rPr>
          <w:fldChar w:fldCharType="separate"/>
        </w:r>
        <w:r w:rsidR="001E3978">
          <w:rPr>
            <w:noProof/>
            <w:webHidden/>
          </w:rPr>
          <w:t>244</w:t>
        </w:r>
        <w:r>
          <w:rPr>
            <w:noProof/>
            <w:webHidden/>
          </w:rPr>
          <w:fldChar w:fldCharType="end"/>
        </w:r>
      </w:hyperlink>
    </w:p>
    <w:p w14:paraId="5C72F939" w14:textId="0710BDA9" w:rsidR="00266B1F" w:rsidRDefault="00266B1F">
      <w:pPr>
        <w:pStyle w:val="TM3"/>
        <w:tabs>
          <w:tab w:val="right" w:leader="dot" w:pos="8630"/>
        </w:tabs>
        <w:rPr>
          <w:noProof/>
          <w:kern w:val="2"/>
          <w:sz w:val="24"/>
          <w:szCs w:val="24"/>
          <w:lang w:eastAsia="fr-BE"/>
          <w14:ligatures w14:val="standardContextual"/>
        </w:rPr>
      </w:pPr>
      <w:hyperlink w:anchor="_Toc233626415" w:history="1">
        <w:r w:rsidRPr="0027322A">
          <w:rPr>
            <w:rStyle w:val="Lienhypertexte"/>
            <w:noProof/>
          </w:rPr>
          <w:t>04002/364-48 Commerce de frites &amp; petite restauration à emporter</w:t>
        </w:r>
        <w:r>
          <w:rPr>
            <w:noProof/>
            <w:webHidden/>
          </w:rPr>
          <w:tab/>
        </w:r>
        <w:r>
          <w:rPr>
            <w:noProof/>
            <w:webHidden/>
          </w:rPr>
          <w:fldChar w:fldCharType="begin"/>
        </w:r>
        <w:r>
          <w:rPr>
            <w:noProof/>
            <w:webHidden/>
          </w:rPr>
          <w:instrText xml:space="preserve"> PAGEREF _Toc233626415 \h </w:instrText>
        </w:r>
        <w:r>
          <w:rPr>
            <w:noProof/>
            <w:webHidden/>
          </w:rPr>
        </w:r>
        <w:r>
          <w:rPr>
            <w:noProof/>
            <w:webHidden/>
          </w:rPr>
          <w:fldChar w:fldCharType="separate"/>
        </w:r>
        <w:r w:rsidR="001E3978">
          <w:rPr>
            <w:noProof/>
            <w:webHidden/>
          </w:rPr>
          <w:t>244</w:t>
        </w:r>
        <w:r>
          <w:rPr>
            <w:noProof/>
            <w:webHidden/>
          </w:rPr>
          <w:fldChar w:fldCharType="end"/>
        </w:r>
      </w:hyperlink>
    </w:p>
    <w:p w14:paraId="41CFE5D6" w14:textId="07C0AD7D" w:rsidR="00266B1F" w:rsidRDefault="00266B1F">
      <w:pPr>
        <w:pStyle w:val="TM3"/>
        <w:tabs>
          <w:tab w:val="right" w:leader="dot" w:pos="8630"/>
        </w:tabs>
        <w:rPr>
          <w:noProof/>
          <w:kern w:val="2"/>
          <w:sz w:val="24"/>
          <w:szCs w:val="24"/>
          <w:lang w:eastAsia="fr-BE"/>
          <w14:ligatures w14:val="standardContextual"/>
        </w:rPr>
      </w:pPr>
      <w:hyperlink w:anchor="_Toc233626416" w:history="1">
        <w:r w:rsidRPr="0027322A">
          <w:rPr>
            <w:rStyle w:val="Lienhypertexte"/>
            <w:noProof/>
          </w:rPr>
          <w:t>04003/364-48 Loges foraines et loges mobiles</w:t>
        </w:r>
        <w:r>
          <w:rPr>
            <w:noProof/>
            <w:webHidden/>
          </w:rPr>
          <w:tab/>
        </w:r>
        <w:r>
          <w:rPr>
            <w:noProof/>
            <w:webHidden/>
          </w:rPr>
          <w:fldChar w:fldCharType="begin"/>
        </w:r>
        <w:r>
          <w:rPr>
            <w:noProof/>
            <w:webHidden/>
          </w:rPr>
          <w:instrText xml:space="preserve"> PAGEREF _Toc233626416 \h </w:instrText>
        </w:r>
        <w:r>
          <w:rPr>
            <w:noProof/>
            <w:webHidden/>
          </w:rPr>
        </w:r>
        <w:r>
          <w:rPr>
            <w:noProof/>
            <w:webHidden/>
          </w:rPr>
          <w:fldChar w:fldCharType="separate"/>
        </w:r>
        <w:r w:rsidR="001E3978">
          <w:rPr>
            <w:noProof/>
            <w:webHidden/>
          </w:rPr>
          <w:t>244</w:t>
        </w:r>
        <w:r>
          <w:rPr>
            <w:noProof/>
            <w:webHidden/>
          </w:rPr>
          <w:fldChar w:fldCharType="end"/>
        </w:r>
      </w:hyperlink>
    </w:p>
    <w:p w14:paraId="5FB10C52" w14:textId="09DD3668" w:rsidR="00266B1F" w:rsidRDefault="00266B1F">
      <w:pPr>
        <w:pStyle w:val="TM3"/>
        <w:tabs>
          <w:tab w:val="right" w:leader="dot" w:pos="8630"/>
        </w:tabs>
        <w:rPr>
          <w:noProof/>
          <w:kern w:val="2"/>
          <w:sz w:val="24"/>
          <w:szCs w:val="24"/>
          <w:lang w:eastAsia="fr-BE"/>
          <w14:ligatures w14:val="standardContextual"/>
        </w:rPr>
      </w:pPr>
      <w:hyperlink w:anchor="_Toc233626417" w:history="1">
        <w:r w:rsidRPr="0027322A">
          <w:rPr>
            <w:rStyle w:val="Lienhypertexte"/>
            <w:noProof/>
          </w:rPr>
          <w:t>04004/364-48 Commerces de nuit</w:t>
        </w:r>
        <w:r>
          <w:rPr>
            <w:noProof/>
            <w:webHidden/>
          </w:rPr>
          <w:tab/>
        </w:r>
        <w:r>
          <w:rPr>
            <w:noProof/>
            <w:webHidden/>
          </w:rPr>
          <w:fldChar w:fldCharType="begin"/>
        </w:r>
        <w:r>
          <w:rPr>
            <w:noProof/>
            <w:webHidden/>
          </w:rPr>
          <w:instrText xml:space="preserve"> PAGEREF _Toc233626417 \h </w:instrText>
        </w:r>
        <w:r>
          <w:rPr>
            <w:noProof/>
            <w:webHidden/>
          </w:rPr>
        </w:r>
        <w:r>
          <w:rPr>
            <w:noProof/>
            <w:webHidden/>
          </w:rPr>
          <w:fldChar w:fldCharType="separate"/>
        </w:r>
        <w:r w:rsidR="001E3978">
          <w:rPr>
            <w:noProof/>
            <w:webHidden/>
          </w:rPr>
          <w:t>245</w:t>
        </w:r>
        <w:r>
          <w:rPr>
            <w:noProof/>
            <w:webHidden/>
          </w:rPr>
          <w:fldChar w:fldCharType="end"/>
        </w:r>
      </w:hyperlink>
    </w:p>
    <w:p w14:paraId="26328DDE" w14:textId="012AFBDE" w:rsidR="00266B1F" w:rsidRDefault="00266B1F">
      <w:pPr>
        <w:pStyle w:val="TM3"/>
        <w:tabs>
          <w:tab w:val="right" w:leader="dot" w:pos="8630"/>
        </w:tabs>
        <w:rPr>
          <w:noProof/>
          <w:kern w:val="2"/>
          <w:sz w:val="24"/>
          <w:szCs w:val="24"/>
          <w:lang w:eastAsia="fr-BE"/>
          <w14:ligatures w14:val="standardContextual"/>
        </w:rPr>
      </w:pPr>
      <w:hyperlink w:anchor="_Toc233626418" w:history="1">
        <w:r w:rsidRPr="0027322A">
          <w:rPr>
            <w:rStyle w:val="Lienhypertexte"/>
            <w:noProof/>
          </w:rPr>
          <w:t>04005/364-48 Phone shops</w:t>
        </w:r>
        <w:r>
          <w:rPr>
            <w:noProof/>
            <w:webHidden/>
          </w:rPr>
          <w:tab/>
        </w:r>
        <w:r>
          <w:rPr>
            <w:noProof/>
            <w:webHidden/>
          </w:rPr>
          <w:fldChar w:fldCharType="begin"/>
        </w:r>
        <w:r>
          <w:rPr>
            <w:noProof/>
            <w:webHidden/>
          </w:rPr>
          <w:instrText xml:space="preserve"> PAGEREF _Toc233626418 \h </w:instrText>
        </w:r>
        <w:r>
          <w:rPr>
            <w:noProof/>
            <w:webHidden/>
          </w:rPr>
        </w:r>
        <w:r>
          <w:rPr>
            <w:noProof/>
            <w:webHidden/>
          </w:rPr>
          <w:fldChar w:fldCharType="separate"/>
        </w:r>
        <w:r w:rsidR="001E3978">
          <w:rPr>
            <w:noProof/>
            <w:webHidden/>
          </w:rPr>
          <w:t>245</w:t>
        </w:r>
        <w:r>
          <w:rPr>
            <w:noProof/>
            <w:webHidden/>
          </w:rPr>
          <w:fldChar w:fldCharType="end"/>
        </w:r>
      </w:hyperlink>
    </w:p>
    <w:p w14:paraId="7C793C96" w14:textId="38B6E765" w:rsidR="00266B1F" w:rsidRDefault="00266B1F">
      <w:pPr>
        <w:pStyle w:val="TM3"/>
        <w:tabs>
          <w:tab w:val="right" w:leader="dot" w:pos="8630"/>
        </w:tabs>
        <w:rPr>
          <w:noProof/>
          <w:kern w:val="2"/>
          <w:sz w:val="24"/>
          <w:szCs w:val="24"/>
          <w:lang w:eastAsia="fr-BE"/>
          <w14:ligatures w14:val="standardContextual"/>
        </w:rPr>
      </w:pPr>
      <w:hyperlink w:anchor="_Toc233626419" w:history="1">
        <w:r w:rsidRPr="0027322A">
          <w:rPr>
            <w:rStyle w:val="Lienhypertexte"/>
            <w:noProof/>
          </w:rPr>
          <w:t>04006/364-48 Exploitation de parkings payants</w:t>
        </w:r>
        <w:r>
          <w:rPr>
            <w:noProof/>
            <w:webHidden/>
          </w:rPr>
          <w:tab/>
        </w:r>
        <w:r>
          <w:rPr>
            <w:noProof/>
            <w:webHidden/>
          </w:rPr>
          <w:fldChar w:fldCharType="begin"/>
        </w:r>
        <w:r>
          <w:rPr>
            <w:noProof/>
            <w:webHidden/>
          </w:rPr>
          <w:instrText xml:space="preserve"> PAGEREF _Toc233626419 \h </w:instrText>
        </w:r>
        <w:r>
          <w:rPr>
            <w:noProof/>
            <w:webHidden/>
          </w:rPr>
        </w:r>
        <w:r>
          <w:rPr>
            <w:noProof/>
            <w:webHidden/>
          </w:rPr>
          <w:fldChar w:fldCharType="separate"/>
        </w:r>
        <w:r w:rsidR="001E3978">
          <w:rPr>
            <w:noProof/>
            <w:webHidden/>
          </w:rPr>
          <w:t>245</w:t>
        </w:r>
        <w:r>
          <w:rPr>
            <w:noProof/>
            <w:webHidden/>
          </w:rPr>
          <w:fldChar w:fldCharType="end"/>
        </w:r>
      </w:hyperlink>
    </w:p>
    <w:p w14:paraId="52163682" w14:textId="022DFCDD" w:rsidR="00266B1F" w:rsidRDefault="00266B1F">
      <w:pPr>
        <w:pStyle w:val="TM3"/>
        <w:tabs>
          <w:tab w:val="right" w:leader="dot" w:pos="8630"/>
        </w:tabs>
        <w:rPr>
          <w:noProof/>
          <w:kern w:val="2"/>
          <w:sz w:val="24"/>
          <w:szCs w:val="24"/>
          <w:lang w:eastAsia="fr-BE"/>
          <w14:ligatures w14:val="standardContextual"/>
        </w:rPr>
      </w:pPr>
      <w:hyperlink w:anchor="_Toc233626420" w:history="1">
        <w:r w:rsidRPr="0027322A">
          <w:rPr>
            <w:rStyle w:val="Lienhypertexte"/>
            <w:noProof/>
          </w:rPr>
          <w:t>04007/364-48 Cannabis shops (CBD)</w:t>
        </w:r>
        <w:r>
          <w:rPr>
            <w:noProof/>
            <w:webHidden/>
          </w:rPr>
          <w:tab/>
        </w:r>
        <w:r>
          <w:rPr>
            <w:noProof/>
            <w:webHidden/>
          </w:rPr>
          <w:fldChar w:fldCharType="begin"/>
        </w:r>
        <w:r>
          <w:rPr>
            <w:noProof/>
            <w:webHidden/>
          </w:rPr>
          <w:instrText xml:space="preserve"> PAGEREF _Toc233626420 \h </w:instrText>
        </w:r>
        <w:r>
          <w:rPr>
            <w:noProof/>
            <w:webHidden/>
          </w:rPr>
        </w:r>
        <w:r>
          <w:rPr>
            <w:noProof/>
            <w:webHidden/>
          </w:rPr>
          <w:fldChar w:fldCharType="separate"/>
        </w:r>
        <w:r w:rsidR="001E3978">
          <w:rPr>
            <w:noProof/>
            <w:webHidden/>
          </w:rPr>
          <w:t>245</w:t>
        </w:r>
        <w:r>
          <w:rPr>
            <w:noProof/>
            <w:webHidden/>
          </w:rPr>
          <w:fldChar w:fldCharType="end"/>
        </w:r>
      </w:hyperlink>
    </w:p>
    <w:p w14:paraId="39360859" w14:textId="726C70FF" w:rsidR="00266B1F" w:rsidRDefault="00266B1F">
      <w:pPr>
        <w:pStyle w:val="TM3"/>
        <w:tabs>
          <w:tab w:val="right" w:leader="dot" w:pos="8630"/>
        </w:tabs>
        <w:rPr>
          <w:noProof/>
          <w:kern w:val="2"/>
          <w:sz w:val="24"/>
          <w:szCs w:val="24"/>
          <w:lang w:eastAsia="fr-BE"/>
          <w14:ligatures w14:val="standardContextual"/>
        </w:rPr>
      </w:pPr>
      <w:hyperlink w:anchor="_Toc233626421" w:history="1">
        <w:r w:rsidRPr="0027322A">
          <w:rPr>
            <w:rStyle w:val="Lienhypertexte"/>
            <w:noProof/>
          </w:rPr>
          <w:t>04008/364-48 Bars à chichas / pipes à eau</w:t>
        </w:r>
        <w:r>
          <w:rPr>
            <w:noProof/>
            <w:webHidden/>
          </w:rPr>
          <w:tab/>
        </w:r>
        <w:r>
          <w:rPr>
            <w:noProof/>
            <w:webHidden/>
          </w:rPr>
          <w:fldChar w:fldCharType="begin"/>
        </w:r>
        <w:r>
          <w:rPr>
            <w:noProof/>
            <w:webHidden/>
          </w:rPr>
          <w:instrText xml:space="preserve"> PAGEREF _Toc233626421 \h </w:instrText>
        </w:r>
        <w:r>
          <w:rPr>
            <w:noProof/>
            <w:webHidden/>
          </w:rPr>
        </w:r>
        <w:r>
          <w:rPr>
            <w:noProof/>
            <w:webHidden/>
          </w:rPr>
          <w:fldChar w:fldCharType="separate"/>
        </w:r>
        <w:r w:rsidR="001E3978">
          <w:rPr>
            <w:noProof/>
            <w:webHidden/>
          </w:rPr>
          <w:t>245</w:t>
        </w:r>
        <w:r>
          <w:rPr>
            <w:noProof/>
            <w:webHidden/>
          </w:rPr>
          <w:fldChar w:fldCharType="end"/>
        </w:r>
      </w:hyperlink>
    </w:p>
    <w:p w14:paraId="68EB001E" w14:textId="0D15727A" w:rsidR="00266B1F" w:rsidRDefault="00266B1F">
      <w:pPr>
        <w:pStyle w:val="TM3"/>
        <w:tabs>
          <w:tab w:val="left" w:pos="960"/>
          <w:tab w:val="right" w:leader="dot" w:pos="8630"/>
        </w:tabs>
        <w:rPr>
          <w:noProof/>
          <w:kern w:val="2"/>
          <w:sz w:val="24"/>
          <w:szCs w:val="24"/>
          <w:lang w:eastAsia="fr-BE"/>
          <w14:ligatures w14:val="standardContextual"/>
        </w:rPr>
      </w:pPr>
      <w:hyperlink w:anchor="_Toc233626422" w:history="1">
        <w:r w:rsidRPr="0027322A">
          <w:rPr>
            <w:rStyle w:val="Lienhypertexte"/>
            <w:smallCaps/>
            <w:noProof/>
          </w:rPr>
          <w:t>E.</w:t>
        </w:r>
        <w:r>
          <w:rPr>
            <w:noProof/>
            <w:kern w:val="2"/>
            <w:sz w:val="24"/>
            <w:szCs w:val="24"/>
            <w:lang w:eastAsia="fr-BE"/>
            <w14:ligatures w14:val="standardContextual"/>
          </w:rPr>
          <w:tab/>
        </w:r>
        <w:r w:rsidRPr="0027322A">
          <w:rPr>
            <w:rStyle w:val="Lienhypertexte"/>
            <w:noProof/>
          </w:rPr>
          <w:t>040/365 Taxe sur les spectacles et divertissements</w:t>
        </w:r>
        <w:r>
          <w:rPr>
            <w:noProof/>
            <w:webHidden/>
          </w:rPr>
          <w:tab/>
        </w:r>
        <w:r>
          <w:rPr>
            <w:noProof/>
            <w:webHidden/>
          </w:rPr>
          <w:fldChar w:fldCharType="begin"/>
        </w:r>
        <w:r>
          <w:rPr>
            <w:noProof/>
            <w:webHidden/>
          </w:rPr>
          <w:instrText xml:space="preserve"> PAGEREF _Toc233626422 \h </w:instrText>
        </w:r>
        <w:r>
          <w:rPr>
            <w:noProof/>
            <w:webHidden/>
          </w:rPr>
        </w:r>
        <w:r>
          <w:rPr>
            <w:noProof/>
            <w:webHidden/>
          </w:rPr>
          <w:fldChar w:fldCharType="separate"/>
        </w:r>
        <w:r w:rsidR="001E3978">
          <w:rPr>
            <w:noProof/>
            <w:webHidden/>
          </w:rPr>
          <w:t>245</w:t>
        </w:r>
        <w:r>
          <w:rPr>
            <w:noProof/>
            <w:webHidden/>
          </w:rPr>
          <w:fldChar w:fldCharType="end"/>
        </w:r>
      </w:hyperlink>
    </w:p>
    <w:p w14:paraId="1A706B2C" w14:textId="3B0A8E1D" w:rsidR="00266B1F" w:rsidRDefault="00266B1F">
      <w:pPr>
        <w:pStyle w:val="TM3"/>
        <w:tabs>
          <w:tab w:val="right" w:leader="dot" w:pos="8630"/>
        </w:tabs>
        <w:rPr>
          <w:noProof/>
          <w:kern w:val="2"/>
          <w:sz w:val="24"/>
          <w:szCs w:val="24"/>
          <w:lang w:eastAsia="fr-BE"/>
          <w14:ligatures w14:val="standardContextual"/>
        </w:rPr>
      </w:pPr>
      <w:hyperlink w:anchor="_Toc233626423" w:history="1">
        <w:r w:rsidRPr="0027322A">
          <w:rPr>
            <w:rStyle w:val="Lienhypertexte"/>
            <w:noProof/>
          </w:rPr>
          <w:t>040/365-01 Spectacles et divertissements</w:t>
        </w:r>
        <w:r>
          <w:rPr>
            <w:noProof/>
            <w:webHidden/>
          </w:rPr>
          <w:tab/>
        </w:r>
        <w:r>
          <w:rPr>
            <w:noProof/>
            <w:webHidden/>
          </w:rPr>
          <w:fldChar w:fldCharType="begin"/>
        </w:r>
        <w:r>
          <w:rPr>
            <w:noProof/>
            <w:webHidden/>
          </w:rPr>
          <w:instrText xml:space="preserve"> PAGEREF _Toc233626423 \h </w:instrText>
        </w:r>
        <w:r>
          <w:rPr>
            <w:noProof/>
            <w:webHidden/>
          </w:rPr>
        </w:r>
        <w:r>
          <w:rPr>
            <w:noProof/>
            <w:webHidden/>
          </w:rPr>
          <w:fldChar w:fldCharType="separate"/>
        </w:r>
        <w:r w:rsidR="001E3978">
          <w:rPr>
            <w:noProof/>
            <w:webHidden/>
          </w:rPr>
          <w:t>245</w:t>
        </w:r>
        <w:r>
          <w:rPr>
            <w:noProof/>
            <w:webHidden/>
          </w:rPr>
          <w:fldChar w:fldCharType="end"/>
        </w:r>
      </w:hyperlink>
    </w:p>
    <w:p w14:paraId="65CC3C84" w14:textId="15254537" w:rsidR="00266B1F" w:rsidRDefault="00266B1F">
      <w:pPr>
        <w:pStyle w:val="TM3"/>
        <w:tabs>
          <w:tab w:val="right" w:leader="dot" w:pos="8630"/>
        </w:tabs>
        <w:rPr>
          <w:noProof/>
          <w:kern w:val="2"/>
          <w:sz w:val="24"/>
          <w:szCs w:val="24"/>
          <w:lang w:eastAsia="fr-BE"/>
          <w14:ligatures w14:val="standardContextual"/>
        </w:rPr>
      </w:pPr>
      <w:hyperlink w:anchor="_Toc233626424" w:history="1">
        <w:r w:rsidRPr="0027322A">
          <w:rPr>
            <w:rStyle w:val="Lienhypertexte"/>
            <w:noProof/>
          </w:rPr>
          <w:t>040/365-02 Dancings</w:t>
        </w:r>
        <w:r>
          <w:rPr>
            <w:noProof/>
            <w:webHidden/>
          </w:rPr>
          <w:tab/>
        </w:r>
        <w:r>
          <w:rPr>
            <w:noProof/>
            <w:webHidden/>
          </w:rPr>
          <w:fldChar w:fldCharType="begin"/>
        </w:r>
        <w:r>
          <w:rPr>
            <w:noProof/>
            <w:webHidden/>
          </w:rPr>
          <w:instrText xml:space="preserve"> PAGEREF _Toc233626424 \h </w:instrText>
        </w:r>
        <w:r>
          <w:rPr>
            <w:noProof/>
            <w:webHidden/>
          </w:rPr>
        </w:r>
        <w:r>
          <w:rPr>
            <w:noProof/>
            <w:webHidden/>
          </w:rPr>
          <w:fldChar w:fldCharType="separate"/>
        </w:r>
        <w:r w:rsidR="001E3978">
          <w:rPr>
            <w:noProof/>
            <w:webHidden/>
          </w:rPr>
          <w:t>246</w:t>
        </w:r>
        <w:r>
          <w:rPr>
            <w:noProof/>
            <w:webHidden/>
          </w:rPr>
          <w:fldChar w:fldCharType="end"/>
        </w:r>
      </w:hyperlink>
    </w:p>
    <w:p w14:paraId="673A835F" w14:textId="27C527E4" w:rsidR="00266B1F" w:rsidRDefault="00266B1F">
      <w:pPr>
        <w:pStyle w:val="TM3"/>
        <w:tabs>
          <w:tab w:val="right" w:leader="dot" w:pos="8630"/>
        </w:tabs>
        <w:rPr>
          <w:noProof/>
          <w:kern w:val="2"/>
          <w:sz w:val="24"/>
          <w:szCs w:val="24"/>
          <w:lang w:eastAsia="fr-BE"/>
          <w14:ligatures w14:val="standardContextual"/>
        </w:rPr>
      </w:pPr>
      <w:hyperlink w:anchor="_Toc233626425" w:history="1">
        <w:r w:rsidRPr="0027322A">
          <w:rPr>
            <w:rStyle w:val="Lienhypertexte"/>
            <w:noProof/>
          </w:rPr>
          <w:t>040/365-08 Mise à l’eau d’embarcations (but commercial)</w:t>
        </w:r>
        <w:r>
          <w:rPr>
            <w:noProof/>
            <w:webHidden/>
          </w:rPr>
          <w:tab/>
        </w:r>
        <w:r>
          <w:rPr>
            <w:noProof/>
            <w:webHidden/>
          </w:rPr>
          <w:fldChar w:fldCharType="begin"/>
        </w:r>
        <w:r>
          <w:rPr>
            <w:noProof/>
            <w:webHidden/>
          </w:rPr>
          <w:instrText xml:space="preserve"> PAGEREF _Toc233626425 \h </w:instrText>
        </w:r>
        <w:r>
          <w:rPr>
            <w:noProof/>
            <w:webHidden/>
          </w:rPr>
        </w:r>
        <w:r>
          <w:rPr>
            <w:noProof/>
            <w:webHidden/>
          </w:rPr>
          <w:fldChar w:fldCharType="separate"/>
        </w:r>
        <w:r w:rsidR="001E3978">
          <w:rPr>
            <w:noProof/>
            <w:webHidden/>
          </w:rPr>
          <w:t>246</w:t>
        </w:r>
        <w:r>
          <w:rPr>
            <w:noProof/>
            <w:webHidden/>
          </w:rPr>
          <w:fldChar w:fldCharType="end"/>
        </w:r>
      </w:hyperlink>
    </w:p>
    <w:p w14:paraId="4ACEB12C" w14:textId="552A7326" w:rsidR="00266B1F" w:rsidRDefault="00266B1F">
      <w:pPr>
        <w:pStyle w:val="TM3"/>
        <w:tabs>
          <w:tab w:val="left" w:pos="960"/>
          <w:tab w:val="right" w:leader="dot" w:pos="8630"/>
        </w:tabs>
        <w:rPr>
          <w:noProof/>
          <w:kern w:val="2"/>
          <w:sz w:val="24"/>
          <w:szCs w:val="24"/>
          <w:lang w:eastAsia="fr-BE"/>
          <w14:ligatures w14:val="standardContextual"/>
        </w:rPr>
      </w:pPr>
      <w:hyperlink w:anchor="_Toc233626426" w:history="1">
        <w:r w:rsidRPr="0027322A">
          <w:rPr>
            <w:rStyle w:val="Lienhypertexte"/>
            <w:smallCaps/>
            <w:noProof/>
          </w:rPr>
          <w:t>F.</w:t>
        </w:r>
        <w:r>
          <w:rPr>
            <w:noProof/>
            <w:kern w:val="2"/>
            <w:sz w:val="24"/>
            <w:szCs w:val="24"/>
            <w:lang w:eastAsia="fr-BE"/>
            <w14:ligatures w14:val="standardContextual"/>
          </w:rPr>
          <w:tab/>
        </w:r>
        <w:r w:rsidRPr="0027322A">
          <w:rPr>
            <w:rStyle w:val="Lienhypertexte"/>
            <w:noProof/>
          </w:rPr>
          <w:t>040/366 Occupation du domaine public</w:t>
        </w:r>
        <w:r>
          <w:rPr>
            <w:noProof/>
            <w:webHidden/>
          </w:rPr>
          <w:tab/>
        </w:r>
        <w:r>
          <w:rPr>
            <w:noProof/>
            <w:webHidden/>
          </w:rPr>
          <w:fldChar w:fldCharType="begin"/>
        </w:r>
        <w:r>
          <w:rPr>
            <w:noProof/>
            <w:webHidden/>
          </w:rPr>
          <w:instrText xml:space="preserve"> PAGEREF _Toc233626426 \h </w:instrText>
        </w:r>
        <w:r>
          <w:rPr>
            <w:noProof/>
            <w:webHidden/>
          </w:rPr>
        </w:r>
        <w:r>
          <w:rPr>
            <w:noProof/>
            <w:webHidden/>
          </w:rPr>
          <w:fldChar w:fldCharType="separate"/>
        </w:r>
        <w:r w:rsidR="001E3978">
          <w:rPr>
            <w:noProof/>
            <w:webHidden/>
          </w:rPr>
          <w:t>246</w:t>
        </w:r>
        <w:r>
          <w:rPr>
            <w:noProof/>
            <w:webHidden/>
          </w:rPr>
          <w:fldChar w:fldCharType="end"/>
        </w:r>
      </w:hyperlink>
    </w:p>
    <w:p w14:paraId="766FC0C5" w14:textId="333DFB6F" w:rsidR="00266B1F" w:rsidRDefault="00266B1F">
      <w:pPr>
        <w:pStyle w:val="TM3"/>
        <w:tabs>
          <w:tab w:val="right" w:leader="dot" w:pos="8630"/>
        </w:tabs>
        <w:rPr>
          <w:noProof/>
          <w:kern w:val="2"/>
          <w:sz w:val="24"/>
          <w:szCs w:val="24"/>
          <w:lang w:eastAsia="fr-BE"/>
          <w14:ligatures w14:val="standardContextual"/>
        </w:rPr>
      </w:pPr>
      <w:hyperlink w:anchor="_Toc233626427" w:history="1">
        <w:r w:rsidRPr="0027322A">
          <w:rPr>
            <w:rStyle w:val="Lienhypertexte"/>
            <w:noProof/>
          </w:rPr>
          <w:t>040/366-01 Droits d’emplacement sur les marchés</w:t>
        </w:r>
        <w:r>
          <w:rPr>
            <w:noProof/>
            <w:webHidden/>
          </w:rPr>
          <w:tab/>
        </w:r>
        <w:r>
          <w:rPr>
            <w:noProof/>
            <w:webHidden/>
          </w:rPr>
          <w:fldChar w:fldCharType="begin"/>
        </w:r>
        <w:r>
          <w:rPr>
            <w:noProof/>
            <w:webHidden/>
          </w:rPr>
          <w:instrText xml:space="preserve"> PAGEREF _Toc233626427 \h </w:instrText>
        </w:r>
        <w:r>
          <w:rPr>
            <w:noProof/>
            <w:webHidden/>
          </w:rPr>
        </w:r>
        <w:r>
          <w:rPr>
            <w:noProof/>
            <w:webHidden/>
          </w:rPr>
          <w:fldChar w:fldCharType="separate"/>
        </w:r>
        <w:r w:rsidR="001E3978">
          <w:rPr>
            <w:noProof/>
            <w:webHidden/>
          </w:rPr>
          <w:t>246</w:t>
        </w:r>
        <w:r>
          <w:rPr>
            <w:noProof/>
            <w:webHidden/>
          </w:rPr>
          <w:fldChar w:fldCharType="end"/>
        </w:r>
      </w:hyperlink>
    </w:p>
    <w:p w14:paraId="384332F6" w14:textId="1724A7B3" w:rsidR="00266B1F" w:rsidRDefault="00266B1F">
      <w:pPr>
        <w:pStyle w:val="TM3"/>
        <w:tabs>
          <w:tab w:val="right" w:leader="dot" w:pos="8630"/>
        </w:tabs>
        <w:rPr>
          <w:noProof/>
          <w:kern w:val="2"/>
          <w:sz w:val="24"/>
          <w:szCs w:val="24"/>
          <w:lang w:eastAsia="fr-BE"/>
          <w14:ligatures w14:val="standardContextual"/>
        </w:rPr>
      </w:pPr>
      <w:hyperlink w:anchor="_Toc233626428" w:history="1">
        <w:r w:rsidRPr="0027322A">
          <w:rPr>
            <w:rStyle w:val="Lienhypertexte"/>
            <w:noProof/>
          </w:rPr>
          <w:t>040/366-03 Loges foraines/mobiles &amp; logement sur voirie</w:t>
        </w:r>
        <w:r>
          <w:rPr>
            <w:noProof/>
            <w:webHidden/>
          </w:rPr>
          <w:tab/>
        </w:r>
        <w:r>
          <w:rPr>
            <w:noProof/>
            <w:webHidden/>
          </w:rPr>
          <w:fldChar w:fldCharType="begin"/>
        </w:r>
        <w:r>
          <w:rPr>
            <w:noProof/>
            <w:webHidden/>
          </w:rPr>
          <w:instrText xml:space="preserve"> PAGEREF _Toc233626428 \h </w:instrText>
        </w:r>
        <w:r>
          <w:rPr>
            <w:noProof/>
            <w:webHidden/>
          </w:rPr>
        </w:r>
        <w:r>
          <w:rPr>
            <w:noProof/>
            <w:webHidden/>
          </w:rPr>
          <w:fldChar w:fldCharType="separate"/>
        </w:r>
        <w:r w:rsidR="001E3978">
          <w:rPr>
            <w:noProof/>
            <w:webHidden/>
          </w:rPr>
          <w:t>246</w:t>
        </w:r>
        <w:r>
          <w:rPr>
            <w:noProof/>
            <w:webHidden/>
          </w:rPr>
          <w:fldChar w:fldCharType="end"/>
        </w:r>
      </w:hyperlink>
    </w:p>
    <w:p w14:paraId="0506E8B4" w14:textId="2ED8C0D7" w:rsidR="00266B1F" w:rsidRDefault="00266B1F">
      <w:pPr>
        <w:pStyle w:val="TM3"/>
        <w:tabs>
          <w:tab w:val="right" w:leader="dot" w:pos="8630"/>
        </w:tabs>
        <w:rPr>
          <w:noProof/>
          <w:kern w:val="2"/>
          <w:sz w:val="24"/>
          <w:szCs w:val="24"/>
          <w:lang w:eastAsia="fr-BE"/>
          <w14:ligatures w14:val="standardContextual"/>
        </w:rPr>
      </w:pPr>
      <w:hyperlink w:anchor="_Toc233626429" w:history="1">
        <w:r w:rsidRPr="0027322A">
          <w:rPr>
            <w:rStyle w:val="Lienhypertexte"/>
            <w:noProof/>
          </w:rPr>
          <w:t>040/366-05 Droit de quai</w:t>
        </w:r>
        <w:r>
          <w:rPr>
            <w:noProof/>
            <w:webHidden/>
          </w:rPr>
          <w:tab/>
        </w:r>
        <w:r>
          <w:rPr>
            <w:noProof/>
            <w:webHidden/>
          </w:rPr>
          <w:fldChar w:fldCharType="begin"/>
        </w:r>
        <w:r>
          <w:rPr>
            <w:noProof/>
            <w:webHidden/>
          </w:rPr>
          <w:instrText xml:space="preserve"> PAGEREF _Toc233626429 \h </w:instrText>
        </w:r>
        <w:r>
          <w:rPr>
            <w:noProof/>
            <w:webHidden/>
          </w:rPr>
        </w:r>
        <w:r>
          <w:rPr>
            <w:noProof/>
            <w:webHidden/>
          </w:rPr>
          <w:fldChar w:fldCharType="separate"/>
        </w:r>
        <w:r w:rsidR="001E3978">
          <w:rPr>
            <w:noProof/>
            <w:webHidden/>
          </w:rPr>
          <w:t>246</w:t>
        </w:r>
        <w:r>
          <w:rPr>
            <w:noProof/>
            <w:webHidden/>
          </w:rPr>
          <w:fldChar w:fldCharType="end"/>
        </w:r>
      </w:hyperlink>
    </w:p>
    <w:p w14:paraId="7519F2FE" w14:textId="38588A59" w:rsidR="00266B1F" w:rsidRDefault="00266B1F">
      <w:pPr>
        <w:pStyle w:val="TM3"/>
        <w:tabs>
          <w:tab w:val="right" w:leader="dot" w:pos="8630"/>
        </w:tabs>
        <w:rPr>
          <w:noProof/>
          <w:kern w:val="2"/>
          <w:sz w:val="24"/>
          <w:szCs w:val="24"/>
          <w:lang w:eastAsia="fr-BE"/>
          <w14:ligatures w14:val="standardContextual"/>
        </w:rPr>
      </w:pPr>
      <w:hyperlink w:anchor="_Toc233626430" w:history="1">
        <w:r w:rsidRPr="0027322A">
          <w:rPr>
            <w:rStyle w:val="Lienhypertexte"/>
            <w:noProof/>
          </w:rPr>
          <w:t>040/366-06 Terrasses, tables et chaises</w:t>
        </w:r>
        <w:r>
          <w:rPr>
            <w:noProof/>
            <w:webHidden/>
          </w:rPr>
          <w:tab/>
        </w:r>
        <w:r>
          <w:rPr>
            <w:noProof/>
            <w:webHidden/>
          </w:rPr>
          <w:fldChar w:fldCharType="begin"/>
        </w:r>
        <w:r>
          <w:rPr>
            <w:noProof/>
            <w:webHidden/>
          </w:rPr>
          <w:instrText xml:space="preserve"> PAGEREF _Toc233626430 \h </w:instrText>
        </w:r>
        <w:r>
          <w:rPr>
            <w:noProof/>
            <w:webHidden/>
          </w:rPr>
        </w:r>
        <w:r>
          <w:rPr>
            <w:noProof/>
            <w:webHidden/>
          </w:rPr>
          <w:fldChar w:fldCharType="separate"/>
        </w:r>
        <w:r w:rsidR="001E3978">
          <w:rPr>
            <w:noProof/>
            <w:webHidden/>
          </w:rPr>
          <w:t>246</w:t>
        </w:r>
        <w:r>
          <w:rPr>
            <w:noProof/>
            <w:webHidden/>
          </w:rPr>
          <w:fldChar w:fldCharType="end"/>
        </w:r>
      </w:hyperlink>
    </w:p>
    <w:p w14:paraId="7F8BDD8D" w14:textId="64DB9929" w:rsidR="00266B1F" w:rsidRDefault="00266B1F">
      <w:pPr>
        <w:pStyle w:val="TM3"/>
        <w:tabs>
          <w:tab w:val="right" w:leader="dot" w:pos="8630"/>
        </w:tabs>
        <w:rPr>
          <w:noProof/>
          <w:kern w:val="2"/>
          <w:sz w:val="24"/>
          <w:szCs w:val="24"/>
          <w:lang w:eastAsia="fr-BE"/>
          <w14:ligatures w14:val="standardContextual"/>
        </w:rPr>
      </w:pPr>
      <w:hyperlink w:anchor="_Toc233626431" w:history="1">
        <w:r w:rsidRPr="0027322A">
          <w:rPr>
            <w:rStyle w:val="Lienhypertexte"/>
            <w:noProof/>
          </w:rPr>
          <w:t>040/366-07 Parking (voirie publique)</w:t>
        </w:r>
        <w:r>
          <w:rPr>
            <w:noProof/>
            <w:webHidden/>
          </w:rPr>
          <w:tab/>
        </w:r>
        <w:r>
          <w:rPr>
            <w:noProof/>
            <w:webHidden/>
          </w:rPr>
          <w:fldChar w:fldCharType="begin"/>
        </w:r>
        <w:r>
          <w:rPr>
            <w:noProof/>
            <w:webHidden/>
          </w:rPr>
          <w:instrText xml:space="preserve"> PAGEREF _Toc233626431 \h </w:instrText>
        </w:r>
        <w:r>
          <w:rPr>
            <w:noProof/>
            <w:webHidden/>
          </w:rPr>
        </w:r>
        <w:r>
          <w:rPr>
            <w:noProof/>
            <w:webHidden/>
          </w:rPr>
          <w:fldChar w:fldCharType="separate"/>
        </w:r>
        <w:r w:rsidR="001E3978">
          <w:rPr>
            <w:noProof/>
            <w:webHidden/>
          </w:rPr>
          <w:t>246</w:t>
        </w:r>
        <w:r>
          <w:rPr>
            <w:noProof/>
            <w:webHidden/>
          </w:rPr>
          <w:fldChar w:fldCharType="end"/>
        </w:r>
      </w:hyperlink>
    </w:p>
    <w:p w14:paraId="33BF5DFD" w14:textId="3AF25BA8" w:rsidR="00266B1F" w:rsidRDefault="00266B1F">
      <w:pPr>
        <w:pStyle w:val="TM3"/>
        <w:tabs>
          <w:tab w:val="right" w:leader="dot" w:pos="8630"/>
        </w:tabs>
        <w:rPr>
          <w:noProof/>
          <w:kern w:val="2"/>
          <w:sz w:val="24"/>
          <w:szCs w:val="24"/>
          <w:lang w:eastAsia="fr-BE"/>
          <w14:ligatures w14:val="standardContextual"/>
        </w:rPr>
      </w:pPr>
      <w:hyperlink w:anchor="_Toc233626432" w:history="1">
        <w:r w:rsidRPr="0027322A">
          <w:rPr>
            <w:rStyle w:val="Lienhypertexte"/>
            <w:noProof/>
          </w:rPr>
          <w:t>040/366-08 Stationnement taxis/voitures de louage</w:t>
        </w:r>
        <w:r>
          <w:rPr>
            <w:noProof/>
            <w:webHidden/>
          </w:rPr>
          <w:tab/>
        </w:r>
        <w:r>
          <w:rPr>
            <w:noProof/>
            <w:webHidden/>
          </w:rPr>
          <w:fldChar w:fldCharType="begin"/>
        </w:r>
        <w:r>
          <w:rPr>
            <w:noProof/>
            <w:webHidden/>
          </w:rPr>
          <w:instrText xml:space="preserve"> PAGEREF _Toc233626432 \h </w:instrText>
        </w:r>
        <w:r>
          <w:rPr>
            <w:noProof/>
            <w:webHidden/>
          </w:rPr>
        </w:r>
        <w:r>
          <w:rPr>
            <w:noProof/>
            <w:webHidden/>
          </w:rPr>
          <w:fldChar w:fldCharType="separate"/>
        </w:r>
        <w:r w:rsidR="001E3978">
          <w:rPr>
            <w:noProof/>
            <w:webHidden/>
          </w:rPr>
          <w:t>247</w:t>
        </w:r>
        <w:r>
          <w:rPr>
            <w:noProof/>
            <w:webHidden/>
          </w:rPr>
          <w:fldChar w:fldCharType="end"/>
        </w:r>
      </w:hyperlink>
    </w:p>
    <w:p w14:paraId="4F857ED0" w14:textId="38D08CDF" w:rsidR="00266B1F" w:rsidRDefault="00266B1F">
      <w:pPr>
        <w:pStyle w:val="TM3"/>
        <w:tabs>
          <w:tab w:val="right" w:leader="dot" w:pos="8630"/>
        </w:tabs>
        <w:rPr>
          <w:noProof/>
          <w:kern w:val="2"/>
          <w:sz w:val="24"/>
          <w:szCs w:val="24"/>
          <w:lang w:eastAsia="fr-BE"/>
          <w14:ligatures w14:val="standardContextual"/>
        </w:rPr>
      </w:pPr>
      <w:hyperlink w:anchor="_Toc233626433" w:history="1">
        <w:r w:rsidRPr="0027322A">
          <w:rPr>
            <w:rStyle w:val="Lienhypertexte"/>
            <w:noProof/>
          </w:rPr>
          <w:t>040/366-09 Commerces de frites/kiosques à journaux sur la voie publique</w:t>
        </w:r>
        <w:r>
          <w:rPr>
            <w:noProof/>
            <w:webHidden/>
          </w:rPr>
          <w:tab/>
        </w:r>
        <w:r>
          <w:rPr>
            <w:noProof/>
            <w:webHidden/>
          </w:rPr>
          <w:fldChar w:fldCharType="begin"/>
        </w:r>
        <w:r>
          <w:rPr>
            <w:noProof/>
            <w:webHidden/>
          </w:rPr>
          <w:instrText xml:space="preserve"> PAGEREF _Toc233626433 \h </w:instrText>
        </w:r>
        <w:r>
          <w:rPr>
            <w:noProof/>
            <w:webHidden/>
          </w:rPr>
        </w:r>
        <w:r>
          <w:rPr>
            <w:noProof/>
            <w:webHidden/>
          </w:rPr>
          <w:fldChar w:fldCharType="separate"/>
        </w:r>
        <w:r w:rsidR="001E3978">
          <w:rPr>
            <w:noProof/>
            <w:webHidden/>
          </w:rPr>
          <w:t>247</w:t>
        </w:r>
        <w:r>
          <w:rPr>
            <w:noProof/>
            <w:webHidden/>
          </w:rPr>
          <w:fldChar w:fldCharType="end"/>
        </w:r>
      </w:hyperlink>
    </w:p>
    <w:p w14:paraId="4F5ECB7A" w14:textId="60509B50" w:rsidR="00266B1F" w:rsidRDefault="00266B1F">
      <w:pPr>
        <w:pStyle w:val="TM3"/>
        <w:tabs>
          <w:tab w:val="left" w:pos="960"/>
          <w:tab w:val="right" w:leader="dot" w:pos="8630"/>
        </w:tabs>
        <w:rPr>
          <w:noProof/>
          <w:kern w:val="2"/>
          <w:sz w:val="24"/>
          <w:szCs w:val="24"/>
          <w:lang w:eastAsia="fr-BE"/>
          <w14:ligatures w14:val="standardContextual"/>
        </w:rPr>
      </w:pPr>
      <w:hyperlink w:anchor="_Toc233626434" w:history="1">
        <w:r w:rsidRPr="0027322A">
          <w:rPr>
            <w:rStyle w:val="Lienhypertexte"/>
            <w:smallCaps/>
            <w:noProof/>
          </w:rPr>
          <w:t>G.</w:t>
        </w:r>
        <w:r>
          <w:rPr>
            <w:noProof/>
            <w:kern w:val="2"/>
            <w:sz w:val="24"/>
            <w:szCs w:val="24"/>
            <w:lang w:eastAsia="fr-BE"/>
            <w14:ligatures w14:val="standardContextual"/>
          </w:rPr>
          <w:tab/>
        </w:r>
        <w:r w:rsidRPr="0027322A">
          <w:rPr>
            <w:rStyle w:val="Lienhypertexte"/>
            <w:noProof/>
          </w:rPr>
          <w:t>040/367 Taxes sur le patrimoine</w:t>
        </w:r>
        <w:r>
          <w:rPr>
            <w:noProof/>
            <w:webHidden/>
          </w:rPr>
          <w:tab/>
        </w:r>
        <w:r>
          <w:rPr>
            <w:noProof/>
            <w:webHidden/>
          </w:rPr>
          <w:fldChar w:fldCharType="begin"/>
        </w:r>
        <w:r>
          <w:rPr>
            <w:noProof/>
            <w:webHidden/>
          </w:rPr>
          <w:instrText xml:space="preserve"> PAGEREF _Toc233626434 \h </w:instrText>
        </w:r>
        <w:r>
          <w:rPr>
            <w:noProof/>
            <w:webHidden/>
          </w:rPr>
        </w:r>
        <w:r>
          <w:rPr>
            <w:noProof/>
            <w:webHidden/>
          </w:rPr>
          <w:fldChar w:fldCharType="separate"/>
        </w:r>
        <w:r w:rsidR="001E3978">
          <w:rPr>
            <w:noProof/>
            <w:webHidden/>
          </w:rPr>
          <w:t>247</w:t>
        </w:r>
        <w:r>
          <w:rPr>
            <w:noProof/>
            <w:webHidden/>
          </w:rPr>
          <w:fldChar w:fldCharType="end"/>
        </w:r>
      </w:hyperlink>
    </w:p>
    <w:p w14:paraId="02B0DFF7" w14:textId="6DB6F24A" w:rsidR="00266B1F" w:rsidRDefault="00266B1F">
      <w:pPr>
        <w:pStyle w:val="TM3"/>
        <w:tabs>
          <w:tab w:val="right" w:leader="dot" w:pos="8630"/>
        </w:tabs>
        <w:rPr>
          <w:noProof/>
          <w:kern w:val="2"/>
          <w:sz w:val="24"/>
          <w:szCs w:val="24"/>
          <w:lang w:eastAsia="fr-BE"/>
          <w14:ligatures w14:val="standardContextual"/>
        </w:rPr>
      </w:pPr>
      <w:hyperlink w:anchor="_Toc233626435" w:history="1">
        <w:r w:rsidRPr="0027322A">
          <w:rPr>
            <w:rStyle w:val="Lienhypertexte"/>
            <w:noProof/>
          </w:rPr>
          <w:t>04001/367-09 : Parcelles non bâties dans le périmètre d’urbanisation non périmé</w:t>
        </w:r>
        <w:r>
          <w:rPr>
            <w:noProof/>
            <w:webHidden/>
          </w:rPr>
          <w:tab/>
        </w:r>
        <w:r>
          <w:rPr>
            <w:noProof/>
            <w:webHidden/>
          </w:rPr>
          <w:fldChar w:fldCharType="begin"/>
        </w:r>
        <w:r>
          <w:rPr>
            <w:noProof/>
            <w:webHidden/>
          </w:rPr>
          <w:instrText xml:space="preserve"> PAGEREF _Toc233626435 \h </w:instrText>
        </w:r>
        <w:r>
          <w:rPr>
            <w:noProof/>
            <w:webHidden/>
          </w:rPr>
        </w:r>
        <w:r>
          <w:rPr>
            <w:noProof/>
            <w:webHidden/>
          </w:rPr>
          <w:fldChar w:fldCharType="separate"/>
        </w:r>
        <w:r w:rsidR="001E3978">
          <w:rPr>
            <w:noProof/>
            <w:webHidden/>
          </w:rPr>
          <w:t>247</w:t>
        </w:r>
        <w:r>
          <w:rPr>
            <w:noProof/>
            <w:webHidden/>
          </w:rPr>
          <w:fldChar w:fldCharType="end"/>
        </w:r>
      </w:hyperlink>
    </w:p>
    <w:p w14:paraId="568CB5A2" w14:textId="46D699C7" w:rsidR="00266B1F" w:rsidRDefault="00266B1F">
      <w:pPr>
        <w:pStyle w:val="TM3"/>
        <w:tabs>
          <w:tab w:val="right" w:leader="dot" w:pos="8630"/>
        </w:tabs>
        <w:rPr>
          <w:noProof/>
          <w:kern w:val="2"/>
          <w:sz w:val="24"/>
          <w:szCs w:val="24"/>
          <w:lang w:eastAsia="fr-BE"/>
          <w14:ligatures w14:val="standardContextual"/>
        </w:rPr>
      </w:pPr>
      <w:hyperlink w:anchor="_Toc233626436" w:history="1">
        <w:r w:rsidRPr="0027322A">
          <w:rPr>
            <w:rStyle w:val="Lienhypertexte"/>
            <w:noProof/>
          </w:rPr>
          <w:t>04002/367-09 : Parcelles non bâties en bordure d’une voie publique suffisamment équipée</w:t>
        </w:r>
        <w:r>
          <w:rPr>
            <w:noProof/>
            <w:webHidden/>
          </w:rPr>
          <w:tab/>
        </w:r>
        <w:r>
          <w:rPr>
            <w:noProof/>
            <w:webHidden/>
          </w:rPr>
          <w:fldChar w:fldCharType="begin"/>
        </w:r>
        <w:r>
          <w:rPr>
            <w:noProof/>
            <w:webHidden/>
          </w:rPr>
          <w:instrText xml:space="preserve"> PAGEREF _Toc233626436 \h </w:instrText>
        </w:r>
        <w:r>
          <w:rPr>
            <w:noProof/>
            <w:webHidden/>
          </w:rPr>
        </w:r>
        <w:r>
          <w:rPr>
            <w:noProof/>
            <w:webHidden/>
          </w:rPr>
          <w:fldChar w:fldCharType="separate"/>
        </w:r>
        <w:r w:rsidR="001E3978">
          <w:rPr>
            <w:noProof/>
            <w:webHidden/>
          </w:rPr>
          <w:t>247</w:t>
        </w:r>
        <w:r>
          <w:rPr>
            <w:noProof/>
            <w:webHidden/>
          </w:rPr>
          <w:fldChar w:fldCharType="end"/>
        </w:r>
      </w:hyperlink>
    </w:p>
    <w:p w14:paraId="6F20FCD0" w14:textId="0345AA43" w:rsidR="00266B1F" w:rsidRDefault="00266B1F">
      <w:pPr>
        <w:pStyle w:val="TM3"/>
        <w:tabs>
          <w:tab w:val="right" w:leader="dot" w:pos="8630"/>
        </w:tabs>
        <w:rPr>
          <w:noProof/>
          <w:kern w:val="2"/>
          <w:sz w:val="24"/>
          <w:szCs w:val="24"/>
          <w:lang w:eastAsia="fr-BE"/>
          <w14:ligatures w14:val="standardContextual"/>
        </w:rPr>
      </w:pPr>
      <w:hyperlink w:anchor="_Toc233626437" w:history="1">
        <w:r w:rsidRPr="0027322A">
          <w:rPr>
            <w:rStyle w:val="Lienhypertexte"/>
            <w:noProof/>
          </w:rPr>
          <w:t>04003/367-09 : Terrains non bâtis dans les centralités</w:t>
        </w:r>
        <w:r>
          <w:rPr>
            <w:noProof/>
            <w:webHidden/>
          </w:rPr>
          <w:tab/>
        </w:r>
        <w:r>
          <w:rPr>
            <w:noProof/>
            <w:webHidden/>
          </w:rPr>
          <w:fldChar w:fldCharType="begin"/>
        </w:r>
        <w:r>
          <w:rPr>
            <w:noProof/>
            <w:webHidden/>
          </w:rPr>
          <w:instrText xml:space="preserve"> PAGEREF _Toc233626437 \h </w:instrText>
        </w:r>
        <w:r>
          <w:rPr>
            <w:noProof/>
            <w:webHidden/>
          </w:rPr>
        </w:r>
        <w:r>
          <w:rPr>
            <w:noProof/>
            <w:webHidden/>
          </w:rPr>
          <w:fldChar w:fldCharType="separate"/>
        </w:r>
        <w:r w:rsidR="001E3978">
          <w:rPr>
            <w:noProof/>
            <w:webHidden/>
          </w:rPr>
          <w:t>247</w:t>
        </w:r>
        <w:r>
          <w:rPr>
            <w:noProof/>
            <w:webHidden/>
          </w:rPr>
          <w:fldChar w:fldCharType="end"/>
        </w:r>
      </w:hyperlink>
    </w:p>
    <w:p w14:paraId="5F8FBD28" w14:textId="26D13C33" w:rsidR="00266B1F" w:rsidRDefault="00266B1F">
      <w:pPr>
        <w:pStyle w:val="TM3"/>
        <w:tabs>
          <w:tab w:val="right" w:leader="dot" w:pos="8630"/>
        </w:tabs>
        <w:rPr>
          <w:noProof/>
          <w:kern w:val="2"/>
          <w:sz w:val="24"/>
          <w:szCs w:val="24"/>
          <w:lang w:eastAsia="fr-BE"/>
          <w14:ligatures w14:val="standardContextual"/>
        </w:rPr>
      </w:pPr>
      <w:hyperlink w:anchor="_Toc233626438" w:history="1">
        <w:r w:rsidRPr="0027322A">
          <w:rPr>
            <w:rStyle w:val="Lienhypertexte"/>
            <w:noProof/>
          </w:rPr>
          <w:t>040/367-11 : Absence d’emplacement de parcage</w:t>
        </w:r>
        <w:r>
          <w:rPr>
            <w:noProof/>
            <w:webHidden/>
          </w:rPr>
          <w:tab/>
        </w:r>
        <w:r>
          <w:rPr>
            <w:noProof/>
            <w:webHidden/>
          </w:rPr>
          <w:fldChar w:fldCharType="begin"/>
        </w:r>
        <w:r>
          <w:rPr>
            <w:noProof/>
            <w:webHidden/>
          </w:rPr>
          <w:instrText xml:space="preserve"> PAGEREF _Toc233626438 \h </w:instrText>
        </w:r>
        <w:r>
          <w:rPr>
            <w:noProof/>
            <w:webHidden/>
          </w:rPr>
        </w:r>
        <w:r>
          <w:rPr>
            <w:noProof/>
            <w:webHidden/>
          </w:rPr>
          <w:fldChar w:fldCharType="separate"/>
        </w:r>
        <w:r w:rsidR="001E3978">
          <w:rPr>
            <w:noProof/>
            <w:webHidden/>
          </w:rPr>
          <w:t>247</w:t>
        </w:r>
        <w:r>
          <w:rPr>
            <w:noProof/>
            <w:webHidden/>
          </w:rPr>
          <w:fldChar w:fldCharType="end"/>
        </w:r>
      </w:hyperlink>
    </w:p>
    <w:p w14:paraId="2858A2A4" w14:textId="311D291E" w:rsidR="00266B1F" w:rsidRDefault="00266B1F">
      <w:pPr>
        <w:pStyle w:val="TM3"/>
        <w:tabs>
          <w:tab w:val="right" w:leader="dot" w:pos="8630"/>
        </w:tabs>
        <w:rPr>
          <w:noProof/>
          <w:kern w:val="2"/>
          <w:sz w:val="24"/>
          <w:szCs w:val="24"/>
          <w:lang w:eastAsia="fr-BE"/>
          <w14:ligatures w14:val="standardContextual"/>
        </w:rPr>
      </w:pPr>
      <w:hyperlink w:anchor="_Toc233626439" w:history="1">
        <w:r w:rsidRPr="0027322A">
          <w:rPr>
            <w:rStyle w:val="Lienhypertexte"/>
            <w:noProof/>
          </w:rPr>
          <w:t>040/367-13 : Secondes résidences</w:t>
        </w:r>
        <w:r>
          <w:rPr>
            <w:noProof/>
            <w:webHidden/>
          </w:rPr>
          <w:tab/>
        </w:r>
        <w:r>
          <w:rPr>
            <w:noProof/>
            <w:webHidden/>
          </w:rPr>
          <w:fldChar w:fldCharType="begin"/>
        </w:r>
        <w:r>
          <w:rPr>
            <w:noProof/>
            <w:webHidden/>
          </w:rPr>
          <w:instrText xml:space="preserve"> PAGEREF _Toc233626439 \h </w:instrText>
        </w:r>
        <w:r>
          <w:rPr>
            <w:noProof/>
            <w:webHidden/>
          </w:rPr>
        </w:r>
        <w:r>
          <w:rPr>
            <w:noProof/>
            <w:webHidden/>
          </w:rPr>
          <w:fldChar w:fldCharType="separate"/>
        </w:r>
        <w:r w:rsidR="001E3978">
          <w:rPr>
            <w:noProof/>
            <w:webHidden/>
          </w:rPr>
          <w:t>248</w:t>
        </w:r>
        <w:r>
          <w:rPr>
            <w:noProof/>
            <w:webHidden/>
          </w:rPr>
          <w:fldChar w:fldCharType="end"/>
        </w:r>
      </w:hyperlink>
    </w:p>
    <w:p w14:paraId="6B6431C3" w14:textId="31994E5E" w:rsidR="00266B1F" w:rsidRDefault="00266B1F">
      <w:pPr>
        <w:pStyle w:val="TM3"/>
        <w:tabs>
          <w:tab w:val="right" w:leader="dot" w:pos="8630"/>
        </w:tabs>
        <w:rPr>
          <w:noProof/>
          <w:kern w:val="2"/>
          <w:sz w:val="24"/>
          <w:szCs w:val="24"/>
          <w:lang w:eastAsia="fr-BE"/>
          <w14:ligatures w14:val="standardContextual"/>
        </w:rPr>
      </w:pPr>
      <w:hyperlink w:anchor="_Toc233626440" w:history="1">
        <w:r w:rsidRPr="0027322A">
          <w:rPr>
            <w:rStyle w:val="Lienhypertexte"/>
            <w:noProof/>
          </w:rPr>
          <w:t>040/367-15 : Immeubles inoccupés et/ou délabrés</w:t>
        </w:r>
        <w:r>
          <w:rPr>
            <w:noProof/>
            <w:webHidden/>
          </w:rPr>
          <w:tab/>
        </w:r>
        <w:r>
          <w:rPr>
            <w:noProof/>
            <w:webHidden/>
          </w:rPr>
          <w:fldChar w:fldCharType="begin"/>
        </w:r>
        <w:r>
          <w:rPr>
            <w:noProof/>
            <w:webHidden/>
          </w:rPr>
          <w:instrText xml:space="preserve"> PAGEREF _Toc233626440 \h </w:instrText>
        </w:r>
        <w:r>
          <w:rPr>
            <w:noProof/>
            <w:webHidden/>
          </w:rPr>
        </w:r>
        <w:r>
          <w:rPr>
            <w:noProof/>
            <w:webHidden/>
          </w:rPr>
          <w:fldChar w:fldCharType="separate"/>
        </w:r>
        <w:r w:rsidR="001E3978">
          <w:rPr>
            <w:noProof/>
            <w:webHidden/>
          </w:rPr>
          <w:t>248</w:t>
        </w:r>
        <w:r>
          <w:rPr>
            <w:noProof/>
            <w:webHidden/>
          </w:rPr>
          <w:fldChar w:fldCharType="end"/>
        </w:r>
      </w:hyperlink>
    </w:p>
    <w:p w14:paraId="7DD5EAEA" w14:textId="448996AB" w:rsidR="00266B1F" w:rsidRDefault="00266B1F">
      <w:pPr>
        <w:pStyle w:val="TM3"/>
        <w:tabs>
          <w:tab w:val="right" w:leader="dot" w:pos="8630"/>
        </w:tabs>
        <w:rPr>
          <w:noProof/>
          <w:kern w:val="2"/>
          <w:sz w:val="24"/>
          <w:szCs w:val="24"/>
          <w:lang w:eastAsia="fr-BE"/>
          <w14:ligatures w14:val="standardContextual"/>
        </w:rPr>
      </w:pPr>
      <w:hyperlink w:anchor="_Toc233626441" w:history="1">
        <w:r w:rsidRPr="0027322A">
          <w:rPr>
            <w:rStyle w:val="Lienhypertexte"/>
            <w:noProof/>
          </w:rPr>
          <w:t>040/367-18 : Piscines privées</w:t>
        </w:r>
        <w:r>
          <w:rPr>
            <w:noProof/>
            <w:webHidden/>
          </w:rPr>
          <w:tab/>
        </w:r>
        <w:r>
          <w:rPr>
            <w:noProof/>
            <w:webHidden/>
          </w:rPr>
          <w:fldChar w:fldCharType="begin"/>
        </w:r>
        <w:r>
          <w:rPr>
            <w:noProof/>
            <w:webHidden/>
          </w:rPr>
          <w:instrText xml:space="preserve"> PAGEREF _Toc233626441 \h </w:instrText>
        </w:r>
        <w:r>
          <w:rPr>
            <w:noProof/>
            <w:webHidden/>
          </w:rPr>
        </w:r>
        <w:r>
          <w:rPr>
            <w:noProof/>
            <w:webHidden/>
          </w:rPr>
          <w:fldChar w:fldCharType="separate"/>
        </w:r>
        <w:r w:rsidR="001E3978">
          <w:rPr>
            <w:noProof/>
            <w:webHidden/>
          </w:rPr>
          <w:t>249</w:t>
        </w:r>
        <w:r>
          <w:rPr>
            <w:noProof/>
            <w:webHidden/>
          </w:rPr>
          <w:fldChar w:fldCharType="end"/>
        </w:r>
      </w:hyperlink>
    </w:p>
    <w:p w14:paraId="12A21490" w14:textId="7E02D1B9" w:rsidR="00266B1F" w:rsidRDefault="00266B1F">
      <w:pPr>
        <w:pStyle w:val="TM3"/>
        <w:tabs>
          <w:tab w:val="right" w:leader="dot" w:pos="8630"/>
        </w:tabs>
        <w:rPr>
          <w:noProof/>
          <w:kern w:val="2"/>
          <w:sz w:val="24"/>
          <w:szCs w:val="24"/>
          <w:lang w:eastAsia="fr-BE"/>
          <w14:ligatures w14:val="standardContextual"/>
        </w:rPr>
      </w:pPr>
      <w:hyperlink w:anchor="_Toc233626442" w:history="1">
        <w:r w:rsidRPr="0027322A">
          <w:rPr>
            <w:rStyle w:val="Lienhypertexte"/>
            <w:noProof/>
          </w:rPr>
          <w:t>040/367-19 : Surfaces de bureau et locaux de professions libérales</w:t>
        </w:r>
        <w:r>
          <w:rPr>
            <w:noProof/>
            <w:webHidden/>
          </w:rPr>
          <w:tab/>
        </w:r>
        <w:r>
          <w:rPr>
            <w:noProof/>
            <w:webHidden/>
          </w:rPr>
          <w:fldChar w:fldCharType="begin"/>
        </w:r>
        <w:r>
          <w:rPr>
            <w:noProof/>
            <w:webHidden/>
          </w:rPr>
          <w:instrText xml:space="preserve"> PAGEREF _Toc233626442 \h </w:instrText>
        </w:r>
        <w:r>
          <w:rPr>
            <w:noProof/>
            <w:webHidden/>
          </w:rPr>
        </w:r>
        <w:r>
          <w:rPr>
            <w:noProof/>
            <w:webHidden/>
          </w:rPr>
          <w:fldChar w:fldCharType="separate"/>
        </w:r>
        <w:r w:rsidR="001E3978">
          <w:rPr>
            <w:noProof/>
            <w:webHidden/>
          </w:rPr>
          <w:t>249</w:t>
        </w:r>
        <w:r>
          <w:rPr>
            <w:noProof/>
            <w:webHidden/>
          </w:rPr>
          <w:fldChar w:fldCharType="end"/>
        </w:r>
      </w:hyperlink>
    </w:p>
    <w:p w14:paraId="6EFB8E09" w14:textId="76B5E957" w:rsidR="00266B1F" w:rsidRDefault="00266B1F">
      <w:pPr>
        <w:pStyle w:val="TM3"/>
        <w:tabs>
          <w:tab w:val="right" w:leader="dot" w:pos="8630"/>
        </w:tabs>
        <w:rPr>
          <w:noProof/>
          <w:kern w:val="2"/>
          <w:sz w:val="24"/>
          <w:szCs w:val="24"/>
          <w:lang w:eastAsia="fr-BE"/>
          <w14:ligatures w14:val="standardContextual"/>
        </w:rPr>
      </w:pPr>
      <w:hyperlink w:anchor="_Toc233626443" w:history="1">
        <w:r w:rsidRPr="0027322A">
          <w:rPr>
            <w:rStyle w:val="Lienhypertexte"/>
            <w:noProof/>
          </w:rPr>
          <w:t>040/367-20 : Surfaces commerciales</w:t>
        </w:r>
        <w:r>
          <w:rPr>
            <w:noProof/>
            <w:webHidden/>
          </w:rPr>
          <w:tab/>
        </w:r>
        <w:r>
          <w:rPr>
            <w:noProof/>
            <w:webHidden/>
          </w:rPr>
          <w:fldChar w:fldCharType="begin"/>
        </w:r>
        <w:r>
          <w:rPr>
            <w:noProof/>
            <w:webHidden/>
          </w:rPr>
          <w:instrText xml:space="preserve"> PAGEREF _Toc233626443 \h </w:instrText>
        </w:r>
        <w:r>
          <w:rPr>
            <w:noProof/>
            <w:webHidden/>
          </w:rPr>
        </w:r>
        <w:r>
          <w:rPr>
            <w:noProof/>
            <w:webHidden/>
          </w:rPr>
          <w:fldChar w:fldCharType="separate"/>
        </w:r>
        <w:r w:rsidR="001E3978">
          <w:rPr>
            <w:noProof/>
            <w:webHidden/>
          </w:rPr>
          <w:t>249</w:t>
        </w:r>
        <w:r>
          <w:rPr>
            <w:noProof/>
            <w:webHidden/>
          </w:rPr>
          <w:fldChar w:fldCharType="end"/>
        </w:r>
      </w:hyperlink>
    </w:p>
    <w:p w14:paraId="4384D22D" w14:textId="2607589B" w:rsidR="00266B1F" w:rsidRDefault="00266B1F">
      <w:pPr>
        <w:pStyle w:val="TM3"/>
        <w:tabs>
          <w:tab w:val="right" w:leader="dot" w:pos="8630"/>
        </w:tabs>
        <w:rPr>
          <w:noProof/>
          <w:kern w:val="2"/>
          <w:sz w:val="24"/>
          <w:szCs w:val="24"/>
          <w:lang w:eastAsia="fr-BE"/>
          <w14:ligatures w14:val="standardContextual"/>
        </w:rPr>
      </w:pPr>
      <w:hyperlink w:anchor="_Toc233626444" w:history="1">
        <w:r w:rsidRPr="0027322A">
          <w:rPr>
            <w:rStyle w:val="Lienhypertexte"/>
            <w:noProof/>
          </w:rPr>
          <w:t>040/367-48 : Éoliennes destinées à la production industrielle d’électricité</w:t>
        </w:r>
        <w:r>
          <w:rPr>
            <w:noProof/>
            <w:webHidden/>
          </w:rPr>
          <w:tab/>
        </w:r>
        <w:r>
          <w:rPr>
            <w:noProof/>
            <w:webHidden/>
          </w:rPr>
          <w:fldChar w:fldCharType="begin"/>
        </w:r>
        <w:r>
          <w:rPr>
            <w:noProof/>
            <w:webHidden/>
          </w:rPr>
          <w:instrText xml:space="preserve"> PAGEREF _Toc233626444 \h </w:instrText>
        </w:r>
        <w:r>
          <w:rPr>
            <w:noProof/>
            <w:webHidden/>
          </w:rPr>
        </w:r>
        <w:r>
          <w:rPr>
            <w:noProof/>
            <w:webHidden/>
          </w:rPr>
          <w:fldChar w:fldCharType="separate"/>
        </w:r>
        <w:r w:rsidR="001E3978">
          <w:rPr>
            <w:noProof/>
            <w:webHidden/>
          </w:rPr>
          <w:t>249</w:t>
        </w:r>
        <w:r>
          <w:rPr>
            <w:noProof/>
            <w:webHidden/>
          </w:rPr>
          <w:fldChar w:fldCharType="end"/>
        </w:r>
      </w:hyperlink>
    </w:p>
    <w:p w14:paraId="597FD932" w14:textId="3F4F9D18" w:rsidR="00266B1F" w:rsidRDefault="00266B1F">
      <w:pPr>
        <w:pStyle w:val="TM3"/>
        <w:tabs>
          <w:tab w:val="right" w:leader="dot" w:pos="8630"/>
        </w:tabs>
        <w:rPr>
          <w:noProof/>
          <w:kern w:val="2"/>
          <w:sz w:val="24"/>
          <w:szCs w:val="24"/>
          <w:lang w:eastAsia="fr-BE"/>
          <w14:ligatures w14:val="standardContextual"/>
        </w:rPr>
      </w:pPr>
      <w:hyperlink w:anchor="_Toc233626445" w:history="1">
        <w:r w:rsidRPr="0027322A">
          <w:rPr>
            <w:rStyle w:val="Lienhypertexte"/>
            <w:noProof/>
          </w:rPr>
          <w:t>04002/367-48 : Emplacements de parkings gratuits</w:t>
        </w:r>
        <w:r>
          <w:rPr>
            <w:noProof/>
            <w:webHidden/>
          </w:rPr>
          <w:tab/>
        </w:r>
        <w:r>
          <w:rPr>
            <w:noProof/>
            <w:webHidden/>
          </w:rPr>
          <w:fldChar w:fldCharType="begin"/>
        </w:r>
        <w:r>
          <w:rPr>
            <w:noProof/>
            <w:webHidden/>
          </w:rPr>
          <w:instrText xml:space="preserve"> PAGEREF _Toc233626445 \h </w:instrText>
        </w:r>
        <w:r>
          <w:rPr>
            <w:noProof/>
            <w:webHidden/>
          </w:rPr>
        </w:r>
        <w:r>
          <w:rPr>
            <w:noProof/>
            <w:webHidden/>
          </w:rPr>
          <w:fldChar w:fldCharType="separate"/>
        </w:r>
        <w:r w:rsidR="001E3978">
          <w:rPr>
            <w:noProof/>
            <w:webHidden/>
          </w:rPr>
          <w:t>249</w:t>
        </w:r>
        <w:r>
          <w:rPr>
            <w:noProof/>
            <w:webHidden/>
          </w:rPr>
          <w:fldChar w:fldCharType="end"/>
        </w:r>
      </w:hyperlink>
    </w:p>
    <w:p w14:paraId="18BC2CA2" w14:textId="7E1480E9" w:rsidR="00266B1F" w:rsidRDefault="00266B1F">
      <w:pPr>
        <w:pStyle w:val="TM3"/>
        <w:tabs>
          <w:tab w:val="right" w:leader="dot" w:pos="8630"/>
        </w:tabs>
        <w:rPr>
          <w:noProof/>
          <w:kern w:val="2"/>
          <w:sz w:val="24"/>
          <w:szCs w:val="24"/>
          <w:lang w:eastAsia="fr-BE"/>
          <w14:ligatures w14:val="standardContextual"/>
        </w:rPr>
      </w:pPr>
      <w:hyperlink w:anchor="_Toc233626446" w:history="1">
        <w:r w:rsidRPr="0027322A">
          <w:rPr>
            <w:rStyle w:val="Lienhypertexte"/>
            <w:noProof/>
          </w:rPr>
          <w:t>040/368-02 : Chevaux d’agrément, poneys et haras</w:t>
        </w:r>
        <w:r>
          <w:rPr>
            <w:noProof/>
            <w:webHidden/>
          </w:rPr>
          <w:tab/>
        </w:r>
        <w:r>
          <w:rPr>
            <w:noProof/>
            <w:webHidden/>
          </w:rPr>
          <w:fldChar w:fldCharType="begin"/>
        </w:r>
        <w:r>
          <w:rPr>
            <w:noProof/>
            <w:webHidden/>
          </w:rPr>
          <w:instrText xml:space="preserve"> PAGEREF _Toc233626446 \h </w:instrText>
        </w:r>
        <w:r>
          <w:rPr>
            <w:noProof/>
            <w:webHidden/>
          </w:rPr>
        </w:r>
        <w:r>
          <w:rPr>
            <w:noProof/>
            <w:webHidden/>
          </w:rPr>
          <w:fldChar w:fldCharType="separate"/>
        </w:r>
        <w:r w:rsidR="001E3978">
          <w:rPr>
            <w:noProof/>
            <w:webHidden/>
          </w:rPr>
          <w:t>249</w:t>
        </w:r>
        <w:r>
          <w:rPr>
            <w:noProof/>
            <w:webHidden/>
          </w:rPr>
          <w:fldChar w:fldCharType="end"/>
        </w:r>
      </w:hyperlink>
    </w:p>
    <w:p w14:paraId="0608F1B0" w14:textId="3596FEDC" w:rsidR="00266B1F" w:rsidRDefault="00266B1F">
      <w:pPr>
        <w:pStyle w:val="TM3"/>
        <w:tabs>
          <w:tab w:val="right" w:leader="dot" w:pos="8630"/>
        </w:tabs>
        <w:rPr>
          <w:noProof/>
          <w:kern w:val="2"/>
          <w:sz w:val="24"/>
          <w:szCs w:val="24"/>
          <w:lang w:eastAsia="fr-BE"/>
          <w14:ligatures w14:val="standardContextual"/>
        </w:rPr>
      </w:pPr>
      <w:hyperlink w:anchor="_Toc233626447" w:history="1">
        <w:r w:rsidRPr="0027322A">
          <w:rPr>
            <w:rStyle w:val="Lienhypertexte"/>
            <w:noProof/>
          </w:rPr>
          <w:t>040/368-05 : Port d’armes (ristournes provinciales)</w:t>
        </w:r>
        <w:r>
          <w:rPr>
            <w:noProof/>
            <w:webHidden/>
          </w:rPr>
          <w:tab/>
        </w:r>
        <w:r>
          <w:rPr>
            <w:noProof/>
            <w:webHidden/>
          </w:rPr>
          <w:fldChar w:fldCharType="begin"/>
        </w:r>
        <w:r>
          <w:rPr>
            <w:noProof/>
            <w:webHidden/>
          </w:rPr>
          <w:instrText xml:space="preserve"> PAGEREF _Toc233626447 \h </w:instrText>
        </w:r>
        <w:r>
          <w:rPr>
            <w:noProof/>
            <w:webHidden/>
          </w:rPr>
        </w:r>
        <w:r>
          <w:rPr>
            <w:noProof/>
            <w:webHidden/>
          </w:rPr>
          <w:fldChar w:fldCharType="separate"/>
        </w:r>
        <w:r w:rsidR="001E3978">
          <w:rPr>
            <w:noProof/>
            <w:webHidden/>
          </w:rPr>
          <w:t>249</w:t>
        </w:r>
        <w:r>
          <w:rPr>
            <w:noProof/>
            <w:webHidden/>
          </w:rPr>
          <w:fldChar w:fldCharType="end"/>
        </w:r>
      </w:hyperlink>
    </w:p>
    <w:p w14:paraId="202C8E35" w14:textId="56BA6794" w:rsidR="00266B1F" w:rsidRDefault="00266B1F">
      <w:pPr>
        <w:pStyle w:val="TM3"/>
        <w:tabs>
          <w:tab w:val="right" w:leader="dot" w:pos="8630"/>
        </w:tabs>
        <w:rPr>
          <w:noProof/>
          <w:kern w:val="2"/>
          <w:sz w:val="24"/>
          <w:szCs w:val="24"/>
          <w:lang w:eastAsia="fr-BE"/>
          <w14:ligatures w14:val="standardContextual"/>
        </w:rPr>
      </w:pPr>
      <w:hyperlink w:anchor="_Toc233626448" w:history="1">
        <w:r w:rsidRPr="0027322A">
          <w:rPr>
            <w:rStyle w:val="Lienhypertexte"/>
            <w:noProof/>
          </w:rPr>
          <w:t>040/368-08 : Redevance pour enlèvement de véhicule de cyclopartage gênant</w:t>
        </w:r>
        <w:r>
          <w:rPr>
            <w:noProof/>
            <w:webHidden/>
          </w:rPr>
          <w:tab/>
        </w:r>
        <w:r>
          <w:rPr>
            <w:noProof/>
            <w:webHidden/>
          </w:rPr>
          <w:fldChar w:fldCharType="begin"/>
        </w:r>
        <w:r>
          <w:rPr>
            <w:noProof/>
            <w:webHidden/>
          </w:rPr>
          <w:instrText xml:space="preserve"> PAGEREF _Toc233626448 \h </w:instrText>
        </w:r>
        <w:r>
          <w:rPr>
            <w:noProof/>
            <w:webHidden/>
          </w:rPr>
        </w:r>
        <w:r>
          <w:rPr>
            <w:noProof/>
            <w:webHidden/>
          </w:rPr>
          <w:fldChar w:fldCharType="separate"/>
        </w:r>
        <w:r w:rsidR="001E3978">
          <w:rPr>
            <w:noProof/>
            <w:webHidden/>
          </w:rPr>
          <w:t>249</w:t>
        </w:r>
        <w:r>
          <w:rPr>
            <w:noProof/>
            <w:webHidden/>
          </w:rPr>
          <w:fldChar w:fldCharType="end"/>
        </w:r>
      </w:hyperlink>
    </w:p>
    <w:p w14:paraId="6858539B" w14:textId="3D63C6E8" w:rsidR="00266B1F" w:rsidRDefault="00266B1F">
      <w:pPr>
        <w:pStyle w:val="TM3"/>
        <w:tabs>
          <w:tab w:val="right" w:leader="dot" w:pos="8630"/>
        </w:tabs>
        <w:rPr>
          <w:noProof/>
          <w:kern w:val="2"/>
          <w:sz w:val="24"/>
          <w:szCs w:val="24"/>
          <w:lang w:eastAsia="fr-BE"/>
          <w14:ligatures w14:val="standardContextual"/>
        </w:rPr>
      </w:pPr>
      <w:hyperlink w:anchor="_Toc233626449" w:history="1">
        <w:r w:rsidRPr="0027322A">
          <w:rPr>
            <w:rStyle w:val="Lienhypertexte"/>
            <w:noProof/>
          </w:rPr>
          <w:t>040/368-12 : Terrains de tennis privés</w:t>
        </w:r>
        <w:r>
          <w:rPr>
            <w:noProof/>
            <w:webHidden/>
          </w:rPr>
          <w:tab/>
        </w:r>
        <w:r>
          <w:rPr>
            <w:noProof/>
            <w:webHidden/>
          </w:rPr>
          <w:fldChar w:fldCharType="begin"/>
        </w:r>
        <w:r>
          <w:rPr>
            <w:noProof/>
            <w:webHidden/>
          </w:rPr>
          <w:instrText xml:space="preserve"> PAGEREF _Toc233626449 \h </w:instrText>
        </w:r>
        <w:r>
          <w:rPr>
            <w:noProof/>
            <w:webHidden/>
          </w:rPr>
        </w:r>
        <w:r>
          <w:rPr>
            <w:noProof/>
            <w:webHidden/>
          </w:rPr>
          <w:fldChar w:fldCharType="separate"/>
        </w:r>
        <w:r w:rsidR="001E3978">
          <w:rPr>
            <w:noProof/>
            <w:webHidden/>
          </w:rPr>
          <w:t>249</w:t>
        </w:r>
        <w:r>
          <w:rPr>
            <w:noProof/>
            <w:webHidden/>
          </w:rPr>
          <w:fldChar w:fldCharType="end"/>
        </w:r>
      </w:hyperlink>
    </w:p>
    <w:p w14:paraId="1F8C3EAC" w14:textId="22AF9A70" w:rsidR="00266B1F" w:rsidRDefault="00266B1F">
      <w:pPr>
        <w:pStyle w:val="TM3"/>
        <w:tabs>
          <w:tab w:val="right" w:leader="dot" w:pos="8630"/>
        </w:tabs>
        <w:rPr>
          <w:noProof/>
          <w:kern w:val="2"/>
          <w:sz w:val="24"/>
          <w:szCs w:val="24"/>
          <w:lang w:eastAsia="fr-BE"/>
          <w14:ligatures w14:val="standardContextual"/>
        </w:rPr>
      </w:pPr>
      <w:hyperlink w:anchor="_Toc233626450" w:history="1">
        <w:r w:rsidRPr="0027322A">
          <w:rPr>
            <w:rStyle w:val="Lienhypertexte"/>
            <w:noProof/>
          </w:rPr>
          <w:t>040/368-15 : Golfs</w:t>
        </w:r>
        <w:r>
          <w:rPr>
            <w:noProof/>
            <w:webHidden/>
          </w:rPr>
          <w:tab/>
        </w:r>
        <w:r>
          <w:rPr>
            <w:noProof/>
            <w:webHidden/>
          </w:rPr>
          <w:fldChar w:fldCharType="begin"/>
        </w:r>
        <w:r>
          <w:rPr>
            <w:noProof/>
            <w:webHidden/>
          </w:rPr>
          <w:instrText xml:space="preserve"> PAGEREF _Toc233626450 \h </w:instrText>
        </w:r>
        <w:r>
          <w:rPr>
            <w:noProof/>
            <w:webHidden/>
          </w:rPr>
        </w:r>
        <w:r>
          <w:rPr>
            <w:noProof/>
            <w:webHidden/>
          </w:rPr>
          <w:fldChar w:fldCharType="separate"/>
        </w:r>
        <w:r w:rsidR="001E3978">
          <w:rPr>
            <w:noProof/>
            <w:webHidden/>
          </w:rPr>
          <w:t>250</w:t>
        </w:r>
        <w:r>
          <w:rPr>
            <w:noProof/>
            <w:webHidden/>
          </w:rPr>
          <w:fldChar w:fldCharType="end"/>
        </w:r>
      </w:hyperlink>
    </w:p>
    <w:p w14:paraId="624D0C65" w14:textId="1D050473" w:rsidR="00266B1F" w:rsidRDefault="00266B1F">
      <w:pPr>
        <w:pStyle w:val="TM3"/>
        <w:tabs>
          <w:tab w:val="left" w:pos="960"/>
          <w:tab w:val="right" w:leader="dot" w:pos="8630"/>
        </w:tabs>
        <w:rPr>
          <w:noProof/>
          <w:kern w:val="2"/>
          <w:sz w:val="24"/>
          <w:szCs w:val="24"/>
          <w:lang w:eastAsia="fr-BE"/>
          <w14:ligatures w14:val="standardContextual"/>
        </w:rPr>
      </w:pPr>
      <w:hyperlink w:anchor="_Toc233626451" w:history="1">
        <w:r w:rsidRPr="0027322A">
          <w:rPr>
            <w:rStyle w:val="Lienhypertexte"/>
            <w:smallCaps/>
            <w:noProof/>
          </w:rPr>
          <w:t>H.</w:t>
        </w:r>
        <w:r>
          <w:rPr>
            <w:noProof/>
            <w:kern w:val="2"/>
            <w:sz w:val="24"/>
            <w:szCs w:val="24"/>
            <w:lang w:eastAsia="fr-BE"/>
            <w14:ligatures w14:val="standardContextual"/>
          </w:rPr>
          <w:tab/>
        </w:r>
        <w:r w:rsidRPr="0027322A">
          <w:rPr>
            <w:rStyle w:val="Lienhypertexte"/>
            <w:noProof/>
          </w:rPr>
          <w:t>Taxes et redevances spécialement motivées par une situation particulière</w:t>
        </w:r>
        <w:r>
          <w:rPr>
            <w:noProof/>
            <w:webHidden/>
          </w:rPr>
          <w:tab/>
        </w:r>
        <w:r>
          <w:rPr>
            <w:noProof/>
            <w:webHidden/>
          </w:rPr>
          <w:fldChar w:fldCharType="begin"/>
        </w:r>
        <w:r>
          <w:rPr>
            <w:noProof/>
            <w:webHidden/>
          </w:rPr>
          <w:instrText xml:space="preserve"> PAGEREF _Toc233626451 \h </w:instrText>
        </w:r>
        <w:r>
          <w:rPr>
            <w:noProof/>
            <w:webHidden/>
          </w:rPr>
        </w:r>
        <w:r>
          <w:rPr>
            <w:noProof/>
            <w:webHidden/>
          </w:rPr>
          <w:fldChar w:fldCharType="separate"/>
        </w:r>
        <w:r w:rsidR="001E3978">
          <w:rPr>
            <w:noProof/>
            <w:webHidden/>
          </w:rPr>
          <w:t>250</w:t>
        </w:r>
        <w:r>
          <w:rPr>
            <w:noProof/>
            <w:webHidden/>
          </w:rPr>
          <w:fldChar w:fldCharType="end"/>
        </w:r>
      </w:hyperlink>
    </w:p>
    <w:p w14:paraId="40E17C92" w14:textId="5F154921" w:rsidR="00266B1F" w:rsidRDefault="00266B1F">
      <w:pPr>
        <w:pStyle w:val="TM3"/>
        <w:tabs>
          <w:tab w:val="right" w:leader="dot" w:pos="8630"/>
        </w:tabs>
        <w:rPr>
          <w:noProof/>
          <w:kern w:val="2"/>
          <w:sz w:val="24"/>
          <w:szCs w:val="24"/>
          <w:lang w:eastAsia="fr-BE"/>
          <w14:ligatures w14:val="standardContextual"/>
        </w:rPr>
      </w:pPr>
      <w:hyperlink w:anchor="_Toc233626452" w:history="1">
        <w:r w:rsidRPr="0027322A">
          <w:rPr>
            <w:rStyle w:val="Lienhypertexte"/>
            <w:noProof/>
          </w:rPr>
          <w:t>040/371-01 : Précompte immobilier – Centimes additionnels</w:t>
        </w:r>
        <w:r>
          <w:rPr>
            <w:noProof/>
            <w:webHidden/>
          </w:rPr>
          <w:tab/>
        </w:r>
        <w:r>
          <w:rPr>
            <w:noProof/>
            <w:webHidden/>
          </w:rPr>
          <w:fldChar w:fldCharType="begin"/>
        </w:r>
        <w:r>
          <w:rPr>
            <w:noProof/>
            <w:webHidden/>
          </w:rPr>
          <w:instrText xml:space="preserve"> PAGEREF _Toc233626452 \h </w:instrText>
        </w:r>
        <w:r>
          <w:rPr>
            <w:noProof/>
            <w:webHidden/>
          </w:rPr>
        </w:r>
        <w:r>
          <w:rPr>
            <w:noProof/>
            <w:webHidden/>
          </w:rPr>
          <w:fldChar w:fldCharType="separate"/>
        </w:r>
        <w:r w:rsidR="001E3978">
          <w:rPr>
            <w:noProof/>
            <w:webHidden/>
          </w:rPr>
          <w:t>250</w:t>
        </w:r>
        <w:r>
          <w:rPr>
            <w:noProof/>
            <w:webHidden/>
          </w:rPr>
          <w:fldChar w:fldCharType="end"/>
        </w:r>
      </w:hyperlink>
    </w:p>
    <w:p w14:paraId="2574CCE0" w14:textId="6C660F68" w:rsidR="00266B1F" w:rsidRDefault="00266B1F">
      <w:pPr>
        <w:pStyle w:val="TM3"/>
        <w:tabs>
          <w:tab w:val="right" w:leader="dot" w:pos="8630"/>
        </w:tabs>
        <w:rPr>
          <w:noProof/>
          <w:kern w:val="2"/>
          <w:sz w:val="24"/>
          <w:szCs w:val="24"/>
          <w:lang w:eastAsia="fr-BE"/>
          <w14:ligatures w14:val="standardContextual"/>
        </w:rPr>
      </w:pPr>
      <w:hyperlink w:anchor="_Toc233626453" w:history="1">
        <w:r w:rsidRPr="0027322A">
          <w:rPr>
            <w:rStyle w:val="Lienhypertexte"/>
            <w:noProof/>
          </w:rPr>
          <w:t>040/372-01 : Impôt des personnes physiques (additionnels)</w:t>
        </w:r>
        <w:r>
          <w:rPr>
            <w:noProof/>
            <w:webHidden/>
          </w:rPr>
          <w:tab/>
        </w:r>
        <w:r>
          <w:rPr>
            <w:noProof/>
            <w:webHidden/>
          </w:rPr>
          <w:fldChar w:fldCharType="begin"/>
        </w:r>
        <w:r>
          <w:rPr>
            <w:noProof/>
            <w:webHidden/>
          </w:rPr>
          <w:instrText xml:space="preserve"> PAGEREF _Toc233626453 \h </w:instrText>
        </w:r>
        <w:r>
          <w:rPr>
            <w:noProof/>
            <w:webHidden/>
          </w:rPr>
        </w:r>
        <w:r>
          <w:rPr>
            <w:noProof/>
            <w:webHidden/>
          </w:rPr>
          <w:fldChar w:fldCharType="separate"/>
        </w:r>
        <w:r w:rsidR="001E3978">
          <w:rPr>
            <w:noProof/>
            <w:webHidden/>
          </w:rPr>
          <w:t>250</w:t>
        </w:r>
        <w:r>
          <w:rPr>
            <w:noProof/>
            <w:webHidden/>
          </w:rPr>
          <w:fldChar w:fldCharType="end"/>
        </w:r>
      </w:hyperlink>
    </w:p>
    <w:p w14:paraId="0CE46D11" w14:textId="56E7D450" w:rsidR="00266B1F" w:rsidRDefault="00266B1F">
      <w:pPr>
        <w:pStyle w:val="TM3"/>
        <w:tabs>
          <w:tab w:val="right" w:leader="dot" w:pos="8630"/>
        </w:tabs>
        <w:rPr>
          <w:noProof/>
          <w:kern w:val="2"/>
          <w:sz w:val="24"/>
          <w:szCs w:val="24"/>
          <w:lang w:eastAsia="fr-BE"/>
          <w14:ligatures w14:val="standardContextual"/>
        </w:rPr>
      </w:pPr>
      <w:hyperlink w:anchor="_Toc233626454" w:history="1">
        <w:r w:rsidRPr="0027322A">
          <w:rPr>
            <w:rStyle w:val="Lienhypertexte"/>
            <w:noProof/>
          </w:rPr>
          <w:t>040/373-01 : Véhicules automobiles (décime additionnel)</w:t>
        </w:r>
        <w:r>
          <w:rPr>
            <w:noProof/>
            <w:webHidden/>
          </w:rPr>
          <w:tab/>
        </w:r>
        <w:r>
          <w:rPr>
            <w:noProof/>
            <w:webHidden/>
          </w:rPr>
          <w:fldChar w:fldCharType="begin"/>
        </w:r>
        <w:r>
          <w:rPr>
            <w:noProof/>
            <w:webHidden/>
          </w:rPr>
          <w:instrText xml:space="preserve"> PAGEREF _Toc233626454 \h </w:instrText>
        </w:r>
        <w:r>
          <w:rPr>
            <w:noProof/>
            <w:webHidden/>
          </w:rPr>
        </w:r>
        <w:r>
          <w:rPr>
            <w:noProof/>
            <w:webHidden/>
          </w:rPr>
          <w:fldChar w:fldCharType="separate"/>
        </w:r>
        <w:r w:rsidR="001E3978">
          <w:rPr>
            <w:noProof/>
            <w:webHidden/>
          </w:rPr>
          <w:t>250</w:t>
        </w:r>
        <w:r>
          <w:rPr>
            <w:noProof/>
            <w:webHidden/>
          </w:rPr>
          <w:fldChar w:fldCharType="end"/>
        </w:r>
      </w:hyperlink>
    </w:p>
    <w:p w14:paraId="3238E7CA" w14:textId="342EEE52" w:rsidR="00266B1F" w:rsidRDefault="00266B1F">
      <w:pPr>
        <w:pStyle w:val="TM3"/>
        <w:tabs>
          <w:tab w:val="right" w:leader="dot" w:pos="8630"/>
        </w:tabs>
        <w:rPr>
          <w:noProof/>
          <w:kern w:val="2"/>
          <w:sz w:val="24"/>
          <w:szCs w:val="24"/>
          <w:lang w:eastAsia="fr-BE"/>
          <w14:ligatures w14:val="standardContextual"/>
        </w:rPr>
      </w:pPr>
      <w:hyperlink w:anchor="_Toc233626455" w:history="1">
        <w:r w:rsidRPr="0027322A">
          <w:rPr>
            <w:rStyle w:val="Lienhypertexte"/>
            <w:noProof/>
          </w:rPr>
          <w:t>04001/377-01 : Sites d’activité économique désaffectés (additionnels)</w:t>
        </w:r>
        <w:r>
          <w:rPr>
            <w:noProof/>
            <w:webHidden/>
          </w:rPr>
          <w:tab/>
        </w:r>
        <w:r>
          <w:rPr>
            <w:noProof/>
            <w:webHidden/>
          </w:rPr>
          <w:fldChar w:fldCharType="begin"/>
        </w:r>
        <w:r>
          <w:rPr>
            <w:noProof/>
            <w:webHidden/>
          </w:rPr>
          <w:instrText xml:space="preserve"> PAGEREF _Toc233626455 \h </w:instrText>
        </w:r>
        <w:r>
          <w:rPr>
            <w:noProof/>
            <w:webHidden/>
          </w:rPr>
        </w:r>
        <w:r>
          <w:rPr>
            <w:noProof/>
            <w:webHidden/>
          </w:rPr>
          <w:fldChar w:fldCharType="separate"/>
        </w:r>
        <w:r w:rsidR="001E3978">
          <w:rPr>
            <w:noProof/>
            <w:webHidden/>
          </w:rPr>
          <w:t>250</w:t>
        </w:r>
        <w:r>
          <w:rPr>
            <w:noProof/>
            <w:webHidden/>
          </w:rPr>
          <w:fldChar w:fldCharType="end"/>
        </w:r>
      </w:hyperlink>
    </w:p>
    <w:p w14:paraId="4C20F637" w14:textId="5EEDA853" w:rsidR="00266B1F" w:rsidRDefault="00266B1F">
      <w:pPr>
        <w:pStyle w:val="TM1"/>
        <w:rPr>
          <w:b w:val="0"/>
          <w:bCs w:val="0"/>
        </w:rPr>
      </w:pPr>
      <w:hyperlink w:anchor="_Toc233626456" w:history="1">
        <w:r w:rsidRPr="0027322A">
          <w:rPr>
            <w:rStyle w:val="Lienhypertexte"/>
          </w:rPr>
          <w:t>IX.</w:t>
        </w:r>
        <w:r>
          <w:rPr>
            <w:b w:val="0"/>
            <w:bCs w:val="0"/>
          </w:rPr>
          <w:tab/>
        </w:r>
        <w:r w:rsidRPr="0027322A">
          <w:rPr>
            <w:rStyle w:val="Lienhypertexte"/>
          </w:rPr>
          <w:t>Conclusion</w:t>
        </w:r>
        <w:r>
          <w:rPr>
            <w:webHidden/>
          </w:rPr>
          <w:tab/>
        </w:r>
        <w:r>
          <w:rPr>
            <w:webHidden/>
          </w:rPr>
          <w:fldChar w:fldCharType="begin"/>
        </w:r>
        <w:r>
          <w:rPr>
            <w:webHidden/>
          </w:rPr>
          <w:instrText xml:space="preserve"> PAGEREF _Toc233626456 \h </w:instrText>
        </w:r>
        <w:r>
          <w:rPr>
            <w:webHidden/>
          </w:rPr>
        </w:r>
        <w:r>
          <w:rPr>
            <w:webHidden/>
          </w:rPr>
          <w:fldChar w:fldCharType="separate"/>
        </w:r>
        <w:r w:rsidR="001E3978">
          <w:rPr>
            <w:webHidden/>
          </w:rPr>
          <w:t>251</w:t>
        </w:r>
        <w:r>
          <w:rPr>
            <w:webHidden/>
          </w:rPr>
          <w:fldChar w:fldCharType="end"/>
        </w:r>
      </w:hyperlink>
    </w:p>
    <w:p w14:paraId="20DADEFC" w14:textId="782D4255" w:rsidR="008D7AAD" w:rsidRPr="005C4637" w:rsidRDefault="00674AF7">
      <w:r>
        <w:rPr>
          <w:noProof/>
          <w:kern w:val="2"/>
          <w:sz w:val="24"/>
          <w:szCs w:val="24"/>
          <w:lang w:eastAsia="fr-BE"/>
          <w14:ligatures w14:val="standardContextual"/>
        </w:rPr>
        <w:fldChar w:fldCharType="end"/>
      </w:r>
    </w:p>
    <w:p w14:paraId="658ABA5C" w14:textId="77777777" w:rsidR="00593284" w:rsidRDefault="00593284" w:rsidP="00FF08A2">
      <w:pPr>
        <w:pStyle w:val="En-ttedetabledesmatires"/>
        <w:numPr>
          <w:ilvl w:val="0"/>
          <w:numId w:val="0"/>
        </w:numPr>
        <w:ind w:left="720"/>
        <w:jc w:val="center"/>
        <w:rPr>
          <w:i/>
          <w:iCs/>
          <w:sz w:val="56"/>
          <w:szCs w:val="52"/>
          <w:u w:val="dotDash"/>
        </w:rPr>
      </w:pPr>
    </w:p>
    <w:p w14:paraId="5072C3CA" w14:textId="77777777" w:rsidR="00593284" w:rsidRDefault="00593284" w:rsidP="00FF08A2">
      <w:pPr>
        <w:pStyle w:val="En-ttedetabledesmatires"/>
        <w:numPr>
          <w:ilvl w:val="0"/>
          <w:numId w:val="0"/>
        </w:numPr>
        <w:ind w:left="720"/>
        <w:jc w:val="center"/>
        <w:rPr>
          <w:i/>
          <w:iCs/>
          <w:sz w:val="56"/>
          <w:szCs w:val="52"/>
          <w:u w:val="dotDash"/>
        </w:rPr>
      </w:pPr>
    </w:p>
    <w:p w14:paraId="6529E343" w14:textId="77777777" w:rsidR="00593284" w:rsidRDefault="00593284" w:rsidP="00FF08A2">
      <w:pPr>
        <w:pStyle w:val="En-ttedetabledesmatires"/>
        <w:numPr>
          <w:ilvl w:val="0"/>
          <w:numId w:val="0"/>
        </w:numPr>
        <w:ind w:left="720"/>
        <w:jc w:val="center"/>
        <w:rPr>
          <w:i/>
          <w:iCs/>
          <w:sz w:val="56"/>
          <w:szCs w:val="52"/>
          <w:u w:val="dotDash"/>
        </w:rPr>
      </w:pPr>
    </w:p>
    <w:p w14:paraId="774A3D49" w14:textId="77777777" w:rsidR="00593284" w:rsidRDefault="00593284" w:rsidP="00FF08A2">
      <w:pPr>
        <w:pStyle w:val="En-ttedetabledesmatires"/>
        <w:numPr>
          <w:ilvl w:val="0"/>
          <w:numId w:val="0"/>
        </w:numPr>
        <w:ind w:left="720"/>
        <w:jc w:val="center"/>
        <w:rPr>
          <w:i/>
          <w:iCs/>
          <w:sz w:val="56"/>
          <w:szCs w:val="52"/>
          <w:u w:val="dotDash"/>
        </w:rPr>
      </w:pPr>
    </w:p>
    <w:p w14:paraId="40793277" w14:textId="77777777" w:rsidR="00593284" w:rsidRDefault="00593284" w:rsidP="00FF08A2">
      <w:pPr>
        <w:pStyle w:val="En-ttedetabledesmatires"/>
        <w:numPr>
          <w:ilvl w:val="0"/>
          <w:numId w:val="0"/>
        </w:numPr>
        <w:ind w:left="720"/>
        <w:jc w:val="center"/>
        <w:rPr>
          <w:i/>
          <w:iCs/>
          <w:sz w:val="56"/>
          <w:szCs w:val="52"/>
          <w:u w:val="dotDash"/>
        </w:rPr>
      </w:pPr>
    </w:p>
    <w:p w14:paraId="7FE77851" w14:textId="77777777" w:rsidR="00593284" w:rsidRDefault="00593284" w:rsidP="00593284"/>
    <w:p w14:paraId="760567E8" w14:textId="77777777" w:rsidR="00A4486D" w:rsidRDefault="00A4486D" w:rsidP="00593284"/>
    <w:p w14:paraId="486C0471" w14:textId="77777777" w:rsidR="00A4486D" w:rsidRPr="00593284" w:rsidRDefault="00A4486D" w:rsidP="00593284"/>
    <w:p w14:paraId="4C4DAC78" w14:textId="70D9656E" w:rsidR="0063045E" w:rsidRPr="005C4637" w:rsidRDefault="008D7AAD" w:rsidP="00FF08A2">
      <w:pPr>
        <w:pStyle w:val="En-ttedetabledesmatires"/>
        <w:numPr>
          <w:ilvl w:val="0"/>
          <w:numId w:val="0"/>
        </w:numPr>
        <w:ind w:left="720"/>
        <w:jc w:val="center"/>
        <w:rPr>
          <w:i/>
          <w:iCs/>
          <w:sz w:val="56"/>
          <w:szCs w:val="52"/>
          <w:u w:val="dotDash"/>
        </w:rPr>
      </w:pPr>
      <w:r w:rsidRPr="005C4637">
        <w:rPr>
          <w:i/>
          <w:iCs/>
          <w:sz w:val="56"/>
          <w:szCs w:val="52"/>
          <w:u w:val="dotDash"/>
        </w:rPr>
        <w:lastRenderedPageBreak/>
        <w:t>Circulaire budgétaire</w:t>
      </w:r>
      <w:r w:rsidR="00FF08A2" w:rsidRPr="005C4637">
        <w:rPr>
          <w:i/>
          <w:iCs/>
          <w:sz w:val="56"/>
          <w:szCs w:val="52"/>
          <w:u w:val="dotDash"/>
        </w:rPr>
        <w:t xml:space="preserve"> </w:t>
      </w:r>
    </w:p>
    <w:p w14:paraId="4DEA1B5C" w14:textId="51B72197" w:rsidR="00310877" w:rsidRPr="00310877" w:rsidRDefault="00DB02D3" w:rsidP="00B34146">
      <w:pPr>
        <w:pStyle w:val="Titre1"/>
      </w:pPr>
      <w:bookmarkStart w:id="0" w:name="_Toc225504038"/>
      <w:bookmarkStart w:id="1" w:name="_Toc225772126"/>
      <w:bookmarkStart w:id="2" w:name="_Toc233625991"/>
      <w:r w:rsidRPr="005C4637">
        <w:t>Réformes récentes ou en cours</w:t>
      </w:r>
      <w:bookmarkEnd w:id="0"/>
      <w:bookmarkEnd w:id="1"/>
      <w:r w:rsidR="00DE4953">
        <w:t xml:space="preserve"> </w:t>
      </w:r>
      <w:r w:rsidR="002D3099">
        <w:t>et informations utiles</w:t>
      </w:r>
      <w:bookmarkEnd w:id="2"/>
    </w:p>
    <w:p w14:paraId="32C48812" w14:textId="6F2DDBA5" w:rsidR="00C42321" w:rsidRDefault="00C42321" w:rsidP="00487523">
      <w:pPr>
        <w:pStyle w:val="Titre2"/>
      </w:pPr>
      <w:bookmarkStart w:id="3" w:name="_Toc233625992"/>
      <w:bookmarkStart w:id="4" w:name="_Toc225504048"/>
      <w:bookmarkStart w:id="5" w:name="_Toc225772136"/>
      <w:r>
        <w:t>La circulaire devient une FAQ</w:t>
      </w:r>
      <w:bookmarkEnd w:id="3"/>
      <w:r w:rsidR="006B33C7">
        <w:t xml:space="preserve"> </w:t>
      </w:r>
    </w:p>
    <w:p w14:paraId="0D0411D9" w14:textId="77777777" w:rsidR="00DB6123" w:rsidRDefault="00DB6123" w:rsidP="004D3C15">
      <w:pPr>
        <w:spacing w:before="100" w:beforeAutospacing="1" w:after="100" w:afterAutospacing="1" w:line="240" w:lineRule="auto"/>
        <w:rPr>
          <w:rFonts w:eastAsia="Times New Roman" w:cs="Times New Roman"/>
          <w:lang w:eastAsia="fr-BE"/>
        </w:rPr>
      </w:pPr>
      <w:r w:rsidRPr="00DB6123">
        <w:rPr>
          <w:rFonts w:eastAsia="Times New Roman" w:cs="Times New Roman"/>
          <w:lang w:eastAsia="fr-BE"/>
        </w:rPr>
        <w:t>Cette FAQ reprendra l’ensemble des éléments issus des anciennes circulaires qui demeurent utiles à l’élaboration des budgets, les informations relatives aux travaux et actualités du Gouvernement actuellement en cours, ainsi que les éléments afférents à la fiscalité communale.</w:t>
      </w:r>
    </w:p>
    <w:p w14:paraId="01B2473E" w14:textId="410C396E" w:rsidR="004D3C15" w:rsidRPr="004D3C15" w:rsidRDefault="004D3C15" w:rsidP="004D3C15">
      <w:pPr>
        <w:spacing w:before="100" w:beforeAutospacing="1" w:after="100" w:afterAutospacing="1" w:line="240" w:lineRule="auto"/>
        <w:rPr>
          <w:rFonts w:eastAsia="Times New Roman" w:cs="Times New Roman"/>
          <w:lang w:eastAsia="fr-BE"/>
        </w:rPr>
      </w:pPr>
      <w:r w:rsidRPr="004D3C15">
        <w:rPr>
          <w:rFonts w:eastAsia="Times New Roman" w:cs="Times New Roman"/>
          <w:lang w:eastAsia="fr-BE"/>
        </w:rPr>
        <w:t>Le remplacement de la circulaire budgétaire annuelle par une FAQ numérisée répond à un objectif de simplification, de lisibilité et d’efficacité au bénéfice des pouvoirs locaux.</w:t>
      </w:r>
    </w:p>
    <w:p w14:paraId="2F63CAA6" w14:textId="77777777" w:rsidR="004D3C15" w:rsidRPr="004D3C15" w:rsidRDefault="004D3C15" w:rsidP="004D3C15">
      <w:pPr>
        <w:spacing w:before="100" w:beforeAutospacing="1" w:after="100" w:afterAutospacing="1" w:line="240" w:lineRule="auto"/>
        <w:rPr>
          <w:rFonts w:eastAsia="Times New Roman" w:cs="Times New Roman"/>
          <w:lang w:eastAsia="fr-BE"/>
        </w:rPr>
      </w:pPr>
      <w:r w:rsidRPr="004D3C15">
        <w:rPr>
          <w:rFonts w:eastAsia="Times New Roman" w:cs="Times New Roman"/>
          <w:lang w:eastAsia="fr-BE"/>
        </w:rPr>
        <w:t>Ce format permet de mieux correspondre aux usages concrets des communes, des CPAS et des provinces, en leur proposant des réponses directement accessibles à des questions pratiques, formulées de manière claire et structurée. Il offre ainsi un outil plus opérationnel, centré sur les besoins rencontrés par les pouvoirs locaux dans l’application quotidienne des règles budgétaires et comptables.</w:t>
      </w:r>
    </w:p>
    <w:p w14:paraId="226213D5" w14:textId="77777777" w:rsidR="004D3C15" w:rsidRPr="004D3C15" w:rsidRDefault="004D3C15" w:rsidP="004D3C15">
      <w:pPr>
        <w:spacing w:before="100" w:beforeAutospacing="1" w:after="100" w:afterAutospacing="1" w:line="240" w:lineRule="auto"/>
        <w:rPr>
          <w:rFonts w:eastAsia="Times New Roman" w:cs="Times New Roman"/>
          <w:lang w:eastAsia="fr-BE"/>
        </w:rPr>
      </w:pPr>
      <w:r w:rsidRPr="004D3C15">
        <w:rPr>
          <w:rFonts w:eastAsia="Times New Roman" w:cs="Times New Roman"/>
          <w:lang w:eastAsia="fr-BE"/>
        </w:rPr>
        <w:t>Ce nouveau dispositif présente également l’avantage de pouvoir être actualisé de manière plus souple et plus rapide en cas d’évolution réglementaire, de réforme ou de difficulté d’interprétation identifiée par l’administration. Il permet ainsi de limiter le risque de maintenir en circulation des informations devenues obsolètes, incomplètes ou partiellement contradictoires.</w:t>
      </w:r>
    </w:p>
    <w:p w14:paraId="279F8E79" w14:textId="77777777" w:rsidR="004D3C15" w:rsidRPr="004D3C15" w:rsidRDefault="004D3C15" w:rsidP="004D3C15">
      <w:pPr>
        <w:spacing w:before="100" w:beforeAutospacing="1" w:after="100" w:afterAutospacing="1" w:line="240" w:lineRule="auto"/>
        <w:rPr>
          <w:rFonts w:eastAsia="Times New Roman" w:cs="Times New Roman"/>
          <w:lang w:eastAsia="fr-BE"/>
        </w:rPr>
      </w:pPr>
      <w:r w:rsidRPr="004D3C15">
        <w:rPr>
          <w:rFonts w:eastAsia="Times New Roman" w:cs="Times New Roman"/>
          <w:lang w:eastAsia="fr-BE"/>
        </w:rPr>
        <w:t>La FAQ a vocation à devenir un centre de documentation évolutif à destination des pouvoirs locaux. Lorsqu’une question revient régulièrement, que ce soit dans le cadre des échanges entre les services de tutelle et les pouvoirs locaux, à la suite de questions parlementaires ou en raison de difficultés pratiques rencontrées sur le terrain, la réponse pourra être adaptée, complétée ou reformulée afin d’en assurer une compréhension uniforme.</w:t>
      </w:r>
    </w:p>
    <w:p w14:paraId="2F29855C" w14:textId="62188F83" w:rsidR="004D3C15" w:rsidRDefault="004D3C15" w:rsidP="004D3C15">
      <w:pPr>
        <w:spacing w:before="100" w:beforeAutospacing="1" w:after="100" w:afterAutospacing="1" w:line="240" w:lineRule="auto"/>
        <w:rPr>
          <w:rFonts w:eastAsia="Times New Roman" w:cs="Times New Roman"/>
          <w:lang w:eastAsia="fr-BE"/>
        </w:rPr>
      </w:pPr>
      <w:r w:rsidRPr="004D3C15">
        <w:rPr>
          <w:rFonts w:eastAsia="Times New Roman" w:cs="Times New Roman"/>
          <w:lang w:eastAsia="fr-BE"/>
        </w:rPr>
        <w:t>Cette démarche contribuera à renforcer la sécurité juridique, à améliorer la traçabilité des mises à jour et à favoriser une interprétation cohérente de la méthodologie ou des mécanismes présentés. Elle s’inscrit, plus largement, dans une dynamique de modernisation, de numérisation et d’amélioration continue de l’action administrative, tout en conservant un cadre d’accompagnement clair à destination des pouvoirs locaux</w:t>
      </w:r>
      <w:r>
        <w:rPr>
          <w:rFonts w:eastAsia="Times New Roman" w:cs="Times New Roman"/>
          <w:lang w:eastAsia="fr-BE"/>
        </w:rPr>
        <w:t>.</w:t>
      </w:r>
    </w:p>
    <w:p w14:paraId="04CEC784" w14:textId="77777777" w:rsidR="008342E6" w:rsidRPr="008342E6" w:rsidRDefault="008342E6" w:rsidP="008342E6">
      <w:pPr>
        <w:spacing w:before="100" w:beforeAutospacing="1" w:after="100" w:afterAutospacing="1" w:line="240" w:lineRule="auto"/>
        <w:rPr>
          <w:rFonts w:eastAsia="Times New Roman" w:cs="Times New Roman"/>
          <w:lang w:eastAsia="fr-BE"/>
        </w:rPr>
      </w:pPr>
      <w:r w:rsidRPr="008342E6">
        <w:rPr>
          <w:rFonts w:eastAsia="Times New Roman" w:cs="Times New Roman"/>
          <w:lang w:eastAsia="fr-BE"/>
        </w:rPr>
        <w:t>Ainsi, la FAQ pourra être mise à jour régulièrement et demeurera facilement accessible aux pouvoirs locaux. Elle sera structurée de manière à permettre une recherche rapide et intuitive de l’information souhaitée.</w:t>
      </w:r>
    </w:p>
    <w:p w14:paraId="0BC8C310" w14:textId="77777777" w:rsidR="008342E6" w:rsidRDefault="008342E6" w:rsidP="008342E6">
      <w:pPr>
        <w:spacing w:before="100" w:beforeAutospacing="1" w:after="100" w:afterAutospacing="1" w:line="240" w:lineRule="auto"/>
        <w:rPr>
          <w:rFonts w:eastAsia="Times New Roman" w:cs="Times New Roman"/>
          <w:lang w:eastAsia="fr-BE"/>
        </w:rPr>
      </w:pPr>
      <w:r w:rsidRPr="008342E6">
        <w:rPr>
          <w:rFonts w:eastAsia="Times New Roman" w:cs="Times New Roman"/>
          <w:lang w:eastAsia="fr-BE"/>
        </w:rPr>
        <w:t xml:space="preserve">Par ailleurs, afin d’assurer une bonne information des communes, CPAS et provinces, chaque mise à jour fera l’objet d’une notification transmise aux pouvoirs locaux via Nemo. Cette </w:t>
      </w:r>
      <w:r w:rsidRPr="008342E6">
        <w:rPr>
          <w:rFonts w:eastAsia="Times New Roman" w:cs="Times New Roman"/>
          <w:lang w:eastAsia="fr-BE"/>
        </w:rPr>
        <w:lastRenderedPageBreak/>
        <w:t>modalité permettra de garantir une diffusion claire et uniforme des adaptations apportées au dispositif.</w:t>
      </w:r>
    </w:p>
    <w:p w14:paraId="68CF485F" w14:textId="3FA78DCE" w:rsidR="001D4194" w:rsidRPr="008342E6" w:rsidRDefault="00D96480" w:rsidP="008342E6">
      <w:pPr>
        <w:spacing w:before="100" w:beforeAutospacing="1" w:after="100" w:afterAutospacing="1" w:line="240" w:lineRule="auto"/>
        <w:rPr>
          <w:rFonts w:eastAsia="Times New Roman" w:cs="Times New Roman"/>
          <w:lang w:eastAsia="fr-BE"/>
        </w:rPr>
      </w:pPr>
      <w:r w:rsidRPr="00D96480">
        <w:rPr>
          <w:rFonts w:eastAsia="Times New Roman" w:cs="Times New Roman"/>
          <w:lang w:eastAsia="fr-BE"/>
        </w:rPr>
        <w:t>Les circulaires budgétaires relatives aux provinces, aux plans de gestion et aux plans de convergence s’intégreront dans le même processus.</w:t>
      </w:r>
      <w:r w:rsidR="001D4194">
        <w:rPr>
          <w:rFonts w:eastAsia="Times New Roman" w:cs="Times New Roman"/>
          <w:lang w:eastAsia="fr-BE"/>
        </w:rPr>
        <w:t xml:space="preserve"> </w:t>
      </w:r>
    </w:p>
    <w:p w14:paraId="47E9A84A" w14:textId="5FA80E31" w:rsidR="47481C55" w:rsidRDefault="00CB2762" w:rsidP="00487523">
      <w:pPr>
        <w:pStyle w:val="Titre2"/>
      </w:pPr>
      <w:bookmarkStart w:id="6" w:name="_Toc233625993"/>
      <w:r>
        <w:t xml:space="preserve">Réforme </w:t>
      </w:r>
      <w:bookmarkEnd w:id="4"/>
      <w:bookmarkEnd w:id="5"/>
      <w:r w:rsidR="003A752F">
        <w:t>en cours</w:t>
      </w:r>
      <w:bookmarkEnd w:id="6"/>
      <w:r w:rsidR="00E67F8F">
        <w:t xml:space="preserve"> </w:t>
      </w:r>
    </w:p>
    <w:p w14:paraId="04A3D9E7" w14:textId="77777777" w:rsidR="00910C8E" w:rsidRDefault="00910C8E" w:rsidP="001B36D8"/>
    <w:p w14:paraId="618BF871" w14:textId="4FFAEC94" w:rsidR="008E6226" w:rsidRPr="008E6226" w:rsidRDefault="008E6226" w:rsidP="008E6226">
      <w:r w:rsidRPr="008E6226">
        <w:t xml:space="preserve">Les réformes relatives </w:t>
      </w:r>
      <w:r w:rsidR="00592B3A">
        <w:t xml:space="preserve">au recouvrement des </w:t>
      </w:r>
      <w:r w:rsidR="00EA0C9C">
        <w:t>créances locales, aux plans de cohésion sociale</w:t>
      </w:r>
      <w:r w:rsidR="00DB6123">
        <w:t xml:space="preserve"> ainsi</w:t>
      </w:r>
      <w:r w:rsidR="002345A5">
        <w:t>, à la fonction publique locale,</w:t>
      </w:r>
      <w:r w:rsidR="002345A5" w:rsidRPr="002345A5">
        <w:t xml:space="preserve"> </w:t>
      </w:r>
      <w:r w:rsidR="002345A5" w:rsidRPr="008E6226">
        <w:t>aux fusions de communes</w:t>
      </w:r>
      <w:r w:rsidR="002345A5">
        <w:t xml:space="preserve"> ainsi</w:t>
      </w:r>
      <w:r w:rsidR="00DB6123">
        <w:t xml:space="preserve"> q</w:t>
      </w:r>
      <w:r w:rsidR="003331F4">
        <w:t>u’aux</w:t>
      </w:r>
      <w:r w:rsidR="009F649B">
        <w:t xml:space="preserve"> </w:t>
      </w:r>
      <w:r w:rsidR="00DB6123">
        <w:t>Aides à la Promotion de l’Emploi</w:t>
      </w:r>
      <w:r w:rsidRPr="008E6226">
        <w:t xml:space="preserve"> sont actuellement en cours de discussion</w:t>
      </w:r>
      <w:r>
        <w:t xml:space="preserve"> au sein du Gouvernement</w:t>
      </w:r>
      <w:r w:rsidRPr="008E6226">
        <w:t>. Elles seront</w:t>
      </w:r>
      <w:r w:rsidR="00EA0C9C">
        <w:t xml:space="preserve"> en principe</w:t>
      </w:r>
      <w:r w:rsidRPr="008E6226">
        <w:t xml:space="preserve"> prochainement soumises au vote du Parlement.</w:t>
      </w:r>
    </w:p>
    <w:p w14:paraId="51C6F066" w14:textId="4A29C2DA" w:rsidR="008E6226" w:rsidRDefault="008E6226" w:rsidP="008E6226">
      <w:r w:rsidRPr="008E6226">
        <w:t xml:space="preserve">Une circulaire sera prévue pour chacune de ces réformes. La présente FAQ </w:t>
      </w:r>
      <w:r w:rsidR="00A171B1">
        <w:t xml:space="preserve">contient une série d’informations </w:t>
      </w:r>
      <w:r w:rsidR="00C962A3">
        <w:t xml:space="preserve">à toutes fins utiles et </w:t>
      </w:r>
      <w:r w:rsidRPr="008E6226">
        <w:t xml:space="preserve">sera </w:t>
      </w:r>
      <w:r w:rsidR="00C962A3">
        <w:t xml:space="preserve">le cas échéant </w:t>
      </w:r>
      <w:r w:rsidRPr="008E6226">
        <w:t xml:space="preserve">actualisée afin d’intégrer </w:t>
      </w:r>
      <w:r w:rsidR="00C962A3">
        <w:t xml:space="preserve">le cas échéant </w:t>
      </w:r>
      <w:r w:rsidRPr="008E6226">
        <w:t>les nouvelles informations disponibles.</w:t>
      </w:r>
    </w:p>
    <w:p w14:paraId="40B17203" w14:textId="513746B3" w:rsidR="00B34146" w:rsidRDefault="00B34146" w:rsidP="00B34146">
      <w:pPr>
        <w:pStyle w:val="Titre2"/>
      </w:pPr>
      <w:r>
        <w:t>Trajectoire de reprise des zones de secours</w:t>
      </w:r>
    </w:p>
    <w:p w14:paraId="74A574BB" w14:textId="685E150E" w:rsidR="00B34146" w:rsidRDefault="00B34146" w:rsidP="008E6226"/>
    <w:p w14:paraId="0B9C299A" w14:textId="77777777" w:rsidR="00BD7848" w:rsidRPr="00BD7848" w:rsidRDefault="00BD7848" w:rsidP="00BD7848">
      <w:r w:rsidRPr="00BD7848">
        <w:t>Je vous rappelle que l'article L2232-1, §1er, 11°, du Code de la démocratie locale et de la décentralisation prévoit, dans le chef des provinces, le versement d'une dépense additionnelle au bénéfice des personnes morales visées à l'article L2232-1/1, §2, du même Code. Cette dépense additionnelle est en principe équivalente, au total, à la dépense visée à l'article 80 du décret-programme du 19 décembre 2025, telle que reprise au budget final 2029, adaptée du pourcentage d'évolution calculé conformément à l'article L1332-1, §4, du Code ou, si celui-ci s'avère supérieur, à un coefficient égal à la somme des facteurs Yc visés à l'article L2241-3, §1er, du Code, des communes du territoire de la province concernée.</w:t>
      </w:r>
    </w:p>
    <w:p w14:paraId="00F49E6A" w14:textId="77777777" w:rsidR="00BD7848" w:rsidRPr="00BD7848" w:rsidRDefault="00BD7848" w:rsidP="00BD7848">
      <w:r w:rsidRPr="00BD7848">
        <w:t>J'attire votre attention sur le fait que, pour les années 2026 à 2029, l'article 80 du décret-programme précité instaure un régime dérogatoire à cette disposition. Par dérogation à l'article L2232-1, alinéa 1er, 11°, du Code, la dépense portée au budget par le conseil provincial correspond, pour ces quatre exercices, à l'intervention inscrite au budget 2025 au bénéfice des personnes morales visées à l'article L2232-1/1, §2, du Code, majorée respectivement de quinze, trente, cinquante et quatre-vingts pourcents du facteur Yc visé à l'article L2241-3, §1er, du Code, ce facteur étant lui-même calculé sur la base de l'exercice budgétaire 2025. Cette dépense est, par ailleurs, adaptée du pourcentage d'évolution calculé conformément à l'article L1332-1, §4, du Code.</w:t>
      </w:r>
    </w:p>
    <w:p w14:paraId="436DF517" w14:textId="77777777" w:rsidR="00BD7848" w:rsidRPr="00BD7848" w:rsidRDefault="00BD7848" w:rsidP="00BD7848">
      <w:r w:rsidRPr="00BD7848">
        <w:t>Il en résulte que le droit positif organise, à cet égard, deux périodes bien distinctes, qu'il me paraît utile de clarifier à votre attention.</w:t>
      </w:r>
    </w:p>
    <w:p w14:paraId="6C60501E" w14:textId="77777777" w:rsidR="00BD7848" w:rsidRPr="00BD7848" w:rsidRDefault="00BD7848" w:rsidP="00BD7848">
      <w:r w:rsidRPr="00BD7848">
        <w:rPr>
          <w:i/>
          <w:iCs/>
        </w:rPr>
        <w:t>D'une part</w:t>
      </w:r>
      <w:r w:rsidRPr="00BD7848">
        <w:t>, durant la période 2026-2029, la dépense additionnelle se décompose en deux montants :</w:t>
      </w:r>
    </w:p>
    <w:p w14:paraId="45EE6F42" w14:textId="77777777" w:rsidR="00BD7848" w:rsidRPr="00BD7848" w:rsidRDefault="00BD7848">
      <w:pPr>
        <w:numPr>
          <w:ilvl w:val="0"/>
          <w:numId w:val="229"/>
        </w:numPr>
      </w:pPr>
      <w:r w:rsidRPr="00BD7848">
        <w:lastRenderedPageBreak/>
        <w:t>un premier montant, correspondant à la dépense portée au budget par le conseil provincial telle qu'elle correspond à l'intervention inscrite au budget 2025 (ci-après, la « Dépense Statée ») ;</w:t>
      </w:r>
    </w:p>
    <w:p w14:paraId="672F013A" w14:textId="77777777" w:rsidR="00BD7848" w:rsidRPr="00BD7848" w:rsidRDefault="00BD7848">
      <w:pPr>
        <w:numPr>
          <w:ilvl w:val="0"/>
          <w:numId w:val="229"/>
        </w:numPr>
      </w:pPr>
      <w:r w:rsidRPr="00BD7848">
        <w:t>un second montant, calculé sur la base de quinze, trente, cinquante et quatre-vingts pourcents du facteur Yc visé à l'article L2241-3, §1er, lui-même calculé sur la base de l'exercice budgétaire 2025 (ci-après, la « Dépense Additionnelle »), celle-ci étant donc établie sur la base du montant total des dotations communales aux zones de secours inscrites aux budgets finaux des communes en 2025.</w:t>
      </w:r>
    </w:p>
    <w:p w14:paraId="114F0E80" w14:textId="77777777" w:rsidR="00BD7848" w:rsidRPr="00BD7848" w:rsidRDefault="00BD7848" w:rsidP="00BD7848">
      <w:r w:rsidRPr="00BD7848">
        <w:rPr>
          <w:i/>
          <w:iCs/>
        </w:rPr>
        <w:t>D'autre part</w:t>
      </w:r>
      <w:r w:rsidRPr="00BD7848">
        <w:t>, à partir de l'exercice 2030, la Dépense Additionnelle correspondra simplement au montant total des dotations communales aux zones de secours inscrites aux budgets finaux des communes en 2029, majoré de l'indexation ou, si celle-ci ne suffit pas, d'un montant équivalent à l'éventuel résidu de dotations communales aux zones de secours inscrites aux budgets finaux des communes de l'exercice budgétaire en cours.</w:t>
      </w:r>
    </w:p>
    <w:p w14:paraId="20EC04B7" w14:textId="77777777" w:rsidR="00BD7848" w:rsidRPr="00BD7848" w:rsidRDefault="00BD7848" w:rsidP="00BD7848">
      <w:r w:rsidRPr="00BD7848">
        <w:t>Je vous invite à tenir compte de cette distinction dans l'élaboration de vos prévisions budgétaires pour les exercices concernés.</w:t>
      </w:r>
    </w:p>
    <w:p w14:paraId="7A546B91" w14:textId="276F91D1" w:rsidR="00B46AC1" w:rsidRDefault="00696549" w:rsidP="00B03361">
      <w:pPr>
        <w:pStyle w:val="Titre2"/>
      </w:pPr>
      <w:bookmarkStart w:id="7" w:name="_Toc233625994"/>
      <w:bookmarkStart w:id="8" w:name="_Toc233625995"/>
      <w:bookmarkStart w:id="9" w:name="_Toc225504061"/>
      <w:bookmarkStart w:id="10" w:name="_Toc225772149"/>
      <w:bookmarkEnd w:id="7"/>
      <w:r>
        <w:t>Initiative</w:t>
      </w:r>
      <w:r w:rsidR="00B84F88">
        <w:t>s</w:t>
      </w:r>
      <w:r>
        <w:t xml:space="preserve"> du Vivre Ensemble</w:t>
      </w:r>
      <w:bookmarkEnd w:id="8"/>
      <w:r>
        <w:t xml:space="preserve"> </w:t>
      </w:r>
    </w:p>
    <w:p w14:paraId="1A35D38B" w14:textId="77777777" w:rsidR="00FF32DF" w:rsidRDefault="00FF32DF" w:rsidP="00B46AC1"/>
    <w:p w14:paraId="28A31CBE" w14:textId="548CA620" w:rsidR="00B46AC1" w:rsidRPr="00EE73D6" w:rsidRDefault="000A7DA2" w:rsidP="00B46AC1">
      <w:r w:rsidRPr="00EE73D6">
        <w:t>Dans le cadre de la réforme des politiques locales de cohésion sociale, le Gouvernement wallon a pris acte de l’évaluation du Plan de cohésion sociale 2020-2025 et a adopté en première lecture deux avant-projets de décret instaurant la dotation « Initiative</w:t>
      </w:r>
      <w:r w:rsidR="00B84F88">
        <w:t>s</w:t>
      </w:r>
      <w:r w:rsidRPr="00EE73D6">
        <w:t xml:space="preserve"> du Vivre Ensemble ». Cette réforme vise à faire évoluer le dispositif actuel du PCS vers un mécanisme plus simple, plus lisible et davantage fondé sur l’autonomie communale et le principe de confiance.</w:t>
      </w:r>
    </w:p>
    <w:p w14:paraId="5BD65FD1" w14:textId="77777777" w:rsidR="00EE73D6" w:rsidRPr="00EE73D6" w:rsidRDefault="00EE73D6" w:rsidP="00EE73D6">
      <w:r w:rsidRPr="00EE73D6">
        <w:t xml:space="preserve">La réforme proposée consiste à remplacer la logique actuelle de subvention par une logique de dotation affectée. L’objectif est de réduire les procédures d’approbation préalable et de justificatifs successifs, au profit d’un contrôle a posteriori, fondé notamment sur les comptes communaux, le monitoring financier, l’analyse de risques et les outils numériques tels que l’e-Compte. </w:t>
      </w:r>
    </w:p>
    <w:p w14:paraId="4A26C2D8" w14:textId="4D57E8E1" w:rsidR="00EE73D6" w:rsidRPr="00EE73D6" w:rsidRDefault="00EE73D6" w:rsidP="00EE73D6">
      <w:r w:rsidRPr="00EE73D6">
        <w:t>La dotation « Initiative</w:t>
      </w:r>
      <w:r w:rsidR="00B84F88">
        <w:t>s</w:t>
      </w:r>
      <w:r w:rsidRPr="00EE73D6">
        <w:t xml:space="preserve"> du Vivre Ensemble » </w:t>
      </w:r>
      <w:r w:rsidR="001C5A3B">
        <w:t>succédera</w:t>
      </w:r>
      <w:r w:rsidRPr="00EE73D6">
        <w:t xml:space="preserve"> à l’actuelle subvention PCS. Elle </w:t>
      </w:r>
      <w:r w:rsidR="001C5A3B">
        <w:t>aura</w:t>
      </w:r>
      <w:r w:rsidRPr="00EE73D6">
        <w:t xml:space="preserve"> vocation à financer les dépenses communales contribuant à l’accès effectif aux droits fondamentaux et au renforcement du lien social, dans le cadre de l’article 23 de la Constitution. Le dispositif </w:t>
      </w:r>
      <w:r w:rsidR="001C5A3B">
        <w:t>intégrera</w:t>
      </w:r>
      <w:r w:rsidRPr="00EE73D6">
        <w:t xml:space="preserve"> également, dans une logique de simplification administrative, les actuelles subventions « Été solidaire, je suis partenaire » et « Well’ Camp ». </w:t>
      </w:r>
    </w:p>
    <w:p w14:paraId="09CA5C04" w14:textId="136B7AC5" w:rsidR="00EE73D6" w:rsidRPr="00EE73D6" w:rsidRDefault="00EE73D6" w:rsidP="00EE73D6">
      <w:r w:rsidRPr="00EE73D6">
        <w:t xml:space="preserve">L’octroi de la dotation principale </w:t>
      </w:r>
      <w:r w:rsidR="008200CA">
        <w:t>sera</w:t>
      </w:r>
      <w:r w:rsidRPr="00EE73D6">
        <w:t xml:space="preserve"> conditionné à l’adoption, par le conseil communal, d’une délibération fixant la vision et les orientations locales en matière de cohésion sociale, sur la base d’un diagnostic. Cette délibération </w:t>
      </w:r>
      <w:r w:rsidR="001C5A3B">
        <w:t>remplacera</w:t>
      </w:r>
      <w:r w:rsidRPr="00EE73D6">
        <w:t xml:space="preserve"> l’actuel Plan de cohésion sociale </w:t>
      </w:r>
      <w:r w:rsidRPr="00EE73D6">
        <w:lastRenderedPageBreak/>
        <w:t xml:space="preserve">comme document structurant exigé des communes. Elle </w:t>
      </w:r>
      <w:r w:rsidR="001C5A3B">
        <w:t>pourra</w:t>
      </w:r>
      <w:r w:rsidRPr="00EE73D6">
        <w:t xml:space="preserve"> être adaptée au cours du mandat afin de tenir compte de l’évolution des besoins locaux. </w:t>
      </w:r>
    </w:p>
    <w:p w14:paraId="3338B3FC" w14:textId="66BC1A5F" w:rsidR="00EE73D6" w:rsidRPr="00EE73D6" w:rsidRDefault="00EE73D6" w:rsidP="00EE73D6">
      <w:r w:rsidRPr="00EE73D6">
        <w:t xml:space="preserve">La réforme maintient la possibilité, pour la commune, de déléguer tout ou partie de la dotation au CPAS et d’en transférer une partie à des acteurs associatifs. En revanche, la Région ne </w:t>
      </w:r>
      <w:r w:rsidR="001C5A3B">
        <w:t>financera</w:t>
      </w:r>
      <w:r w:rsidRPr="00EE73D6">
        <w:t xml:space="preserve"> plus directement les CPAS dans le cadre du dispositif : la dotation </w:t>
      </w:r>
      <w:r w:rsidR="001C5A3B">
        <w:t>sera</w:t>
      </w:r>
      <w:r w:rsidRPr="00EE73D6">
        <w:t xml:space="preserve"> versée à la commune, qui </w:t>
      </w:r>
      <w:r w:rsidR="00087022">
        <w:t>déterminera</w:t>
      </w:r>
      <w:r w:rsidRPr="00EE73D6">
        <w:t xml:space="preserve"> ensuite les modalités d’affectation locale des moyens, dans le respect des objectifs poursuivis. </w:t>
      </w:r>
    </w:p>
    <w:p w14:paraId="1F5028F6" w14:textId="77777777" w:rsidR="00EE73D6" w:rsidRPr="00EE73D6" w:rsidRDefault="00EE73D6" w:rsidP="00EE73D6">
      <w:r w:rsidRPr="00EE73D6">
        <w:t>Dans le cadre de l’élaboration budgétaire, les communes seront attentives au basculement progressif du PCS vers la dotation « Initiative du Vivre Ensemble », à l’inscription des moyens dans leurs prévisions budgétaires et à l’adoption de la délibération communale appelée à encadrer leurs orientations locales en matière de cohésion sociale. Le SPW Intérieur et Action sociale exercera un rôle d’accompagnement, d’audit et de contrôle a posteriori, dans une logique de simplification administrative et de responsabilisation des pouvoirs locaux.</w:t>
      </w:r>
    </w:p>
    <w:p w14:paraId="2A8F215C" w14:textId="6EABD698" w:rsidR="00EE73D6" w:rsidRPr="005C4637" w:rsidRDefault="00EE73D6" w:rsidP="00EE73D6">
      <w:pPr>
        <w:pStyle w:val="Titre2"/>
      </w:pPr>
      <w:bookmarkStart w:id="11" w:name="_Toc233625996"/>
      <w:r w:rsidRPr="005C4637">
        <w:t>Réforme de la fonction publique locale</w:t>
      </w:r>
      <w:bookmarkEnd w:id="11"/>
      <w:r w:rsidR="006B33C7">
        <w:t xml:space="preserve"> </w:t>
      </w:r>
    </w:p>
    <w:p w14:paraId="4FFF8882" w14:textId="77777777" w:rsidR="00EE73D6" w:rsidRDefault="00EE73D6" w:rsidP="00EE73D6">
      <w:pPr>
        <w:pStyle w:val="Titre3"/>
        <w:numPr>
          <w:ilvl w:val="0"/>
          <w:numId w:val="0"/>
        </w:numPr>
        <w:ind w:left="786" w:hanging="360"/>
      </w:pPr>
      <w:bookmarkStart w:id="12" w:name="_Toc233625997"/>
      <w:r w:rsidRPr="00733E58">
        <w:t>Évolutions relatives aux grades légaux communs entre la commune et le CPAS</w:t>
      </w:r>
      <w:bookmarkEnd w:id="12"/>
    </w:p>
    <w:p w14:paraId="47C066FB" w14:textId="77777777" w:rsidR="007023C1" w:rsidRDefault="007023C1" w:rsidP="00EE73D6"/>
    <w:p w14:paraId="123219BC" w14:textId="77777777" w:rsidR="007023C1" w:rsidRPr="007023C1" w:rsidRDefault="007023C1" w:rsidP="007023C1">
      <w:r w:rsidRPr="007023C1">
        <w:t>Dans le cadre des orientations définies par la Déclaration de politique régionale 2024-2029 et de la volonté du Gouvernement wallon de progresser vers un service public local intégré et modernisé, plusieurs évolutions sont envisagées afin de faciliter les rapprochements entre les communes et les CPAS. Ces évolutions s’inscrivent également dans la perspective de l’intégration progressive des CPAS aux institutions communales à l’horizon 2030, telle que visée par les orientations gouvernementales.</w:t>
      </w:r>
    </w:p>
    <w:p w14:paraId="271201F6" w14:textId="77777777" w:rsidR="007023C1" w:rsidRPr="007023C1" w:rsidRDefault="007023C1" w:rsidP="007023C1">
      <w:r w:rsidRPr="007023C1">
        <w:t>Ces évolutions s’inscrivent dans une logique de simplification, de rationalisation des structures locales et de renforcement de la cohérence du pilotage administratif et financier. Elles visent à permettre aux pouvoirs locaux qui le souhaitent de mettre en place des organisations plus intégrées, notamment par le développement de services partagés, de programmes stratégiques transversaux et d’une gestion coordonnée des moyens humains et budgétaires.</w:t>
      </w:r>
    </w:p>
    <w:p w14:paraId="78E20AD6" w14:textId="77777777" w:rsidR="007023C1" w:rsidRPr="007023C1" w:rsidRDefault="007023C1" w:rsidP="007023C1">
      <w:r w:rsidRPr="007023C1">
        <w:t>À cette fin, le Gouvernement wallon a adopté en première lecture deux avant-projets de décret modifiant, d’une part, certaines dispositions du Code de la démocratie locale et de la décentralisation et, d’autre part, certaines dispositions de la loi organique du 8 juillet 1976 des centres publics d’action sociale. Ces avant-projets ont pour objet de créer la possibilité de désigner un directeur général commun à la commune et au CPAS du même ressort.</w:t>
      </w:r>
    </w:p>
    <w:p w14:paraId="12C6B718" w14:textId="77777777" w:rsidR="007023C1" w:rsidRPr="007023C1" w:rsidRDefault="007023C1" w:rsidP="007023C1">
      <w:r w:rsidRPr="007023C1">
        <w:t>Cette évolution complète les dispositifs déjà existants permettant la désignation d’un directeur financier commun, pour les communes de moins de 35.000 habitants, et d’un directeur général adjoint commun, pour les communes de plus de 10.000 habitants. Elle vise à offrir aux entités locales un outil supplémentaire de rapprochement institutionnel et administratif, sans imposer un modèle unique d’organisation.</w:t>
      </w:r>
    </w:p>
    <w:p w14:paraId="6C6AD73A" w14:textId="77777777" w:rsidR="007023C1" w:rsidRPr="007023C1" w:rsidRDefault="007023C1" w:rsidP="007023C1">
      <w:r w:rsidRPr="007023C1">
        <w:lastRenderedPageBreak/>
        <w:t>Les principales nouveautés sont les suivantes :</w:t>
      </w:r>
    </w:p>
    <w:p w14:paraId="59CFBF29" w14:textId="77777777" w:rsidR="007023C1" w:rsidRPr="007023C1" w:rsidRDefault="007023C1">
      <w:pPr>
        <w:numPr>
          <w:ilvl w:val="0"/>
          <w:numId w:val="220"/>
        </w:numPr>
      </w:pPr>
      <w:r w:rsidRPr="007023C1">
        <w:t>Création de la fonction de directeur général commun</w:t>
      </w:r>
    </w:p>
    <w:p w14:paraId="11E561BD" w14:textId="77777777" w:rsidR="007023C1" w:rsidRPr="007023C1" w:rsidRDefault="007023C1" w:rsidP="007023C1">
      <w:r w:rsidRPr="007023C1">
        <w:t>Les communes et les CPAS pourraient, lorsqu’ils le souhaitent, s’accorder afin de désigner un directeur général commun. Celui-ci exercerait les missions dévolues au directeur général de la commune et au directeur général du CPAS, dans le respect des compétences respectives des organes communaux et du centre public d’action sociale.</w:t>
      </w:r>
    </w:p>
    <w:p w14:paraId="27E33AF8" w14:textId="77777777" w:rsidR="007023C1" w:rsidRPr="007023C1" w:rsidRDefault="007023C1" w:rsidP="007023C1">
      <w:r w:rsidRPr="007023C1">
        <w:t>Cette faculté vise à renforcer la cohérence du pilotage administratif des deux institutions et à faciliter la mise en œuvre de dynamiques de rapprochement entre services.</w:t>
      </w:r>
    </w:p>
    <w:p w14:paraId="535A157B" w14:textId="77777777" w:rsidR="007023C1" w:rsidRPr="007023C1" w:rsidRDefault="007023C1">
      <w:pPr>
        <w:numPr>
          <w:ilvl w:val="0"/>
          <w:numId w:val="221"/>
        </w:numPr>
      </w:pPr>
      <w:r w:rsidRPr="007023C1">
        <w:t>Suppression des seuils d’habitants pour les grades légaux communs</w:t>
      </w:r>
    </w:p>
    <w:p w14:paraId="41F70446" w14:textId="77777777" w:rsidR="007023C1" w:rsidRPr="007023C1" w:rsidRDefault="007023C1" w:rsidP="007023C1">
      <w:r w:rsidRPr="007023C1">
        <w:t>La suppression des seuils actuellement applicables pour le recours à certains grades légaux communs est également prévue. Cette évolution laisse davantage de marge d’appréciation aux pouvoirs locaux, en leur permettant d’évaluer eux-mêmes l’opportunité d’une telle organisation au regard de leur situation propre, de leurs besoins et de leurs capacités administratives.</w:t>
      </w:r>
    </w:p>
    <w:p w14:paraId="3C6BBD2F" w14:textId="77777777" w:rsidR="007023C1" w:rsidRPr="007023C1" w:rsidRDefault="007023C1" w:rsidP="007023C1">
      <w:r w:rsidRPr="007023C1">
        <w:t>Cette approche s’inscrit dans le respect de l’autonomie locale, en permettant aux communes et aux CPAS de déterminer, de commun accord, les modalités d’organisation les plus adaptées à leur réalité de terrain.</w:t>
      </w:r>
    </w:p>
    <w:p w14:paraId="0C45800E" w14:textId="77777777" w:rsidR="007023C1" w:rsidRPr="007023C1" w:rsidRDefault="007023C1">
      <w:pPr>
        <w:numPr>
          <w:ilvl w:val="0"/>
          <w:numId w:val="222"/>
        </w:numPr>
      </w:pPr>
      <w:r w:rsidRPr="007023C1">
        <w:t>Possibilité de désignation à titre définitif ou temporaire</w:t>
      </w:r>
    </w:p>
    <w:p w14:paraId="614E539A" w14:textId="77777777" w:rsidR="007023C1" w:rsidRPr="007023C1" w:rsidRDefault="007023C1" w:rsidP="007023C1">
      <w:r w:rsidRPr="007023C1">
        <w:t>Les communes et les CPAS pourraient procéder à une désignation commune non seulement à titre définitif, mais également à titre temporaire.</w:t>
      </w:r>
    </w:p>
    <w:p w14:paraId="14EA35D5" w14:textId="77777777" w:rsidR="007023C1" w:rsidRPr="007023C1" w:rsidRDefault="007023C1" w:rsidP="007023C1">
      <w:r w:rsidRPr="007023C1">
        <w:t>En cas de vacance d’un poste de grade légal, une entité aurait la possibilité de désigner définitivement le grade légal de l’autre entité. Si elle ne souhaite pas procéder de la sorte, elle pourrait néanmoins désigner, pour sa propre entité, un grade légal à titre temporaire jusqu’au 31 décembre 2030.</w:t>
      </w:r>
    </w:p>
    <w:p w14:paraId="781FDBA8" w14:textId="77777777" w:rsidR="007023C1" w:rsidRPr="007023C1" w:rsidRDefault="007023C1" w:rsidP="007023C1">
      <w:r w:rsidRPr="007023C1">
        <w:t>Cette faculté pourrait notamment être mobilisée afin d’assurer la continuité du service public et de permettre une organisation transitoire entre la commune et le CPAS, dans l’attente de l’aboutissement des évolutions institutionnelles envisagées à l’horizon 2030.</w:t>
      </w:r>
    </w:p>
    <w:p w14:paraId="793AAD78" w14:textId="77777777" w:rsidR="007023C1" w:rsidRPr="007023C1" w:rsidRDefault="007023C1">
      <w:pPr>
        <w:numPr>
          <w:ilvl w:val="0"/>
          <w:numId w:val="223"/>
        </w:numPr>
      </w:pPr>
      <w:r w:rsidRPr="007023C1">
        <w:t>Régime applicable aux prestations</w:t>
      </w:r>
    </w:p>
    <w:p w14:paraId="5B1DD518" w14:textId="77777777" w:rsidR="007023C1" w:rsidRPr="007023C1" w:rsidRDefault="007023C1" w:rsidP="007023C1">
      <w:r w:rsidRPr="007023C1">
        <w:t>Pour la nouvelle fonction de directeur général commun, les prestations totales ne pourraient porter le volume global de toutes les activités cumulées à plus de 1,25 fois la durée de travail d’un emploi à temps plein.</w:t>
      </w:r>
    </w:p>
    <w:p w14:paraId="2284E757" w14:textId="77777777" w:rsidR="007023C1" w:rsidRPr="007023C1" w:rsidRDefault="007023C1" w:rsidP="007023C1">
      <w:r w:rsidRPr="007023C1">
        <w:t>Cette précision permettrait d’assurer une meilleure lisibilité du régime applicable à cette nouvelle fonction et d’encadrer les conditions dans lesquelles le directeur général commun pourrait exercer ses missions au bénéfice de la commune et du CPAS.</w:t>
      </w:r>
    </w:p>
    <w:p w14:paraId="5FABC47A" w14:textId="77777777" w:rsidR="007023C1" w:rsidRPr="007023C1" w:rsidRDefault="007023C1" w:rsidP="007023C1">
      <w:r w:rsidRPr="007023C1">
        <w:lastRenderedPageBreak/>
        <w:t>Dans l’attente de l’aboutissement du processus décrétal, les communes sont invitées à tenir compte de ces évolutions dans leurs réflexions organisationnelles et budgétaires, en particulier lorsqu’elles envisagent des formes de mutualisation, de rapprochement ou de pilotage commun avec leur CPAS. Le SPW Intérieur et Action sociale pourra, le cas échéant, accompagner les pouvoirs locaux dans l’analyse des implications administratives et budgétaires de ces évolutions.</w:t>
      </w:r>
    </w:p>
    <w:p w14:paraId="6DEDBDEC" w14:textId="1DE7B24D" w:rsidR="00EE73D6" w:rsidRDefault="00EE73D6" w:rsidP="00EE73D6">
      <w:pPr>
        <w:pStyle w:val="Titre3"/>
        <w:numPr>
          <w:ilvl w:val="0"/>
          <w:numId w:val="0"/>
        </w:numPr>
        <w:ind w:left="786" w:hanging="360"/>
      </w:pPr>
      <w:bookmarkStart w:id="13" w:name="_Toc233625998"/>
      <w:r w:rsidRPr="00425C81">
        <w:t>Évolutions relatives au régime d’emploi au sein de la fonction publique locale</w:t>
      </w:r>
      <w:bookmarkEnd w:id="13"/>
    </w:p>
    <w:p w14:paraId="2A50BDE2" w14:textId="77777777" w:rsidR="00273ECB" w:rsidRDefault="00273ECB" w:rsidP="00EE73D6"/>
    <w:p w14:paraId="7DC09997" w14:textId="5CD674EE" w:rsidR="00EE73D6" w:rsidRPr="00203788" w:rsidRDefault="00EE73D6" w:rsidP="00EE73D6">
      <w:r w:rsidRPr="00203788">
        <w:t xml:space="preserve">Dans le cadre de la modernisation de la fonction publique locale, le Gouvernement wallon a adopté en première lecture deux avant-projets de décret relatifs au régime d’emploi au sein de la « Locale ». Cette réforme vise à harmoniser les règles applicables aux membres du personnel des pouvoirs locaux, à renforcer l’attractivité de l’emploi public local et à simplifier la gestion des ressources humaines. </w:t>
      </w:r>
    </w:p>
    <w:p w14:paraId="60D1347C" w14:textId="77777777" w:rsidR="00EE73D6" w:rsidRPr="00203788" w:rsidRDefault="00EE73D6" w:rsidP="00EE73D6">
      <w:r w:rsidRPr="00203788">
        <w:t>La « Locale » regrouperait l’ensemble des pouvoirs locaux wallons, à savoir les communes, les CPAS, les associations Chapitre XII, les intercommunales, les régies communales autonomes, les provinces et les régies provinciales autonomes. L’objectif est de favoriser un cadre commun, tout en préservant l’autonomie de gestion des pouvoirs locaux.</w:t>
      </w:r>
    </w:p>
    <w:p w14:paraId="54D751FC" w14:textId="77777777" w:rsidR="00EE73D6" w:rsidRPr="00203788" w:rsidRDefault="00EE73D6" w:rsidP="00EE73D6">
      <w:r w:rsidRPr="00203788">
        <w:t xml:space="preserve">La principale évolution consiste à faire du </w:t>
      </w:r>
      <w:r w:rsidRPr="00203788">
        <w:rPr>
          <w:b/>
          <w:bCs/>
        </w:rPr>
        <w:t>contrat de travail</w:t>
      </w:r>
      <w:r w:rsidRPr="00203788">
        <w:t xml:space="preserve"> le régime d’emploi de principe pour les futurs engagements, à l’exception des fonctions de grades légaux. Les membres du personnel déjà nommés conserveraient leur nomination. Cette évolution s’inscrit dans une volonté d’égalité de traitement entre agents contractuels et statutaires, notamment en matière de carrière, de promotion, de mobilité et de fin de relation d’emploi. </w:t>
      </w:r>
    </w:p>
    <w:p w14:paraId="637121B0" w14:textId="1B6FFF4C" w:rsidR="00EE73D6" w:rsidRPr="00203788" w:rsidRDefault="00EE73D6" w:rsidP="00EE73D6">
      <w:r w:rsidRPr="00203788">
        <w:t>La réforme prévoit également la mise en place de balises communes propres aux employeurs publics locaux, notamment en matière de sélection, d’évaluation, de discipline et de licenciement. Le principe de l’appel public à candidatures serait confirmé, avec certaines exceptions encadrées. Les procédures de sélection devraient reposer sur une commission chargée d’évaluer les compétences des candidats, sans participation</w:t>
      </w:r>
      <w:r w:rsidR="001704EE">
        <w:t xml:space="preserve"> active</w:t>
      </w:r>
      <w:r w:rsidRPr="00203788">
        <w:t xml:space="preserve"> de mandataires politiques, et la décision finale relèverait de l’organe exécutif du pouvoir local</w:t>
      </w:r>
      <w:r w:rsidR="002B3E2A">
        <w:t xml:space="preserve">, </w:t>
      </w:r>
      <w:r w:rsidR="000E47B8">
        <w:t>e</w:t>
      </w:r>
      <w:r w:rsidR="000E47B8" w:rsidRPr="000E47B8">
        <w:t>n cas de présence d’un mandataire politique, celui-ci ne pourra jouer qu’un rôle d’observateur.</w:t>
      </w:r>
    </w:p>
    <w:p w14:paraId="0626416C" w14:textId="77777777" w:rsidR="00EE73D6" w:rsidRPr="00203788" w:rsidRDefault="00EE73D6" w:rsidP="00EE73D6">
      <w:r w:rsidRPr="00203788">
        <w:t xml:space="preserve">La gestion des ressources humaines serait structurée autour de trois outils : l’organigramme, le plan d’embauche et le règlement de travail. Le plan d’embauche deviendrait l’outil annuel de gestion prévisionnelle des besoins en personnel et recevrait une assise légale. L’obligation de disposer d’un cadre serait supprimée. Le règlement de travail deviendrait le document central reprenant les règles applicables au personnel, en remplacement des statuts administratif et pécuniaire. </w:t>
      </w:r>
    </w:p>
    <w:p w14:paraId="04A86F9B" w14:textId="77777777" w:rsidR="00EE73D6" w:rsidRPr="00203788" w:rsidRDefault="00EE73D6" w:rsidP="00EE73D6">
      <w:r w:rsidRPr="00203788">
        <w:t xml:space="preserve">Les règles relatives à la carrière seraient également harmonisées. L’évaluation serait conçue comme un outil de développement professionnel. La formation serait consacrée comme un levier d’évolution des compétences et d’adaptation des services publics locaux. Le régime </w:t>
      </w:r>
      <w:r w:rsidRPr="00203788">
        <w:lastRenderedPageBreak/>
        <w:t>disciplinaire serait unifié pour les membres du personnel contractuel et statutaire, autour de sanctions communes.</w:t>
      </w:r>
    </w:p>
    <w:p w14:paraId="4CCE3698" w14:textId="77777777" w:rsidR="00EE73D6" w:rsidRPr="00203788" w:rsidRDefault="00EE73D6" w:rsidP="00EE73D6">
      <w:r w:rsidRPr="00203788">
        <w:t xml:space="preserve">Enfin, les causes et conditions de fin de relation d’emploi seraient rapprochées entre statutaires et contractuels, sous réserve de certaines spécificités et du maintien des droits acquis des agents déjà nommés. Les garanties relatives au licenciement, notamment l’audition préalable, la motivation de la décision et l’indication des voies de recours, seraient intégrées dans le cadre décrétal applicable aux pouvoirs locaux. </w:t>
      </w:r>
    </w:p>
    <w:p w14:paraId="1E114248" w14:textId="77777777" w:rsidR="00EE73D6" w:rsidRDefault="00EE73D6" w:rsidP="00EE73D6">
      <w:r w:rsidRPr="00203788">
        <w:t>Dans le cadre de l’élaboration budgétaire, les communes seront particulièrement attentives à l’évolution du plan d’embauche, appelé à devenir l’outil central de planification des besoins en personnel et de mesure de leur impact financier. Ces évolutions devront être appréhendées progressivement, en lien avec les arrêtés d’exécution à venir et dans le respect de l’autonomie locale.</w:t>
      </w:r>
    </w:p>
    <w:p w14:paraId="4651E909" w14:textId="77777777" w:rsidR="0035089A" w:rsidRPr="00246E9B" w:rsidRDefault="0035089A" w:rsidP="0035089A">
      <w:r w:rsidRPr="0035089A">
        <w:t>Une circulaire spécifique reprenant les éléments plus précis liés à la mise en œuvre de cette réforme sera transmise aux pouvoirs locaux lorsque les textes auront été définitivement adoptés.</w:t>
      </w:r>
      <w:r>
        <w:t xml:space="preserve"> </w:t>
      </w:r>
    </w:p>
    <w:p w14:paraId="5AC95E5F" w14:textId="5134FBEC" w:rsidR="00EE73D6" w:rsidRDefault="00246E9B" w:rsidP="00B03361">
      <w:pPr>
        <w:pStyle w:val="Titre2"/>
      </w:pPr>
      <w:bookmarkStart w:id="14" w:name="_Toc233625999"/>
      <w:r>
        <w:t>Réforme de l’établissement des taxes locales et du recouvrement des créances fiscales et non fiscales</w:t>
      </w:r>
      <w:bookmarkEnd w:id="14"/>
      <w:r w:rsidR="006B33C7">
        <w:t xml:space="preserve"> </w:t>
      </w:r>
    </w:p>
    <w:p w14:paraId="6099F64F" w14:textId="77777777" w:rsidR="00246E9B" w:rsidRDefault="00246E9B" w:rsidP="00246E9B"/>
    <w:p w14:paraId="65C79AA0" w14:textId="77777777" w:rsidR="00246E9B" w:rsidRPr="00246E9B" w:rsidRDefault="00246E9B" w:rsidP="00246E9B">
      <w:r w:rsidRPr="00246E9B">
        <w:t xml:space="preserve">Dans le cadre de la mise en œuvre de la Déclaration de politique régionale, le Gouvernement wallon a adopté en première lecture deux avant-projets de décret visant à moderniser et simplifier les règles relatives, d’une part, à l’établissement des taxes communales et provinciales et au recouvrement des créances fiscales et non fiscales des communes et provinces et, d’autre part, au recouvrement des créances non fiscales des CPAS. </w:t>
      </w:r>
    </w:p>
    <w:p w14:paraId="3583E164" w14:textId="77777777" w:rsidR="00246E9B" w:rsidRPr="00246E9B" w:rsidRDefault="00246E9B" w:rsidP="00246E9B">
      <w:r w:rsidRPr="00246E9B">
        <w:t xml:space="preserve">L’objectif principal de cette réforme est de </w:t>
      </w:r>
      <w:r w:rsidRPr="00246E9B">
        <w:rPr>
          <w:b/>
          <w:bCs/>
        </w:rPr>
        <w:t>renforcer l’efficacité, la sécurité juridique et la lisibilité des procédures de recouvrement applicables aux pouvoirs locaux</w:t>
      </w:r>
      <w:r w:rsidRPr="00246E9B">
        <w:t>. Elle vise à doter les communes, provinces et CPAS d’un cadre plus clair, plus complet et mieux adapté aux réalités administratives actuelles, tout en préservant les garanties dues aux redevables et débiteurs.</w:t>
      </w:r>
    </w:p>
    <w:p w14:paraId="1F6A7712" w14:textId="77777777" w:rsidR="00246E9B" w:rsidRPr="00246E9B" w:rsidRDefault="00246E9B" w:rsidP="00246E9B">
      <w:r w:rsidRPr="00246E9B">
        <w:t xml:space="preserve">Pour les communes, la réforme poursuit également un objectif de </w:t>
      </w:r>
      <w:r w:rsidRPr="00246E9B">
        <w:rPr>
          <w:b/>
          <w:bCs/>
        </w:rPr>
        <w:t>sécurisation de la fiscalité locale</w:t>
      </w:r>
      <w:r w:rsidRPr="00246E9B">
        <w:t xml:space="preserve">. Elle clarifie plusieurs règles relatives à l’établissement des taxes, notamment la communication électronique avec le redevable, la computation des délais, le moment où la taxe devient exigible, la taxation d’office, les majorations, les amendes administratives, ainsi que les mentions devant figurer au rôle et dans l’avertissement-extrait de rôle. Une attention particulière est portée à l’obligation de déclaration, qui devra être prévue par le règlement-taxe lui-même lorsque la taxe est recouvrée par voie de rôle. </w:t>
      </w:r>
    </w:p>
    <w:p w14:paraId="5266BACA" w14:textId="77777777" w:rsidR="00246E9B" w:rsidRPr="00246E9B" w:rsidRDefault="00246E9B" w:rsidP="00246E9B">
      <w:r w:rsidRPr="00246E9B">
        <w:t xml:space="preserve">La réforme vise aussi à </w:t>
      </w:r>
      <w:r w:rsidRPr="00246E9B">
        <w:rPr>
          <w:b/>
          <w:bCs/>
        </w:rPr>
        <w:t>renforcer les moyens d’action des pouvoirs locaux</w:t>
      </w:r>
      <w:r w:rsidRPr="00246E9B">
        <w:t xml:space="preserve">. Elle précise les personnes habilitées à exercer des missions de contrôle, leur assermentation, leur force </w:t>
      </w:r>
      <w:r w:rsidRPr="00246E9B">
        <w:lastRenderedPageBreak/>
        <w:t xml:space="preserve">probante et leurs pouvoirs d’investigation. Ceux-ci pourront être exercés sur l’ensemble du territoire wallon, dans le respect de garanties encadrant notamment le secret professionnel, les locaux habités, la pertinence des renseignements demandés et la proportionnalité des démarches. </w:t>
      </w:r>
    </w:p>
    <w:p w14:paraId="4A18BBA3" w14:textId="77777777" w:rsidR="00246E9B" w:rsidRPr="00246E9B" w:rsidRDefault="00246E9B" w:rsidP="00246E9B">
      <w:r w:rsidRPr="00246E9B">
        <w:t xml:space="preserve">En matière de recouvrement, l’avant-projet instaure un régime plus complet de </w:t>
      </w:r>
      <w:r w:rsidRPr="00246E9B">
        <w:rPr>
          <w:b/>
          <w:bCs/>
        </w:rPr>
        <w:t>sommation de payer</w:t>
      </w:r>
      <w:r w:rsidRPr="00246E9B">
        <w:t>, applicable tant au redevable qu’au codébiteur. Il précise son contenu, ses effets sur la prescription, les délais à respecter avant toute voie d’exécution et les garanties offertes aux personnes concernées, dont le droit de recevoir une sommation et d’introduire une réclamation.</w:t>
      </w:r>
    </w:p>
    <w:p w14:paraId="31E33767" w14:textId="77777777" w:rsidR="00246E9B" w:rsidRPr="00246E9B" w:rsidRDefault="00246E9B" w:rsidP="00246E9B">
      <w:r w:rsidRPr="00246E9B">
        <w:t xml:space="preserve">Le texte consacre également la possibilité d’établir une </w:t>
      </w:r>
      <w:r w:rsidRPr="00246E9B">
        <w:rPr>
          <w:b/>
          <w:bCs/>
        </w:rPr>
        <w:t>contrainte</w:t>
      </w:r>
      <w:r w:rsidRPr="00246E9B">
        <w:t xml:space="preserve"> pour les créances non fiscales certaines, liquides et exigibles des communes et provinces. Cette mesure a pour objectif de permettre un recouvrement plus efficace des créances non sérieusement contestées, sans devoir recourir systématiquement à une procédure judiciaire préalable. Elle s’accompagne toutefois de garanties procédurales, dont une mise en demeure préalable, une signification par huissier, un recours dans le mois et un contrôle juridictionnel. </w:t>
      </w:r>
    </w:p>
    <w:p w14:paraId="74D1466D" w14:textId="77777777" w:rsidR="00246E9B" w:rsidRPr="00246E9B" w:rsidRDefault="00246E9B" w:rsidP="00246E9B">
      <w:r w:rsidRPr="00246E9B">
        <w:t>La réforme prévoit par ailleurs un mécanisme d’</w:t>
      </w:r>
      <w:r w:rsidRPr="00246E9B">
        <w:rPr>
          <w:b/>
          <w:bCs/>
        </w:rPr>
        <w:t>affectation sans formalités</w:t>
      </w:r>
      <w:r w:rsidRPr="00246E9B">
        <w:t>, permettant au directeur financier, dans des conditions strictement encadrées, d’imputer certaines sommes à restituer ou à payer par la commune ou la province sur des dettes dues par la même personne. Les sommes sensibles, notamment celles assimilables aux revenus protégés par le Code judiciaire, sont exclues de ce mécanisme.</w:t>
      </w:r>
    </w:p>
    <w:p w14:paraId="1B87C5E7" w14:textId="77777777" w:rsidR="00246E9B" w:rsidRPr="00246E9B" w:rsidRDefault="00246E9B" w:rsidP="00246E9B">
      <w:r w:rsidRPr="00246E9B">
        <w:t>Pour les CPAS, l’objectif est d’assurer une plus grande cohérence du régime applicable au recouvrement de leurs créances non fiscales. Les règles nouvelles prévues pour les communes et provinces seraient rendues applicables aux CPAS, avec les adaptations nécessaires. Les règles fiscales propres aux communes et provinces ne seraient pas transposées aux CPAS. Le dispositif intègre également, dans le Code de la démocratie locale et de la décentralisation, les règles actuellement prévues par la loi organique des CPAS en matière de contrainte.</w:t>
      </w:r>
    </w:p>
    <w:p w14:paraId="7DE19B85" w14:textId="678FF1EB" w:rsidR="00246E9B" w:rsidRDefault="0035089A" w:rsidP="00246E9B">
      <w:r w:rsidRPr="0035089A">
        <w:t>Une circulaire spécifique reprenant les éléments plus précis liés à la mise en œuvre de cette réforme sera transmise aux pouvoirs locaux lorsque les textes auront été définitivement adoptés.</w:t>
      </w:r>
      <w:r w:rsidR="00F04E49">
        <w:t xml:space="preserve"> </w:t>
      </w:r>
    </w:p>
    <w:p w14:paraId="04B251BF" w14:textId="77777777" w:rsidR="00086CF7" w:rsidRPr="00086CF7" w:rsidRDefault="00086CF7" w:rsidP="00086CF7">
      <w:pPr>
        <w:pStyle w:val="Titre2"/>
        <w:rPr>
          <w:lang w:val="fr-FR"/>
        </w:rPr>
      </w:pPr>
      <w:bookmarkStart w:id="15" w:name="_Toc233626000"/>
      <w:r w:rsidRPr="00086CF7">
        <w:rPr>
          <w:lang w:val="fr-FR"/>
        </w:rPr>
        <w:t>Compensation de la somme non versée du Fonds des communes</w:t>
      </w:r>
      <w:bookmarkEnd w:id="15"/>
    </w:p>
    <w:p w14:paraId="1C1C8629" w14:textId="77777777" w:rsidR="003C1013" w:rsidRDefault="003C1013" w:rsidP="003C1013">
      <w:pPr>
        <w:rPr>
          <w:rFonts w:ascii="Cambria" w:eastAsia="MS Mincho" w:hAnsi="Cambria" w:cs="Times New Roman"/>
        </w:rPr>
      </w:pPr>
    </w:p>
    <w:p w14:paraId="7E8FB640" w14:textId="0818024A" w:rsidR="003C1013" w:rsidRDefault="003C1013" w:rsidP="003C1013">
      <w:pPr>
        <w:rPr>
          <w:rFonts w:ascii="Cambria" w:eastAsia="MS Mincho" w:hAnsi="Cambria" w:cs="Times New Roman"/>
        </w:rPr>
      </w:pPr>
      <w:r w:rsidRPr="00A73031">
        <w:rPr>
          <w:rFonts w:ascii="Cambria" w:eastAsia="MS Mincho" w:hAnsi="Cambria" w:cs="Times New Roman"/>
        </w:rPr>
        <w:t>Lorsqu’une commune reçoit moins que prévu au Fonds des communes suite à une compensation opérée par le SPW Finances pour cause de créances de ladite commune envers la Région, ladite commune est autorisée à compenser la somme non perçue du Fonds des communes par une dépense.</w:t>
      </w:r>
      <w:r>
        <w:rPr>
          <w:rFonts w:ascii="Cambria" w:eastAsia="MS Mincho" w:hAnsi="Cambria" w:cs="Times New Roman"/>
        </w:rPr>
        <w:t xml:space="preserve">  La perception compensée est une écriture de trésorerie qu’il conviendra de ventiler/émarger comme suit :</w:t>
      </w:r>
    </w:p>
    <w:p w14:paraId="6A4FBF91" w14:textId="77777777" w:rsidR="003C1013" w:rsidRDefault="003C1013" w:rsidP="003C1013">
      <w:r>
        <w:lastRenderedPageBreak/>
        <w:t>En recette :</w:t>
      </w:r>
    </w:p>
    <w:p w14:paraId="41A0C067" w14:textId="77777777" w:rsidR="003C1013" w:rsidRDefault="003C1013" w:rsidP="003C1013">
      <w:r>
        <w:t xml:space="preserve">Il faut comptabiliser un droit constaté pour la </w:t>
      </w:r>
      <w:r w:rsidRPr="00802131">
        <w:rPr>
          <w:b/>
          <w:bCs/>
          <w:u w:val="single"/>
        </w:rPr>
        <w:t>totalité de la tranche</w:t>
      </w:r>
      <w:r>
        <w:t xml:space="preserve"> du Fonds de communes prévue initialement</w:t>
      </w:r>
    </w:p>
    <w:p w14:paraId="10750382" w14:textId="285BDB16" w:rsidR="003C1013" w:rsidRDefault="003C1013" w:rsidP="003C1013">
      <w:r>
        <w:t>En dépense :</w:t>
      </w:r>
    </w:p>
    <w:p w14:paraId="74143FEE" w14:textId="32A1B823" w:rsidR="003C1013" w:rsidRDefault="003C1013" w:rsidP="003C1013">
      <w:r>
        <w:t xml:space="preserve">Soit </w:t>
      </w:r>
      <w:r w:rsidRPr="009424D7">
        <w:rPr>
          <w:b/>
          <w:bCs/>
          <w:u w:val="single"/>
        </w:rPr>
        <w:t>imputer la facture non payée</w:t>
      </w:r>
      <w:r>
        <w:t xml:space="preserve"> envers la Région, soit </w:t>
      </w:r>
      <w:r w:rsidRPr="009424D7">
        <w:rPr>
          <w:b/>
          <w:bCs/>
          <w:u w:val="single"/>
        </w:rPr>
        <w:t xml:space="preserve">faire une </w:t>
      </w:r>
      <w:r w:rsidR="009450DF">
        <w:rPr>
          <w:b/>
          <w:bCs/>
          <w:u w:val="single"/>
        </w:rPr>
        <w:t>non-valeur</w:t>
      </w:r>
      <w:r w:rsidR="001E5CCC" w:rsidRPr="009424D7">
        <w:rPr>
          <w:b/>
          <w:bCs/>
          <w:u w:val="single"/>
        </w:rPr>
        <w:t xml:space="preserve"> </w:t>
      </w:r>
      <w:r w:rsidRPr="009424D7">
        <w:rPr>
          <w:b/>
          <w:bCs/>
          <w:u w:val="single"/>
        </w:rPr>
        <w:t>avec remboursement</w:t>
      </w:r>
      <w:r>
        <w:t xml:space="preserve"> sur le droit constaté pour lequel une somme trop importante a été perçue initialement. Si le droit initial était au service ordinaire cela sera donc à comptabiliser au code économique 301-02.  Si le droit initial était au service extraordinaire cela sera donc à comptabiliser au code économique 701-52 (à relier au code fonctionnel </w:t>
      </w:r>
      <w:r w:rsidRPr="0088561A">
        <w:rPr>
          <w:b/>
          <w:bCs/>
          <w:u w:val="single"/>
        </w:rPr>
        <w:t>ET</w:t>
      </w:r>
      <w:r>
        <w:t xml:space="preserve"> au N° de projet extraordinaire d’origine, càd du subside)</w:t>
      </w:r>
    </w:p>
    <w:p w14:paraId="47E58605" w14:textId="77777777" w:rsidR="003C1013" w:rsidRDefault="003C1013" w:rsidP="003C1013">
      <w:r>
        <w:t>Le cas échéant, les crédits budgétaires manquants sont à prévoir lors du plus prochain document budgétaire.</w:t>
      </w:r>
    </w:p>
    <w:p w14:paraId="4B5351B2" w14:textId="77777777" w:rsidR="003C1013" w:rsidRDefault="003C1013" w:rsidP="003C1013">
      <w:r>
        <w:t xml:space="preserve">Exemple 1 : </w:t>
      </w:r>
    </w:p>
    <w:p w14:paraId="5671F85F" w14:textId="77777777" w:rsidR="003C1013" w:rsidRDefault="003C1013" w:rsidP="003C1013">
      <w:r>
        <w:t>Montant perçu sur extrait bancaire = 80.000 € à émarger comme suit</w:t>
      </w:r>
    </w:p>
    <w:p w14:paraId="6D524520" w14:textId="77777777" w:rsidR="003C1013" w:rsidRDefault="003C1013" w:rsidP="003C1013">
      <w:r>
        <w:t>Tranche fonds de communes à percevoir 100.000 € (021/466-01) (recette)</w:t>
      </w:r>
    </w:p>
    <w:p w14:paraId="0832DD0E" w14:textId="77777777" w:rsidR="003C1013" w:rsidRDefault="003C1013" w:rsidP="003C1013">
      <w:r>
        <w:t>Facture à payer au SPW précompte immobilier : 20.000 € (124/125-10) (dépense)</w:t>
      </w:r>
    </w:p>
    <w:p w14:paraId="03D170BF" w14:textId="77777777" w:rsidR="003C1013" w:rsidRDefault="003C1013" w:rsidP="003C1013">
      <w:r>
        <w:t xml:space="preserve">Exemple 2 : </w:t>
      </w:r>
    </w:p>
    <w:p w14:paraId="14DEF022" w14:textId="77777777" w:rsidR="003C1013" w:rsidRDefault="003C1013" w:rsidP="003C1013">
      <w:r>
        <w:t>Montant perçu sur extrait bancaire = 90.000 € à émarger comme suit</w:t>
      </w:r>
    </w:p>
    <w:p w14:paraId="47AF0A4A" w14:textId="77777777" w:rsidR="003C1013" w:rsidRDefault="003C1013" w:rsidP="003C1013">
      <w:r>
        <w:t>Tranche fonds de communes à percevoir 100.000 € (021/466-01) (recette)</w:t>
      </w:r>
    </w:p>
    <w:p w14:paraId="212A8CBB" w14:textId="77777777" w:rsidR="003C1013" w:rsidRDefault="003C1013" w:rsidP="003C1013">
      <w:r>
        <w:t>Rembt au SPW trop perçu subside PCS (= NV avec rembt, svce ord) : 10.000 € (84010/301-02) (dépense)</w:t>
      </w:r>
    </w:p>
    <w:p w14:paraId="6D9A3DDF" w14:textId="77777777" w:rsidR="003C1013" w:rsidRDefault="003C1013" w:rsidP="003C1013">
      <w:r>
        <w:t xml:space="preserve">Exemple 3 : </w:t>
      </w:r>
    </w:p>
    <w:p w14:paraId="51449111" w14:textId="77777777" w:rsidR="003C1013" w:rsidRDefault="003C1013" w:rsidP="003C1013">
      <w:r>
        <w:t>Montant perçu sur extrait bancaire = 70.000 € à émarger comme suit</w:t>
      </w:r>
    </w:p>
    <w:p w14:paraId="4E7E1929" w14:textId="77777777" w:rsidR="003C1013" w:rsidRDefault="003C1013" w:rsidP="003C1013">
      <w:r>
        <w:t>Tranche fonds de communes à percevoir 100.000 € (021/466-01) (recette)</w:t>
      </w:r>
    </w:p>
    <w:p w14:paraId="56980785" w14:textId="77777777" w:rsidR="003C1013" w:rsidRDefault="003C1013" w:rsidP="003C1013">
      <w:r>
        <w:t>Rembt au SPW trop perçu subside UREBA (= NV avec rembt, svce extraord) : 30.000 € (XXX/701-52.AAAAXXXX) (dépense)</w:t>
      </w:r>
    </w:p>
    <w:p w14:paraId="3F6FF322" w14:textId="13491D76" w:rsidR="00EE0A83" w:rsidRDefault="00EE0A83" w:rsidP="00EE0A83">
      <w:pPr>
        <w:pStyle w:val="Titre2"/>
      </w:pPr>
      <w:bookmarkStart w:id="16" w:name="_Toc233626001"/>
      <w:r w:rsidRPr="0567B6BA">
        <w:t>Taxe sur la force motrice</w:t>
      </w:r>
      <w:bookmarkEnd w:id="16"/>
      <w:r>
        <w:t xml:space="preserve"> </w:t>
      </w:r>
    </w:p>
    <w:p w14:paraId="44CF361E" w14:textId="77777777" w:rsidR="00EE0A83" w:rsidRPr="00273ECB" w:rsidRDefault="00EE0A83" w:rsidP="00EE0A83"/>
    <w:p w14:paraId="5C5C03C6" w14:textId="0121F308" w:rsidR="00EE0A83" w:rsidRDefault="00EE0A83" w:rsidP="00EE0A83">
      <w:pPr>
        <w:rPr>
          <w:rFonts w:ascii="Cambria" w:eastAsia="MS Mincho" w:hAnsi="Cambria" w:cs="Calibri Light"/>
          <w:color w:val="000000" w:themeColor="text1"/>
          <w:lang w:val="fr-FR"/>
        </w:rPr>
      </w:pPr>
      <w:r>
        <w:rPr>
          <w:rFonts w:ascii="Cambria" w:eastAsia="MS Mincho" w:hAnsi="Cambria" w:cs="Calibri Light"/>
          <w:color w:val="000000" w:themeColor="text1"/>
          <w:lang w:val="fr-FR"/>
        </w:rPr>
        <w:t xml:space="preserve">J’invite les villes et communes à se référer </w:t>
      </w:r>
      <w:r w:rsidR="006B4561">
        <w:rPr>
          <w:rFonts w:ascii="Cambria" w:eastAsia="MS Mincho" w:hAnsi="Cambria" w:cs="Calibri Light"/>
          <w:color w:val="000000" w:themeColor="text1"/>
          <w:lang w:val="fr-FR"/>
        </w:rPr>
        <w:t xml:space="preserve">au décret-programme du 26 mars </w:t>
      </w:r>
      <w:r w:rsidR="00633F5F">
        <w:rPr>
          <w:rFonts w:ascii="Cambria" w:eastAsia="MS Mincho" w:hAnsi="Cambria" w:cs="Calibri Light"/>
          <w:color w:val="000000" w:themeColor="text1"/>
          <w:lang w:val="fr-FR"/>
        </w:rPr>
        <w:t>2026, à</w:t>
      </w:r>
      <w:r w:rsidR="00B87950">
        <w:rPr>
          <w:rFonts w:ascii="Cambria" w:eastAsia="MS Mincho" w:hAnsi="Cambria" w:cs="Calibri Light"/>
          <w:color w:val="000000" w:themeColor="text1"/>
          <w:lang w:val="fr-FR"/>
        </w:rPr>
        <w:t xml:space="preserve"> la </w:t>
      </w:r>
      <w:r w:rsidR="00B87950" w:rsidRPr="00A40066">
        <w:rPr>
          <w:color w:val="000000" w:themeColor="text1"/>
        </w:rPr>
        <w:t>circulaire du 23 mars 2026</w:t>
      </w:r>
      <w:r w:rsidR="00034727">
        <w:rPr>
          <w:color w:val="000000" w:themeColor="text1"/>
        </w:rPr>
        <w:t xml:space="preserve"> </w:t>
      </w:r>
      <w:r w:rsidR="00B87950">
        <w:rPr>
          <w:color w:val="000000" w:themeColor="text1"/>
        </w:rPr>
        <w:t>ainsi qu’</w:t>
      </w:r>
      <w:r>
        <w:rPr>
          <w:rFonts w:ascii="Cambria" w:eastAsia="MS Mincho" w:hAnsi="Cambria" w:cs="Calibri Light"/>
          <w:color w:val="000000" w:themeColor="text1"/>
          <w:lang w:val="fr-FR"/>
        </w:rPr>
        <w:t>au communiqué de presse du Gouvernement wallon du 17 avril 2026 sur l’ajustement budgétaire 2026.</w:t>
      </w:r>
      <w:r w:rsidRPr="00541F29">
        <w:t xml:space="preserve"> </w:t>
      </w:r>
      <w:r w:rsidRPr="00541F29">
        <w:rPr>
          <w:rFonts w:ascii="Cambria" w:eastAsia="MS Mincho" w:hAnsi="Cambria" w:cs="Calibri Light"/>
          <w:color w:val="000000" w:themeColor="text1"/>
        </w:rPr>
        <w:t xml:space="preserve">Une circulaire paraîtra en temps utile lorsque </w:t>
      </w:r>
      <w:r w:rsidRPr="00541F29">
        <w:rPr>
          <w:rFonts w:ascii="Cambria" w:eastAsia="MS Mincho" w:hAnsi="Cambria" w:cs="Calibri Light"/>
          <w:color w:val="000000" w:themeColor="text1"/>
        </w:rPr>
        <w:lastRenderedPageBreak/>
        <w:t>les discussions relatives au nouveau mécanisme concernant la taxe sur la force motrice auront abouti.</w:t>
      </w:r>
      <w:r>
        <w:rPr>
          <w:rFonts w:ascii="Cambria" w:eastAsia="MS Mincho" w:hAnsi="Cambria" w:cs="Calibri Light"/>
          <w:color w:val="000000" w:themeColor="text1"/>
        </w:rPr>
        <w:t xml:space="preserve"> La présente FAQ sera actuellement actualisée. </w:t>
      </w:r>
    </w:p>
    <w:p w14:paraId="66D62403" w14:textId="1E6E923B" w:rsidR="00EE0A83" w:rsidRPr="005C4637" w:rsidRDefault="00EE0A83" w:rsidP="00EE0A83">
      <w:pPr>
        <w:pStyle w:val="Titre2"/>
      </w:pPr>
      <w:bookmarkStart w:id="17" w:name="_Toc233626002"/>
      <w:r w:rsidRPr="005C4637">
        <w:t>Sites d’activité économique désaffectés (SAED)</w:t>
      </w:r>
      <w:bookmarkEnd w:id="17"/>
      <w:r>
        <w:t xml:space="preserve"> </w:t>
      </w:r>
    </w:p>
    <w:p w14:paraId="40306ABF" w14:textId="77777777" w:rsidR="00EE0A83" w:rsidRPr="005C4637" w:rsidRDefault="00EE0A83" w:rsidP="00EE0A83">
      <w:pPr>
        <w:pStyle w:val="Titre3"/>
        <w:numPr>
          <w:ilvl w:val="0"/>
          <w:numId w:val="0"/>
        </w:numPr>
        <w:ind w:left="426"/>
      </w:pPr>
      <w:bookmarkStart w:id="18" w:name="_Toc233626003"/>
      <w:r w:rsidRPr="000C18E5">
        <w:t>Le</w:t>
      </w:r>
      <w:r w:rsidRPr="005C4637">
        <w:t xml:space="preserve"> dispositif régional est-il pleinement opérationnel ?</w:t>
      </w:r>
      <w:bookmarkEnd w:id="18"/>
    </w:p>
    <w:p w14:paraId="1C7BEB32" w14:textId="77777777" w:rsidR="00EE0A83" w:rsidRDefault="00EE0A83" w:rsidP="00EE0A83">
      <w:pPr>
        <w:rPr>
          <w:rFonts w:ascii="Cambria" w:eastAsia="MS Mincho" w:hAnsi="Cambria" w:cs="Times New Roman"/>
        </w:rPr>
      </w:pPr>
    </w:p>
    <w:p w14:paraId="58FA8D6B" w14:textId="77777777" w:rsidR="00EE0A83" w:rsidRPr="00B2709A" w:rsidRDefault="00EE0A83" w:rsidP="00EE0A83">
      <w:pPr>
        <w:rPr>
          <w:rFonts w:ascii="Cambria" w:eastAsia="MS Mincho" w:hAnsi="Cambria" w:cs="Times New Roman"/>
        </w:rPr>
      </w:pPr>
      <w:r w:rsidRPr="00B2709A">
        <w:rPr>
          <w:rFonts w:ascii="Cambria" w:eastAsia="MS Mincho" w:hAnsi="Cambria" w:cs="Times New Roman"/>
        </w:rPr>
        <w:t>Le décret du 27 mai 2004 instaurant une taxe sur les sites d’activité économique désaffectés, tel que modifié par le décret du 19 décembre 2012 contenant le budget des recettes de la Région wallonne pour l’année budgétaire 2013, organise un dispositif régional de taxation des sites d’activité économique désaffectés.</w:t>
      </w:r>
    </w:p>
    <w:p w14:paraId="1F101AD0" w14:textId="77777777" w:rsidR="00EE0A83" w:rsidRPr="00B2709A" w:rsidRDefault="00EE0A83" w:rsidP="00EE0A83">
      <w:pPr>
        <w:rPr>
          <w:rFonts w:ascii="Cambria" w:eastAsia="MS Mincho" w:hAnsi="Cambria" w:cs="Times New Roman"/>
        </w:rPr>
      </w:pPr>
      <w:r w:rsidRPr="00B2709A">
        <w:rPr>
          <w:rFonts w:ascii="Cambria" w:eastAsia="MS Mincho" w:hAnsi="Cambria" w:cs="Times New Roman"/>
        </w:rPr>
        <w:t>Sont notamment visés les parcelles cadastrales ou ensembles de parcelles cadastrales d’une superficie supérieure à 1.000 m², après déduction des superficies exonérées, sur lesquels se trouve au moins un immeuble bâti et qui ont été utilisés pour une activité économique de nature industrielle, artisanale, agricole, horticole, commerciale ou de services.</w:t>
      </w:r>
    </w:p>
    <w:p w14:paraId="47E16857" w14:textId="77777777" w:rsidR="00EE0A83" w:rsidRPr="00B2709A" w:rsidRDefault="00EE0A83" w:rsidP="00EE0A83">
      <w:pPr>
        <w:rPr>
          <w:rFonts w:ascii="Cambria" w:eastAsia="MS Mincho" w:hAnsi="Cambria" w:cs="Times New Roman"/>
        </w:rPr>
      </w:pPr>
      <w:r w:rsidRPr="00B2709A">
        <w:rPr>
          <w:rFonts w:ascii="Cambria" w:eastAsia="MS Mincho" w:hAnsi="Cambria" w:cs="Times New Roman"/>
        </w:rPr>
        <w:t>Ce dispositif prévoit également l’intervention des communes dans le recensement et la mise à jour des sites concernés, ainsi que la possibilité de lever des centimes additionnels communaux à la taxe régionale. Toutefois, l’opérationnalisation complète de ce volet communal n’est pas finalisée, notamment en ce qui concerne la transmission d’informations complètes, leur traitement par l’administration régionale et les mouvements financiers liés aux centimes additionnels communaux. L’objectif est de permettre une première mise en œuvre à partir de l’exercice d’imposition 2027, sur la base des informations transmises pour le début du mois de décembre 2026.</w:t>
      </w:r>
    </w:p>
    <w:p w14:paraId="2D6CB616" w14:textId="77777777" w:rsidR="00EE0A83" w:rsidRPr="00B2709A" w:rsidRDefault="00EE0A83" w:rsidP="00EE0A83">
      <w:pPr>
        <w:rPr>
          <w:rFonts w:ascii="Cambria" w:eastAsia="MS Mincho" w:hAnsi="Cambria" w:cs="Times New Roman"/>
        </w:rPr>
      </w:pPr>
      <w:r w:rsidRPr="00B2709A">
        <w:rPr>
          <w:rFonts w:ascii="Cambria" w:eastAsia="MS Mincho" w:hAnsi="Cambria" w:cs="Times New Roman"/>
        </w:rPr>
        <w:t>Dans l’attente de l’effectivité complète de ce mécanisme, les communes peuvent lever une taxe communale propre sur les sites d’activité économique désaffectés, pour autant que celle-ci s’inspire de la taxe régionale, s’y fonde ou lui soit proportionnée, et qu’elle respecte les principes généraux applicables en matière de fiscalité communale.</w:t>
      </w:r>
    </w:p>
    <w:p w14:paraId="3E9233B9" w14:textId="77777777" w:rsidR="00EE0A83" w:rsidRPr="00B2709A" w:rsidRDefault="00EE0A83" w:rsidP="00EE0A83">
      <w:pPr>
        <w:rPr>
          <w:rFonts w:ascii="Cambria" w:eastAsia="MS Mincho" w:hAnsi="Cambria" w:cs="Times New Roman"/>
        </w:rPr>
      </w:pPr>
      <w:r w:rsidRPr="00B2709A">
        <w:rPr>
          <w:rFonts w:ascii="Cambria" w:eastAsia="MS Mincho" w:hAnsi="Cambria" w:cs="Times New Roman"/>
        </w:rPr>
        <w:t>Les communes sont par ailleurs invitées à prévoir dans leur règlement-taxe une clause précisant que celui-ci cessera de produire ses effets dès l’application effective du mécanisme régional et des centimes additionnels communaux. Cette clause pourrait être formulée comme suit :</w:t>
      </w:r>
    </w:p>
    <w:p w14:paraId="09D70FDC" w14:textId="77777777" w:rsidR="00EE0A83" w:rsidRDefault="00EE0A83" w:rsidP="00EE0A83">
      <w:pPr>
        <w:rPr>
          <w:rFonts w:ascii="Cambria" w:eastAsia="MS Mincho" w:hAnsi="Cambria" w:cs="Times New Roman"/>
        </w:rPr>
      </w:pPr>
      <w:r>
        <w:rPr>
          <w:rFonts w:ascii="Cambria" w:eastAsia="MS Mincho" w:hAnsi="Cambria" w:cs="Times New Roman"/>
        </w:rPr>
        <w:t>« </w:t>
      </w:r>
      <w:r w:rsidRPr="001E14BC">
        <w:rPr>
          <w:rFonts w:ascii="Cambria" w:eastAsia="MS Mincho" w:hAnsi="Cambria" w:cs="Times New Roman"/>
          <w:i/>
          <w:iCs/>
        </w:rPr>
        <w:t>Le présent règlement cessera automatiquement de produire ses effets dès lors que la taxe régionale sur les sites d'activités économiques désaffectés sera effectivement mise en œuvre et perçue par la Région wallonne. Dès ce moment, la Commune/Ville de **** appliquera exclusivement les centimes additionnels conformément à la réglementation en vigueur</w:t>
      </w:r>
      <w:r w:rsidRPr="001E14BC">
        <w:rPr>
          <w:rFonts w:ascii="Cambria" w:eastAsia="MS Mincho" w:hAnsi="Cambria" w:cs="Times New Roman"/>
        </w:rPr>
        <w:t>.</w:t>
      </w:r>
      <w:r>
        <w:rPr>
          <w:rFonts w:ascii="Cambria" w:eastAsia="MS Mincho" w:hAnsi="Cambria" w:cs="Times New Roman"/>
        </w:rPr>
        <w:t> »</w:t>
      </w:r>
    </w:p>
    <w:p w14:paraId="1A88219F" w14:textId="77777777" w:rsidR="00EE0A83" w:rsidRPr="00372B3D" w:rsidRDefault="00EE0A83" w:rsidP="00EE0A83">
      <w:pPr>
        <w:rPr>
          <w:rFonts w:ascii="Cambria" w:eastAsia="MS Mincho" w:hAnsi="Cambria" w:cs="Times New Roman"/>
        </w:rPr>
      </w:pPr>
      <w:r w:rsidRPr="00372B3D">
        <w:rPr>
          <w:rFonts w:ascii="Cambria" w:eastAsia="MS Mincho" w:hAnsi="Cambria" w:cs="Times New Roman"/>
        </w:rPr>
        <w:t>Il est enfin rappelé que la mécanique actuelle de la taxe régionale implique un délai de perception important, dès lors que deux constats sur le terrain sont nécessaires avant taxation. En outre, l’exigibilité de la taxe peut être suspendue en cas d’engagement de rénovation ou d’assainissement du site.</w:t>
      </w:r>
    </w:p>
    <w:p w14:paraId="5CDF0022" w14:textId="1FFEE051" w:rsidR="00EE0A83" w:rsidRPr="00EE0A83" w:rsidRDefault="00EE0A83" w:rsidP="00EE0A83">
      <w:pPr>
        <w:pStyle w:val="Titre2"/>
        <w:rPr>
          <w:lang w:val="fr-FR"/>
        </w:rPr>
      </w:pPr>
      <w:bookmarkStart w:id="19" w:name="_Toc233626004"/>
      <w:r w:rsidRPr="00EE0A83">
        <w:rPr>
          <w:lang w:val="fr-FR"/>
        </w:rPr>
        <w:lastRenderedPageBreak/>
        <w:t>Les redevances communales liées aux chantiers réalisés sur voiries régionales</w:t>
      </w:r>
      <w:bookmarkEnd w:id="19"/>
      <w:r w:rsidRPr="00EE0A83">
        <w:rPr>
          <w:lang w:val="fr-FR"/>
        </w:rPr>
        <w:t xml:space="preserve"> </w:t>
      </w:r>
    </w:p>
    <w:p w14:paraId="7215048C" w14:textId="77777777" w:rsidR="00EE0A83" w:rsidRPr="00463F16" w:rsidRDefault="00EE0A83" w:rsidP="00EE0A83">
      <w:pPr>
        <w:rPr>
          <w:lang w:val="fr-FR"/>
        </w:rPr>
      </w:pPr>
    </w:p>
    <w:p w14:paraId="2B5C6ACB" w14:textId="77777777" w:rsidR="00EE0A83" w:rsidRPr="00B85044" w:rsidRDefault="00EE0A83" w:rsidP="00EE0A83">
      <w:pPr>
        <w:spacing w:after="160" w:line="257" w:lineRule="auto"/>
        <w:rPr>
          <w:rFonts w:ascii="Cambria" w:eastAsia="MS Mincho" w:hAnsi="Cambria" w:cs="Times New Roman"/>
        </w:rPr>
      </w:pPr>
      <w:r w:rsidRPr="00B85044">
        <w:rPr>
          <w:rFonts w:ascii="Cambria" w:eastAsia="MS Mincho" w:hAnsi="Cambria" w:cs="Times New Roman"/>
        </w:rPr>
        <w:t xml:space="preserve">Il est rappelé que les autoroutes, routes régionales et autres voies publiques affectées à la circulation </w:t>
      </w:r>
      <w:r>
        <w:rPr>
          <w:rFonts w:ascii="Cambria" w:eastAsia="MS Mincho" w:hAnsi="Cambria" w:cs="Times New Roman"/>
        </w:rPr>
        <w:t>terrestre</w:t>
      </w:r>
      <w:r w:rsidRPr="00B85044">
        <w:rPr>
          <w:rFonts w:ascii="Cambria" w:eastAsia="MS Mincho" w:hAnsi="Cambria" w:cs="Times New Roman"/>
        </w:rPr>
        <w:t xml:space="preserve"> relevant de la gestion directe ou déléguée de la Région wallonne, ainsi que leurs dépendances, relèvent du domaine public régional, conformément au décret du 19 mars 2009 relatif à la conservation du domaine public régional routier et des voies hydrauliques.</w:t>
      </w:r>
    </w:p>
    <w:p w14:paraId="1379B202" w14:textId="77777777" w:rsidR="00EE0A83" w:rsidRPr="00B85044" w:rsidRDefault="00EE0A83" w:rsidP="00EE0A83">
      <w:pPr>
        <w:spacing w:after="160" w:line="257" w:lineRule="auto"/>
        <w:rPr>
          <w:rFonts w:ascii="Cambria" w:eastAsia="MS Mincho" w:hAnsi="Cambria" w:cs="Times New Roman"/>
        </w:rPr>
      </w:pPr>
      <w:r w:rsidRPr="00B85044">
        <w:rPr>
          <w:rFonts w:ascii="Cambria" w:eastAsia="MS Mincho" w:hAnsi="Cambria" w:cs="Times New Roman"/>
        </w:rPr>
        <w:t>La réalisation de travaux sur ce domaine public régional est soumise à l’autorisation préalable écrite de l’autorité gestionnaire compétente. Le régime applicable est précisé par l’arrêté du Gouvernement wallon du 6 décembre 2012 portant exécution de l’article 3, § 4, du décret précité, ainsi que par l’arrêté ministériel du 3 juin 2014 relatif à la demande d’autorisation d’utilisation du domaine et définissant les occupations minimes. L’autorité gestionnaire régionale est, à cet égard, le Service public de Wallonie.</w:t>
      </w:r>
    </w:p>
    <w:p w14:paraId="3EAEBC69" w14:textId="77777777" w:rsidR="00EE0A83" w:rsidRPr="00B85044" w:rsidRDefault="00EE0A83" w:rsidP="00EE0A83">
      <w:pPr>
        <w:spacing w:after="160" w:line="257" w:lineRule="auto"/>
        <w:rPr>
          <w:rFonts w:ascii="Cambria" w:eastAsia="MS Mincho" w:hAnsi="Cambria" w:cs="Times New Roman"/>
        </w:rPr>
      </w:pPr>
      <w:r w:rsidRPr="00B85044">
        <w:rPr>
          <w:rFonts w:ascii="Cambria" w:eastAsia="MS Mincho" w:hAnsi="Cambria" w:cs="Times New Roman"/>
        </w:rPr>
        <w:t>Ce régime ne préjudicie pas aux compétences que les communes sont amenées à exercer en matière de police administrative, notamment lorsqu’un chantier nécessite l’adoption de mesures temporaires de circulation, de sécurité ou d’ordre public. L’exercice de ces compétences ne peut toutefois justifier la perception d’une redevance que pour autant que celle-ci corresponde à une prestation distincte, identifiable et individualisable, rendue au bénéfice direct du redevable, et que son montant soit proportionné au coût ou à l’intérêt du service effectivement rendu.</w:t>
      </w:r>
    </w:p>
    <w:p w14:paraId="507EDF23" w14:textId="77777777" w:rsidR="00EE0A83" w:rsidRPr="00B85044" w:rsidRDefault="00EE0A83" w:rsidP="00EE0A83">
      <w:pPr>
        <w:spacing w:after="160" w:line="257" w:lineRule="auto"/>
        <w:rPr>
          <w:rFonts w:ascii="Cambria" w:eastAsia="MS Mincho" w:hAnsi="Cambria" w:cs="Times New Roman"/>
        </w:rPr>
      </w:pPr>
      <w:r w:rsidRPr="00B85044">
        <w:rPr>
          <w:rFonts w:ascii="Cambria" w:eastAsia="MS Mincho" w:hAnsi="Cambria" w:cs="Times New Roman"/>
        </w:rPr>
        <w:t>Une attention particulière sera dès lors portée aux redevances communales visant des demandes ou formalités liées à des chantiers exécutés sur des voiries régionales, en particulier lorsqu’ils sont réalisés par ou pour le compte de la Région wallonne, ou dans le cadre de l’exercice de compétences publiques. Dans ces hypothèses, la seule adoption de mesures de police administrative poursuivant une finalité d’intérêt général ne peut, en principe, être assimilée à un service individualisable rendu à la Région ou à son prestataire.</w:t>
      </w:r>
    </w:p>
    <w:p w14:paraId="2E431722" w14:textId="77777777" w:rsidR="00EE0A83" w:rsidRPr="00B85044" w:rsidRDefault="00EE0A83" w:rsidP="00EE0A83">
      <w:pPr>
        <w:spacing w:after="160" w:line="257" w:lineRule="auto"/>
        <w:rPr>
          <w:rFonts w:ascii="Cambria" w:eastAsia="MS Mincho" w:hAnsi="Cambria" w:cs="Times New Roman"/>
        </w:rPr>
      </w:pPr>
      <w:r w:rsidRPr="00B85044">
        <w:rPr>
          <w:rFonts w:ascii="Cambria" w:eastAsia="MS Mincho" w:hAnsi="Cambria" w:cs="Times New Roman"/>
        </w:rPr>
        <w:t>Les communes veilleront, le cas échéant, à pouvoir justifier précisément la nature du service rendu, son bénéficiaire direct, les coûts effectivement supportés et les modalités de calcul de la redevance. À défaut d’une telle justification, la redevance est susceptible de ne pas répondre aux conditions propres aux redevances communales, lesquelles supposent une contrepartie directe et proportionnée à un service rendu à un usager déterminé.</w:t>
      </w:r>
    </w:p>
    <w:p w14:paraId="5EDB4FE3" w14:textId="77777777" w:rsidR="00EE0A83" w:rsidRPr="006355BB" w:rsidRDefault="00EE0A83" w:rsidP="00EE0A83">
      <w:pPr>
        <w:spacing w:after="160" w:line="257" w:lineRule="auto"/>
        <w:rPr>
          <w:rFonts w:ascii="Cambria" w:eastAsia="MS Mincho" w:hAnsi="Cambria" w:cs="Times New Roman"/>
        </w:rPr>
      </w:pPr>
      <w:r w:rsidRPr="006355BB">
        <w:rPr>
          <w:rFonts w:ascii="Cambria" w:eastAsia="MS Mincho" w:hAnsi="Cambria" w:cs="Times New Roman"/>
        </w:rPr>
        <w:t>L’autorité de tutelle sera particulièrement attentive à ce que les règlements-redevances concernés reprennent une méthodologie de justification de la redevance, permettant d’identifier précisément le service communal effectivement presté, son bénéficiaire direct, les coûts supportés par la commune ainsi que les modalités de calcul du montant réclamé.</w:t>
      </w:r>
    </w:p>
    <w:p w14:paraId="1E949DD2" w14:textId="77777777" w:rsidR="00EE0A83" w:rsidRPr="006355BB" w:rsidRDefault="00EE0A83" w:rsidP="00EE0A83">
      <w:pPr>
        <w:spacing w:after="160" w:line="257" w:lineRule="auto"/>
        <w:rPr>
          <w:rFonts w:ascii="Cambria" w:eastAsia="MS Mincho" w:hAnsi="Cambria" w:cs="Times New Roman"/>
        </w:rPr>
      </w:pPr>
      <w:r w:rsidRPr="006355BB">
        <w:rPr>
          <w:rFonts w:ascii="Cambria" w:eastAsia="MS Mincho" w:hAnsi="Cambria" w:cs="Times New Roman"/>
        </w:rPr>
        <w:t>Cette justification devra également tenir compte du contexte dans lequel s’inscrivent les travaux concernés, notamment lorsque ceux-ci résultent d’investissements régionaux réalisés sur la voirie régionale au bénéfice du territoire communal.</w:t>
      </w:r>
    </w:p>
    <w:p w14:paraId="46773969" w14:textId="77777777" w:rsidR="00EE0A83" w:rsidRPr="006355BB" w:rsidRDefault="00EE0A83" w:rsidP="00EE0A83">
      <w:pPr>
        <w:spacing w:after="160" w:line="257" w:lineRule="auto"/>
        <w:rPr>
          <w:rFonts w:ascii="Cambria" w:eastAsia="MS Mincho" w:hAnsi="Cambria" w:cs="Times New Roman"/>
          <w:b/>
          <w:bCs/>
        </w:rPr>
      </w:pPr>
      <w:r w:rsidRPr="006355BB">
        <w:rPr>
          <w:rFonts w:ascii="Cambria" w:eastAsia="MS Mincho" w:hAnsi="Cambria" w:cs="Times New Roman"/>
          <w:b/>
          <w:bCs/>
        </w:rPr>
        <w:lastRenderedPageBreak/>
        <w:t>À défaut d’une telle justification</w:t>
      </w:r>
      <w:r>
        <w:rPr>
          <w:rFonts w:ascii="Cambria" w:eastAsia="MS Mincho" w:hAnsi="Cambria" w:cs="Times New Roman"/>
          <w:b/>
          <w:bCs/>
        </w:rPr>
        <w:t xml:space="preserve"> dans le règlement redevance</w:t>
      </w:r>
      <w:r w:rsidRPr="006355BB">
        <w:rPr>
          <w:rFonts w:ascii="Cambria" w:eastAsia="MS Mincho" w:hAnsi="Cambria" w:cs="Times New Roman"/>
          <w:b/>
          <w:bCs/>
        </w:rPr>
        <w:t>, le caractère de redevance pourrait ne pas être établi et la décision de tutelle pourrait conduire à la non-approbation du règlement concerné.</w:t>
      </w:r>
    </w:p>
    <w:p w14:paraId="66E24CDB" w14:textId="77777777" w:rsidR="00EE0A83" w:rsidRDefault="00EE0A83" w:rsidP="00EE0A83">
      <w:pPr>
        <w:spacing w:after="160" w:line="257" w:lineRule="auto"/>
        <w:rPr>
          <w:rFonts w:ascii="Cambria" w:eastAsia="MS Mincho" w:hAnsi="Cambria" w:cs="Times New Roman"/>
        </w:rPr>
      </w:pPr>
      <w:r w:rsidRPr="006355BB">
        <w:rPr>
          <w:rFonts w:ascii="Cambria" w:eastAsia="MS Mincho" w:hAnsi="Cambria" w:cs="Times New Roman"/>
        </w:rPr>
        <w:t>En effet, les redevances ne peuvent conduire à faire supporter à l’autorité régionale, directement ou indirectement, une charge administrative ou financière insuffisamment justifiée au regard d’un service communal effectivement presté, ni entraver de manière disproportionnée la bonne exécution de missions d’intérêt général relevant de la gestion, de l’entretien, de la sécurisation ou de l’amélioration du domaine public régional.</w:t>
      </w:r>
    </w:p>
    <w:p w14:paraId="12AB53FD" w14:textId="77777777" w:rsidR="00EE0A83" w:rsidRDefault="00EE0A83" w:rsidP="00EE0A83">
      <w:pPr>
        <w:spacing w:after="160" w:line="257" w:lineRule="auto"/>
        <w:rPr>
          <w:rFonts w:ascii="Cambria" w:eastAsia="MS Mincho" w:hAnsi="Cambria" w:cs="Times New Roman"/>
        </w:rPr>
      </w:pPr>
      <w:r w:rsidRPr="00EB2B25">
        <w:rPr>
          <w:rFonts w:ascii="Cambria" w:eastAsia="MS Mincho" w:hAnsi="Cambria" w:cs="Times New Roman"/>
        </w:rPr>
        <w:t>Il reste également à la commune la possibilité de prévoir, dans son règlement-redevance, une exonération pour les travaux relatifs aux autoroutes, aux routes régionales et aux autres voies publiques affectées à la circulation terrestre, relevant de la gestion directe ou déléguée de la Région wallonne.</w:t>
      </w:r>
    </w:p>
    <w:p w14:paraId="37ADCCC8" w14:textId="77777777" w:rsidR="00EE0A83" w:rsidRPr="00A73031" w:rsidRDefault="00EE0A83" w:rsidP="00086CF7">
      <w:pPr>
        <w:spacing w:after="160" w:line="257" w:lineRule="auto"/>
        <w:rPr>
          <w:rFonts w:ascii="Cambria" w:eastAsia="MS Mincho" w:hAnsi="Cambria" w:cs="Times New Roman"/>
        </w:rPr>
      </w:pPr>
    </w:p>
    <w:p w14:paraId="4531D16F" w14:textId="4E84AA75" w:rsidR="00DB02D3" w:rsidRPr="005C4637" w:rsidRDefault="00DB02D3" w:rsidP="00B03361">
      <w:pPr>
        <w:pStyle w:val="Titre2"/>
      </w:pPr>
      <w:bookmarkStart w:id="20" w:name="_Toc233626005"/>
      <w:r w:rsidRPr="005C4637">
        <w:t>Motivation des règlements-taxes et redevances</w:t>
      </w:r>
      <w:bookmarkEnd w:id="9"/>
      <w:bookmarkEnd w:id="10"/>
      <w:bookmarkEnd w:id="20"/>
      <w:r w:rsidR="006B33C7">
        <w:t xml:space="preserve"> </w:t>
      </w:r>
    </w:p>
    <w:p w14:paraId="233C760E" w14:textId="4F4568FC" w:rsidR="00DB02D3" w:rsidRPr="005C4637" w:rsidRDefault="00DB02D3" w:rsidP="000D6E0B">
      <w:pPr>
        <w:pStyle w:val="Titre3"/>
        <w:numPr>
          <w:ilvl w:val="0"/>
          <w:numId w:val="0"/>
        </w:numPr>
        <w:ind w:left="426"/>
      </w:pPr>
      <w:bookmarkStart w:id="21" w:name="_Toc225504062"/>
      <w:bookmarkStart w:id="22" w:name="_Toc225772150"/>
      <w:bookmarkStart w:id="23" w:name="_Toc233626006"/>
      <w:r w:rsidRPr="0023469D">
        <w:t>Pourquoi</w:t>
      </w:r>
      <w:r w:rsidRPr="005C4637">
        <w:t xml:space="preserve"> la motivation </w:t>
      </w:r>
      <w:r w:rsidR="00E40885" w:rsidRPr="005C4637">
        <w:t>écrite</w:t>
      </w:r>
      <w:r w:rsidRPr="005C4637">
        <w:t xml:space="preserve"> est-elle cruciale ?</w:t>
      </w:r>
      <w:bookmarkEnd w:id="21"/>
      <w:bookmarkEnd w:id="22"/>
      <w:bookmarkEnd w:id="23"/>
    </w:p>
    <w:p w14:paraId="10E37C29" w14:textId="71ADF497" w:rsidR="00B313ED" w:rsidRDefault="00B313ED" w:rsidP="00DB02D3">
      <w:pPr>
        <w:rPr>
          <w:rFonts w:ascii="Cambria" w:eastAsia="MS Mincho" w:hAnsi="Cambria" w:cs="Times New Roman"/>
        </w:rPr>
      </w:pPr>
    </w:p>
    <w:p w14:paraId="60405F54" w14:textId="77777777" w:rsidR="00B313ED" w:rsidRPr="00B313ED" w:rsidRDefault="00B313ED" w:rsidP="00B313ED">
      <w:pPr>
        <w:rPr>
          <w:rFonts w:ascii="Cambria" w:eastAsia="MS Mincho" w:hAnsi="Cambria" w:cs="Times New Roman"/>
        </w:rPr>
      </w:pPr>
      <w:r w:rsidRPr="00B313ED">
        <w:rPr>
          <w:rFonts w:ascii="Cambria" w:eastAsia="MS Mincho" w:hAnsi="Cambria" w:cs="Times New Roman"/>
        </w:rPr>
        <w:t xml:space="preserve">Dans le cadre des </w:t>
      </w:r>
      <w:r w:rsidRPr="00B313ED">
        <w:rPr>
          <w:rFonts w:ascii="Cambria" w:eastAsia="MS Mincho" w:hAnsi="Cambria" w:cs="Times New Roman"/>
          <w:b/>
          <w:bCs/>
        </w:rPr>
        <w:t>règlements fiscaux communaux</w:t>
      </w:r>
      <w:r w:rsidRPr="00B313ED">
        <w:rPr>
          <w:rFonts w:ascii="Cambria" w:eastAsia="MS Mincho" w:hAnsi="Cambria" w:cs="Times New Roman"/>
        </w:rPr>
        <w:t>, la motivation écrite est cruciale parce qu’elle constitue la principale protection juridique du règlement en cas de contrôle par la tutelle ou de recours devant le juge.</w:t>
      </w:r>
    </w:p>
    <w:p w14:paraId="2095FD19" w14:textId="77777777" w:rsidR="00B313ED" w:rsidRPr="00B313ED" w:rsidRDefault="00B313ED" w:rsidP="00B313ED">
      <w:pPr>
        <w:rPr>
          <w:rFonts w:ascii="Cambria" w:eastAsia="MS Mincho" w:hAnsi="Cambria" w:cs="Times New Roman"/>
        </w:rPr>
      </w:pPr>
      <w:r w:rsidRPr="00B313ED">
        <w:rPr>
          <w:rFonts w:ascii="Cambria" w:eastAsia="MS Mincho" w:hAnsi="Cambria" w:cs="Times New Roman"/>
        </w:rPr>
        <w:t xml:space="preserve">Un règlement-taxe communal n’est pas, en principe, soumis à la même obligation de motivation formelle qu’une décision administrative individuelle. Toutefois, cela ne signifie pas que la commune peut se dispenser d’expliquer ses choix. Les motifs doivent pouvoir ressortir soit du règlement lui-même, soit du préambule, soit du dossier administratif, notamment lorsqu’il existe une différence de traitement entre catégories de contribuables. La jurisprudence récente rappelle que le juge peut examiner si cette justification existe et si elle est raisonnable. </w:t>
      </w:r>
    </w:p>
    <w:p w14:paraId="351B6AEB" w14:textId="77777777" w:rsidR="00B313ED" w:rsidRPr="00B313ED" w:rsidRDefault="00B313ED" w:rsidP="00B313ED">
      <w:pPr>
        <w:rPr>
          <w:rFonts w:ascii="Cambria" w:eastAsia="MS Mincho" w:hAnsi="Cambria" w:cs="Times New Roman"/>
        </w:rPr>
      </w:pPr>
      <w:r w:rsidRPr="00B313ED">
        <w:rPr>
          <w:rFonts w:ascii="Cambria" w:eastAsia="MS Mincho" w:hAnsi="Cambria" w:cs="Times New Roman"/>
        </w:rPr>
        <w:t>La motivation écrite est donc essentielle pour plusieurs raisons.</w:t>
      </w:r>
    </w:p>
    <w:p w14:paraId="77E1941B" w14:textId="77777777" w:rsidR="00B313ED" w:rsidRPr="00B313ED" w:rsidRDefault="00B313ED" w:rsidP="00B313ED">
      <w:pPr>
        <w:rPr>
          <w:rFonts w:ascii="Cambria" w:eastAsia="MS Mincho" w:hAnsi="Cambria" w:cs="Times New Roman"/>
        </w:rPr>
      </w:pPr>
      <w:r w:rsidRPr="00B313ED">
        <w:rPr>
          <w:rFonts w:ascii="Cambria" w:eastAsia="MS Mincho" w:hAnsi="Cambria" w:cs="Times New Roman"/>
        </w:rPr>
        <w:t xml:space="preserve">D’abord, elle permet de démontrer </w:t>
      </w:r>
      <w:r w:rsidRPr="00B313ED">
        <w:rPr>
          <w:rFonts w:ascii="Cambria" w:eastAsia="MS Mincho" w:hAnsi="Cambria" w:cs="Times New Roman"/>
          <w:b/>
          <w:bCs/>
        </w:rPr>
        <w:t>l’objectif poursuivi par la commune</w:t>
      </w:r>
      <w:r w:rsidRPr="00B313ED">
        <w:rPr>
          <w:rFonts w:ascii="Cambria" w:eastAsia="MS Mincho" w:hAnsi="Cambria" w:cs="Times New Roman"/>
        </w:rPr>
        <w:t xml:space="preserve"> : couvrir les besoins financiers, assurer une juste contribution à certaines charges publiques, réguler une situation locale particulière ou tenir compte d’impacts spécifiques sur le territoire communal. La Région rappelle d’ailleurs que les communes disposent d’une liberté fiscale, mais que celle-ci doit s’inscrire dans le respect de l’intérêt général et d’une politique fiscale cohérente. </w:t>
      </w:r>
    </w:p>
    <w:p w14:paraId="23FBCEBD" w14:textId="77777777" w:rsidR="00B313ED" w:rsidRPr="00B313ED" w:rsidRDefault="00B313ED" w:rsidP="00B313ED">
      <w:pPr>
        <w:rPr>
          <w:rFonts w:ascii="Cambria" w:eastAsia="MS Mincho" w:hAnsi="Cambria" w:cs="Times New Roman"/>
        </w:rPr>
      </w:pPr>
      <w:r w:rsidRPr="00B313ED">
        <w:rPr>
          <w:rFonts w:ascii="Cambria" w:eastAsia="MS Mincho" w:hAnsi="Cambria" w:cs="Times New Roman"/>
        </w:rPr>
        <w:t xml:space="preserve">Ensuite, elle permet de justifier </w:t>
      </w:r>
      <w:r w:rsidRPr="00B313ED">
        <w:rPr>
          <w:rFonts w:ascii="Cambria" w:eastAsia="MS Mincho" w:hAnsi="Cambria" w:cs="Times New Roman"/>
          <w:b/>
          <w:bCs/>
        </w:rPr>
        <w:t>les choix opérés dans le règlement</w:t>
      </w:r>
      <w:r w:rsidRPr="00B313ED">
        <w:rPr>
          <w:rFonts w:ascii="Cambria" w:eastAsia="MS Mincho" w:hAnsi="Cambria" w:cs="Times New Roman"/>
        </w:rPr>
        <w:t xml:space="preserve"> : l’assiette de la taxe, le taux, les exonérations, les catégories de redevables, les éventuelles distinctions entre contribuables ou encore la période d’application. C’est particulièrement important au regard des principes constitutionnels d’égalité et de non-discrimination. Une différence de traitement n’est admissible que si elle repose sur un critère objectif et raisonnablement justifié. </w:t>
      </w:r>
    </w:p>
    <w:p w14:paraId="0E36F71D" w14:textId="77777777" w:rsidR="00B313ED" w:rsidRPr="00B313ED" w:rsidRDefault="00B313ED" w:rsidP="00B313ED">
      <w:pPr>
        <w:rPr>
          <w:rFonts w:ascii="Cambria" w:eastAsia="MS Mincho" w:hAnsi="Cambria" w:cs="Times New Roman"/>
        </w:rPr>
      </w:pPr>
      <w:r w:rsidRPr="00B313ED">
        <w:rPr>
          <w:rFonts w:ascii="Cambria" w:eastAsia="MS Mincho" w:hAnsi="Cambria" w:cs="Times New Roman"/>
        </w:rPr>
        <w:lastRenderedPageBreak/>
        <w:t>Elle permet également de réduire le risque d’annulation. En l’absence de motivation suffisante, une taxe peut être contestée au motif que la commune n’a pas établi le lien entre la mesure fiscale et l’objectif poursuivi, ou qu’elle n’a pas justifié pourquoi certains contribuables sont taxés et d’autres non. Le risque est encore plus élevé lorsque le règlement prévoit des exonérations, des taux différenciés ou vise une catégorie économique précise.</w:t>
      </w:r>
    </w:p>
    <w:p w14:paraId="6DB2CDD4" w14:textId="5B7AC628" w:rsidR="00B313ED" w:rsidRPr="00B313ED" w:rsidRDefault="00B313ED" w:rsidP="00B313ED">
      <w:pPr>
        <w:rPr>
          <w:rFonts w:ascii="Cambria" w:eastAsia="MS Mincho" w:hAnsi="Cambria" w:cs="Times New Roman"/>
        </w:rPr>
      </w:pPr>
      <w:r w:rsidRPr="00B313ED">
        <w:rPr>
          <w:rFonts w:ascii="Cambria" w:eastAsia="MS Mincho" w:hAnsi="Cambria" w:cs="Times New Roman"/>
        </w:rPr>
        <w:t>Enfin, la motivation écrite protège aussi la commune sur le plan pratique : elle montre que le conseil communal a pris sa décision en connaissance de cause, permet de répondre aux réclamations des contribuables et renforce la lisibilité politique du règlemen</w:t>
      </w:r>
      <w:r>
        <w:rPr>
          <w:rFonts w:ascii="Cambria" w:eastAsia="MS Mincho" w:hAnsi="Cambria" w:cs="Times New Roman"/>
        </w:rPr>
        <w:t>t</w:t>
      </w:r>
    </w:p>
    <w:p w14:paraId="798C460B" w14:textId="6E94A025" w:rsidR="00DB02D3" w:rsidRPr="005C4637" w:rsidRDefault="00DB02D3" w:rsidP="00B03361">
      <w:pPr>
        <w:pStyle w:val="Titre2"/>
      </w:pPr>
      <w:bookmarkStart w:id="24" w:name="_Toc233626007"/>
      <w:bookmarkStart w:id="25" w:name="_Toc225504063"/>
      <w:bookmarkStart w:id="26" w:name="_Toc225772151"/>
      <w:bookmarkStart w:id="27" w:name="_Toc233626008"/>
      <w:bookmarkEnd w:id="24"/>
      <w:r w:rsidRPr="005C4637">
        <w:t>Taxe forfaitaire sur une activité économique</w:t>
      </w:r>
      <w:bookmarkEnd w:id="25"/>
      <w:bookmarkEnd w:id="26"/>
      <w:bookmarkEnd w:id="27"/>
    </w:p>
    <w:p w14:paraId="1567FC4D" w14:textId="1FAADCE1" w:rsidR="00DB02D3" w:rsidRPr="005C4637" w:rsidRDefault="00DB02D3" w:rsidP="000D6E0B">
      <w:pPr>
        <w:pStyle w:val="Titre3"/>
        <w:numPr>
          <w:ilvl w:val="0"/>
          <w:numId w:val="0"/>
        </w:numPr>
        <w:ind w:left="426"/>
      </w:pPr>
      <w:bookmarkStart w:id="28" w:name="_Toc225504064"/>
      <w:bookmarkStart w:id="29" w:name="_Toc225772152"/>
      <w:bookmarkStart w:id="30" w:name="_Toc233626009"/>
      <w:r w:rsidRPr="005C4637">
        <w:t>Quel enseignement de l’arrêt de Cassation du 19/04/2021 ?</w:t>
      </w:r>
      <w:bookmarkEnd w:id="28"/>
      <w:bookmarkEnd w:id="29"/>
      <w:bookmarkEnd w:id="30"/>
    </w:p>
    <w:p w14:paraId="6438DFE3" w14:textId="017FAD9C" w:rsidR="00F64563" w:rsidRDefault="00F64563" w:rsidP="00F02E51">
      <w:pPr>
        <w:rPr>
          <w:rFonts w:ascii="Cambria" w:eastAsia="MS Mincho" w:hAnsi="Cambria" w:cs="Times New Roman"/>
        </w:rPr>
      </w:pPr>
    </w:p>
    <w:p w14:paraId="676BD11C" w14:textId="5054E743" w:rsidR="00F02E51" w:rsidRPr="00722670" w:rsidRDefault="00F02E51" w:rsidP="00F02E51">
      <w:pPr>
        <w:rPr>
          <w:rFonts w:ascii="Cambria" w:eastAsia="MS Mincho" w:hAnsi="Cambria" w:cs="Times New Roman"/>
        </w:rPr>
      </w:pPr>
      <w:r w:rsidRPr="00F02E51">
        <w:rPr>
          <w:rFonts w:ascii="Cambria" w:eastAsia="MS Mincho" w:hAnsi="Cambria" w:cs="Times New Roman"/>
        </w:rPr>
        <w:t>L’e</w:t>
      </w:r>
      <w:r w:rsidRPr="00722670">
        <w:rPr>
          <w:rFonts w:ascii="Cambria" w:eastAsia="MS Mincho" w:hAnsi="Cambria" w:cs="Times New Roman"/>
        </w:rPr>
        <w:t>nseignement principal est qu’une taxe communale forfaitaire unique sur l’exercice d’une activité économique est juridiquement fragile lorsqu’elle ne tient compte d’aucun indice permettant d’apprécier l’ampleur réelle de l’activité.</w:t>
      </w:r>
    </w:p>
    <w:p w14:paraId="2E420992" w14:textId="741FAD26" w:rsidR="00F02E51" w:rsidRPr="00F02E51" w:rsidRDefault="00F02E51" w:rsidP="00F02E51">
      <w:pPr>
        <w:rPr>
          <w:rFonts w:ascii="Cambria" w:eastAsia="MS Mincho" w:hAnsi="Cambria" w:cs="Times New Roman"/>
        </w:rPr>
      </w:pPr>
      <w:r w:rsidRPr="00722670">
        <w:rPr>
          <w:rFonts w:ascii="Cambria" w:eastAsia="MS Mincho" w:hAnsi="Cambria" w:cs="Times New Roman"/>
        </w:rPr>
        <w:t>Dans l’arrêt Cass., 19 avril 2021, F.20.0132.F., la Cour de cassation a validé le raisonnement selon lequel un règlement-taxe sur les bars, appliquant un taux forfaitaire unique à tous les établissements, méconnaît le principe d’égalité devant l’impôt lorsqu’il frappe l’activité économique sans tenir compte d’indices objectifs tels que la superficie, l’importance du personnel ou le chiffre d’affaires.</w:t>
      </w:r>
      <w:r w:rsidR="00722670">
        <w:rPr>
          <w:rFonts w:ascii="Cambria" w:eastAsia="MS Mincho" w:hAnsi="Cambria" w:cs="Times New Roman"/>
        </w:rPr>
        <w:t xml:space="preserve"> U</w:t>
      </w:r>
      <w:r w:rsidRPr="00F02E51">
        <w:rPr>
          <w:rFonts w:ascii="Cambria" w:eastAsia="MS Mincho" w:hAnsi="Cambria" w:cs="Times New Roman"/>
        </w:rPr>
        <w:t xml:space="preserve">n tel forfait traite de manière identique des établissements qui, bien qu’exerçant la même activité, se trouvent dans des situations essentiellement différentes du point de vue de leur capacité contributive. </w:t>
      </w:r>
    </w:p>
    <w:p w14:paraId="3675FD2E" w14:textId="77777777" w:rsidR="00F02E51" w:rsidRPr="00F02E51" w:rsidRDefault="00F02E51" w:rsidP="00F02E51">
      <w:pPr>
        <w:rPr>
          <w:rFonts w:ascii="Cambria" w:eastAsia="MS Mincho" w:hAnsi="Cambria" w:cs="Times New Roman"/>
        </w:rPr>
      </w:pPr>
      <w:r w:rsidRPr="00F02E51">
        <w:rPr>
          <w:rFonts w:ascii="Cambria" w:eastAsia="MS Mincho" w:hAnsi="Cambria" w:cs="Times New Roman"/>
        </w:rPr>
        <w:t xml:space="preserve">Concrètement, </w:t>
      </w:r>
      <w:r w:rsidRPr="004F2DB3">
        <w:rPr>
          <w:rFonts w:ascii="Cambria" w:eastAsia="MS Mincho" w:hAnsi="Cambria" w:cs="Times New Roman"/>
        </w:rPr>
        <w:t>l’arrêt n’interdit pas toute taxe forfaitaire, mais il impose une vigilance : le forfait ne peut pas être aveugle. Si la commune taxe une activité économique, elle doit pouvoir justifier que le montant est adapté</w:t>
      </w:r>
      <w:r w:rsidRPr="00F02E51">
        <w:rPr>
          <w:rFonts w:ascii="Cambria" w:eastAsia="MS Mincho" w:hAnsi="Cambria" w:cs="Times New Roman"/>
        </w:rPr>
        <w:t xml:space="preserve"> ou modulé selon un critère objectif et raisonnable en lien avec l’ampleur de l’activité ou avec la capacité contributive du redevable.</w:t>
      </w:r>
    </w:p>
    <w:p w14:paraId="677EB110" w14:textId="548D9975" w:rsidR="00F02E51" w:rsidRPr="00F02E51" w:rsidRDefault="00F02E51" w:rsidP="00F02E51">
      <w:pPr>
        <w:rPr>
          <w:rFonts w:ascii="Cambria" w:eastAsia="MS Mincho" w:hAnsi="Cambria" w:cs="Times New Roman"/>
        </w:rPr>
      </w:pPr>
      <w:r w:rsidRPr="00F02E51">
        <w:rPr>
          <w:rFonts w:ascii="Cambria" w:eastAsia="MS Mincho" w:hAnsi="Cambria" w:cs="Times New Roman"/>
        </w:rPr>
        <w:t>Les critères de modulation généralement admis ou recommandés sont notamment</w:t>
      </w:r>
      <w:r w:rsidR="00313B7D">
        <w:rPr>
          <w:rFonts w:ascii="Cambria" w:eastAsia="MS Mincho" w:hAnsi="Cambria" w:cs="Times New Roman"/>
        </w:rPr>
        <w:t xml:space="preserve"> (liste non exhaustive)</w:t>
      </w:r>
      <w:r w:rsidRPr="00F02E51">
        <w:rPr>
          <w:rFonts w:ascii="Cambria" w:eastAsia="MS Mincho" w:hAnsi="Cambria" w:cs="Times New Roman"/>
        </w:rPr>
        <w:t xml:space="preserve"> :</w:t>
      </w:r>
    </w:p>
    <w:p w14:paraId="025BAD79" w14:textId="77777777" w:rsidR="00F02E51" w:rsidRPr="00F02E51" w:rsidRDefault="00F02E51">
      <w:pPr>
        <w:numPr>
          <w:ilvl w:val="0"/>
          <w:numId w:val="214"/>
        </w:numPr>
        <w:rPr>
          <w:rFonts w:ascii="Cambria" w:eastAsia="MS Mincho" w:hAnsi="Cambria" w:cs="Times New Roman"/>
        </w:rPr>
      </w:pPr>
      <w:r w:rsidRPr="00F02E51">
        <w:rPr>
          <w:rFonts w:ascii="Cambria" w:eastAsia="MS Mincho" w:hAnsi="Cambria" w:cs="Times New Roman"/>
        </w:rPr>
        <w:t xml:space="preserve">la superficie exploitée ; </w:t>
      </w:r>
    </w:p>
    <w:p w14:paraId="121ABBB3" w14:textId="77777777" w:rsidR="00F02E51" w:rsidRPr="00F02E51" w:rsidRDefault="00F02E51">
      <w:pPr>
        <w:numPr>
          <w:ilvl w:val="0"/>
          <w:numId w:val="214"/>
        </w:numPr>
        <w:rPr>
          <w:rFonts w:ascii="Cambria" w:eastAsia="MS Mincho" w:hAnsi="Cambria" w:cs="Times New Roman"/>
        </w:rPr>
      </w:pPr>
      <w:r w:rsidRPr="00F02E51">
        <w:rPr>
          <w:rFonts w:ascii="Cambria" w:eastAsia="MS Mincho" w:hAnsi="Cambria" w:cs="Times New Roman"/>
        </w:rPr>
        <w:t xml:space="preserve">le nombre de travailleurs ou l’importance du personnel ; </w:t>
      </w:r>
    </w:p>
    <w:p w14:paraId="269F731C" w14:textId="77777777" w:rsidR="00F02E51" w:rsidRPr="00F02E51" w:rsidRDefault="00F02E51">
      <w:pPr>
        <w:numPr>
          <w:ilvl w:val="0"/>
          <w:numId w:val="214"/>
        </w:numPr>
        <w:rPr>
          <w:rFonts w:ascii="Cambria" w:eastAsia="MS Mincho" w:hAnsi="Cambria" w:cs="Times New Roman"/>
        </w:rPr>
      </w:pPr>
      <w:r w:rsidRPr="00F02E51">
        <w:rPr>
          <w:rFonts w:ascii="Cambria" w:eastAsia="MS Mincho" w:hAnsi="Cambria" w:cs="Times New Roman"/>
        </w:rPr>
        <w:t xml:space="preserve">le chiffre d’affaires ; </w:t>
      </w:r>
    </w:p>
    <w:p w14:paraId="4E0FC2AD" w14:textId="77777777" w:rsidR="00F02E51" w:rsidRPr="00F02E51" w:rsidRDefault="00F02E51">
      <w:pPr>
        <w:numPr>
          <w:ilvl w:val="0"/>
          <w:numId w:val="214"/>
        </w:numPr>
        <w:rPr>
          <w:rFonts w:ascii="Cambria" w:eastAsia="MS Mincho" w:hAnsi="Cambria" w:cs="Times New Roman"/>
        </w:rPr>
      </w:pPr>
      <w:r w:rsidRPr="00F02E51">
        <w:rPr>
          <w:rFonts w:ascii="Cambria" w:eastAsia="MS Mincho" w:hAnsi="Cambria" w:cs="Times New Roman"/>
        </w:rPr>
        <w:t xml:space="preserve">le caractère principal ou accessoire de l’activité ; </w:t>
      </w:r>
    </w:p>
    <w:p w14:paraId="4DAC47F4" w14:textId="77777777" w:rsidR="00F02E51" w:rsidRPr="00F02E51" w:rsidRDefault="00F02E51">
      <w:pPr>
        <w:numPr>
          <w:ilvl w:val="0"/>
          <w:numId w:val="214"/>
        </w:numPr>
        <w:rPr>
          <w:rFonts w:ascii="Cambria" w:eastAsia="MS Mincho" w:hAnsi="Cambria" w:cs="Times New Roman"/>
        </w:rPr>
      </w:pPr>
      <w:r w:rsidRPr="00F02E51">
        <w:rPr>
          <w:rFonts w:ascii="Cambria" w:eastAsia="MS Mincho" w:hAnsi="Cambria" w:cs="Times New Roman"/>
        </w:rPr>
        <w:t xml:space="preserve">éventuellement, des catégories de surfaces ou de capacité d’accueil. </w:t>
      </w:r>
    </w:p>
    <w:p w14:paraId="65514510" w14:textId="7E56B101" w:rsidR="00F02E51" w:rsidRPr="00F02E51" w:rsidRDefault="00313B7D" w:rsidP="00F02E51">
      <w:pPr>
        <w:rPr>
          <w:rFonts w:ascii="Cambria" w:eastAsia="MS Mincho" w:hAnsi="Cambria" w:cs="Times New Roman"/>
        </w:rPr>
      </w:pPr>
      <w:r>
        <w:rPr>
          <w:rFonts w:ascii="Cambria" w:eastAsia="MS Mincho" w:hAnsi="Cambria" w:cs="Times New Roman"/>
        </w:rPr>
        <w:t>C</w:t>
      </w:r>
      <w:r w:rsidR="00F02E51" w:rsidRPr="00F02E51">
        <w:rPr>
          <w:rFonts w:ascii="Cambria" w:eastAsia="MS Mincho" w:hAnsi="Cambria" w:cs="Times New Roman"/>
        </w:rPr>
        <w:t xml:space="preserve">ette jurisprudence doit être prise en compte dans tous les cas où les communes avaient l’habitude de taxer un établissement de manière forfaitaire, et cite notamment les magasins </w:t>
      </w:r>
      <w:r w:rsidR="00F02E51" w:rsidRPr="00F02E51">
        <w:rPr>
          <w:rFonts w:ascii="Cambria" w:eastAsia="MS Mincho" w:hAnsi="Cambria" w:cs="Times New Roman"/>
        </w:rPr>
        <w:lastRenderedPageBreak/>
        <w:t xml:space="preserve">de nuit, phone-shops, bars à chicha et cannabis-shops comme catégories pour lesquelles le mode de taxation avait déjà été adapté. </w:t>
      </w:r>
    </w:p>
    <w:p w14:paraId="0B8D5DF2" w14:textId="5784931F" w:rsidR="00DB02D3" w:rsidRPr="007D2FE0" w:rsidRDefault="00DB02D3" w:rsidP="00B03361">
      <w:pPr>
        <w:pStyle w:val="Titre2"/>
      </w:pPr>
      <w:bookmarkStart w:id="31" w:name="_Toc233626010"/>
      <w:bookmarkStart w:id="32" w:name="_Toc225504073"/>
      <w:bookmarkStart w:id="33" w:name="_Toc225772161"/>
      <w:bookmarkStart w:id="34" w:name="_Toc233626011"/>
      <w:bookmarkEnd w:id="31"/>
      <w:r w:rsidRPr="007D2FE0">
        <w:t>Taxes et redevances spécialement motivées par une situation particulière</w:t>
      </w:r>
      <w:bookmarkEnd w:id="32"/>
      <w:bookmarkEnd w:id="33"/>
      <w:bookmarkEnd w:id="34"/>
      <w:r w:rsidR="006B33C7" w:rsidRPr="007D2FE0">
        <w:t xml:space="preserve"> </w:t>
      </w:r>
    </w:p>
    <w:p w14:paraId="00A959B0" w14:textId="5D39EFC1" w:rsidR="000344E8" w:rsidRPr="007D2FE0" w:rsidRDefault="000344E8" w:rsidP="00BA5C86">
      <w:pPr>
        <w:pStyle w:val="Titre3"/>
        <w:numPr>
          <w:ilvl w:val="0"/>
          <w:numId w:val="0"/>
        </w:numPr>
        <w:ind w:left="426"/>
      </w:pPr>
      <w:bookmarkStart w:id="35" w:name="_Toc233626012"/>
      <w:bookmarkStart w:id="36" w:name="_Toc225504074"/>
      <w:bookmarkStart w:id="37" w:name="_Toc225772162"/>
      <w:r w:rsidRPr="007D2FE0">
        <w:t>Quel est le principe général</w:t>
      </w:r>
      <w:r w:rsidR="005E050A" w:rsidRPr="007D2FE0">
        <w:t> ?</w:t>
      </w:r>
      <w:bookmarkEnd w:id="35"/>
    </w:p>
    <w:p w14:paraId="2519B23E" w14:textId="35E54805" w:rsidR="005E050A" w:rsidRPr="007D2FE0" w:rsidRDefault="005E050A" w:rsidP="00BE0C58">
      <w:r w:rsidRPr="007D2FE0">
        <w:t xml:space="preserve">Une commune wallonne peut instaurer des taxes et des redevances, dans le respect de son autonomie fiscale, mais cette autonomie doit se concilier avec l’intérêt général et avec le cadre régional de tutelle. Le SPW rappelle que les communes sont libres de lever des taxes et redevances, tout en veillant à ce que la fiscalité locale s’inscrive dans un cadre global cohérent pour les citoyens et les entreprises. </w:t>
      </w:r>
    </w:p>
    <w:p w14:paraId="14CDDDAF" w14:textId="36DABD78" w:rsidR="005E050A" w:rsidRPr="007D2FE0" w:rsidRDefault="005E050A" w:rsidP="00BE0C58">
      <w:r w:rsidRPr="007D2FE0">
        <w:t>Une taxe ou une redevance spécialement motivée par une situation particulière doit donc être envisagée avec prudence : elle ne peut pas apparaître comme une mesure opportuniste, ciblée arbitrairement ou insuffisamment justifiée.</w:t>
      </w:r>
    </w:p>
    <w:p w14:paraId="4959C748" w14:textId="5CD1B8B3" w:rsidR="00DB02D3" w:rsidRPr="007D2FE0" w:rsidRDefault="00DB02D3" w:rsidP="00BA5C86">
      <w:pPr>
        <w:pStyle w:val="Titre3"/>
        <w:numPr>
          <w:ilvl w:val="0"/>
          <w:numId w:val="0"/>
        </w:numPr>
        <w:ind w:left="426"/>
      </w:pPr>
      <w:bookmarkStart w:id="38" w:name="_Toc233626013"/>
      <w:r w:rsidRPr="007D2FE0">
        <w:t>Quand les envisager ?</w:t>
      </w:r>
      <w:bookmarkEnd w:id="36"/>
      <w:bookmarkEnd w:id="37"/>
      <w:bookmarkEnd w:id="38"/>
    </w:p>
    <w:p w14:paraId="5C7A6BB3" w14:textId="74A78F21" w:rsidR="000344E8" w:rsidRPr="007D2FE0" w:rsidRDefault="000344E8" w:rsidP="00DB02D3">
      <w:pPr>
        <w:rPr>
          <w:rFonts w:ascii="Cambria" w:eastAsia="MS Mincho" w:hAnsi="Cambria" w:cs="Times New Roman"/>
        </w:rPr>
      </w:pPr>
    </w:p>
    <w:p w14:paraId="6281F223" w14:textId="77777777" w:rsidR="00B64A36" w:rsidRPr="007D2FE0" w:rsidRDefault="00B64A36" w:rsidP="00B64A36">
      <w:pPr>
        <w:rPr>
          <w:rFonts w:ascii="Cambria" w:eastAsia="MS Mincho" w:hAnsi="Cambria" w:cs="Times New Roman"/>
        </w:rPr>
      </w:pPr>
      <w:r w:rsidRPr="007D2FE0">
        <w:rPr>
          <w:rFonts w:ascii="Cambria" w:eastAsia="MS Mincho" w:hAnsi="Cambria" w:cs="Times New Roman"/>
        </w:rPr>
        <w:t>Elles peuvent être envisagées lorsque la commune est confrontée à une situation locale objectivable, spécifique et documentée, par exemple :</w:t>
      </w:r>
    </w:p>
    <w:p w14:paraId="2E3306C0" w14:textId="286C3E6C" w:rsidR="00B64A36" w:rsidRPr="007D2FE0" w:rsidRDefault="00B64A36">
      <w:pPr>
        <w:numPr>
          <w:ilvl w:val="0"/>
          <w:numId w:val="215"/>
        </w:numPr>
        <w:rPr>
          <w:rFonts w:ascii="Cambria" w:eastAsia="MS Mincho" w:hAnsi="Cambria" w:cs="Times New Roman"/>
        </w:rPr>
      </w:pPr>
      <w:r w:rsidRPr="007D2FE0">
        <w:rPr>
          <w:rFonts w:ascii="Cambria" w:eastAsia="MS Mincho" w:hAnsi="Cambria" w:cs="Times New Roman"/>
        </w:rPr>
        <w:t xml:space="preserve">Une charge particulière supportée par la commune : par exemple, une activité générant des coûts supplémentaires en matière de propreté publique, de sécurité, de mobilité, de contrôle administratif, d’usure de voiries ou de gestion environnementale. </w:t>
      </w:r>
    </w:p>
    <w:p w14:paraId="7696CC03" w14:textId="5AA50F51" w:rsidR="00B64A36" w:rsidRPr="007D2FE0" w:rsidRDefault="00B64A36">
      <w:pPr>
        <w:numPr>
          <w:ilvl w:val="0"/>
          <w:numId w:val="215"/>
        </w:numPr>
        <w:rPr>
          <w:rFonts w:ascii="Cambria" w:eastAsia="MS Mincho" w:hAnsi="Cambria" w:cs="Times New Roman"/>
        </w:rPr>
      </w:pPr>
      <w:r w:rsidRPr="007D2FE0">
        <w:rPr>
          <w:rFonts w:ascii="Cambria" w:eastAsia="MS Mincho" w:hAnsi="Cambria" w:cs="Times New Roman"/>
        </w:rPr>
        <w:t xml:space="preserve">Une pression locale atypique : par exemple, une concentration d’activités économiques, touristiques, événementielles, logistiques ou immobilières qui crée un impact supérieur à celui observé dans d’autres communes. </w:t>
      </w:r>
    </w:p>
    <w:p w14:paraId="121D8E3F" w14:textId="7A1A9B2E" w:rsidR="00B64A36" w:rsidRPr="007D2FE0" w:rsidRDefault="00B64A36">
      <w:pPr>
        <w:numPr>
          <w:ilvl w:val="0"/>
          <w:numId w:val="215"/>
        </w:numPr>
        <w:rPr>
          <w:rFonts w:ascii="Cambria" w:eastAsia="MS Mincho" w:hAnsi="Cambria" w:cs="Times New Roman"/>
        </w:rPr>
      </w:pPr>
      <w:r w:rsidRPr="007D2FE0">
        <w:rPr>
          <w:rFonts w:ascii="Cambria" w:eastAsia="MS Mincho" w:hAnsi="Cambria" w:cs="Times New Roman"/>
        </w:rPr>
        <w:t xml:space="preserve">La nécessité d’encadrer l’usage d’un service communal ou du domaine public : dans ce cas, la redevance est souvent plus appropriée que la taxe, à condition qu’il existe une contrepartie identifiable. </w:t>
      </w:r>
    </w:p>
    <w:p w14:paraId="12E6C3CE" w14:textId="5C98F377" w:rsidR="00B64A36" w:rsidRPr="007D2FE0" w:rsidRDefault="00B64A36">
      <w:pPr>
        <w:numPr>
          <w:ilvl w:val="0"/>
          <w:numId w:val="215"/>
        </w:numPr>
        <w:rPr>
          <w:rFonts w:ascii="Cambria" w:eastAsia="MS Mincho" w:hAnsi="Cambria" w:cs="Times New Roman"/>
        </w:rPr>
      </w:pPr>
      <w:r w:rsidRPr="007D2FE0">
        <w:rPr>
          <w:rFonts w:ascii="Cambria" w:eastAsia="MS Mincho" w:hAnsi="Cambria" w:cs="Times New Roman"/>
        </w:rPr>
        <w:t xml:space="preserve">Un besoin de financement lié à une politique locale déterminée : une taxe peut poursuivre un objectif financier, mais également un objectif d’orientation ou de régulation, pour autant que la justification soit admissible et proportionnée. </w:t>
      </w:r>
    </w:p>
    <w:p w14:paraId="39F2832A" w14:textId="54AAE2BB" w:rsidR="00B64A36" w:rsidRPr="007D2FE0" w:rsidRDefault="00B64A36">
      <w:pPr>
        <w:numPr>
          <w:ilvl w:val="0"/>
          <w:numId w:val="215"/>
        </w:numPr>
        <w:rPr>
          <w:rFonts w:ascii="Cambria" w:eastAsia="MS Mincho" w:hAnsi="Cambria" w:cs="Times New Roman"/>
        </w:rPr>
      </w:pPr>
      <w:r w:rsidRPr="007D2FE0">
        <w:rPr>
          <w:rFonts w:ascii="Cambria" w:eastAsia="MS Mincho" w:hAnsi="Cambria" w:cs="Times New Roman"/>
        </w:rPr>
        <w:t xml:space="preserve">Une situation nouvelle ou exceptionnelle : par exemple, une évolution réglementaire, économique ou territoriale qui fait peser de nouvelles charges sur la commune. </w:t>
      </w:r>
    </w:p>
    <w:p w14:paraId="279EA71E" w14:textId="77777777" w:rsidR="00B64A36" w:rsidRPr="007D2FE0" w:rsidRDefault="00B64A36" w:rsidP="00B64A36">
      <w:pPr>
        <w:rPr>
          <w:rFonts w:ascii="Cambria" w:eastAsia="MS Mincho" w:hAnsi="Cambria" w:cs="Times New Roman"/>
        </w:rPr>
      </w:pPr>
      <w:r w:rsidRPr="007D2FE0">
        <w:rPr>
          <w:rFonts w:ascii="Cambria" w:eastAsia="MS Mincho" w:hAnsi="Cambria" w:cs="Times New Roman"/>
        </w:rPr>
        <w:t>En revanche, il convient d’éviter ce type de dispositif si la motivation repose uniquement sur une volonté de faire contribuer une catégorie déterminée de redevables sans lien clair avec la situation locale ou avec les charges communales.</w:t>
      </w:r>
    </w:p>
    <w:p w14:paraId="29DB4BB0" w14:textId="3E124175" w:rsidR="00813096" w:rsidRPr="007D2FE0" w:rsidRDefault="00813096" w:rsidP="00813096">
      <w:pPr>
        <w:pStyle w:val="Titre3"/>
        <w:numPr>
          <w:ilvl w:val="0"/>
          <w:numId w:val="0"/>
        </w:numPr>
        <w:ind w:left="426"/>
      </w:pPr>
      <w:bookmarkStart w:id="39" w:name="_Toc233626014"/>
      <w:r w:rsidRPr="007D2FE0">
        <w:lastRenderedPageBreak/>
        <w:t>Taxe ou redevance ?</w:t>
      </w:r>
      <w:bookmarkEnd w:id="39"/>
    </w:p>
    <w:p w14:paraId="55D5B48C" w14:textId="77777777" w:rsidR="00992E18" w:rsidRPr="007D2FE0" w:rsidRDefault="00992E18" w:rsidP="00992E18">
      <w:pPr>
        <w:rPr>
          <w:rFonts w:ascii="Cambria" w:eastAsia="MS Mincho" w:hAnsi="Cambria" w:cs="Times New Roman"/>
        </w:rPr>
      </w:pPr>
      <w:r w:rsidRPr="007D2FE0">
        <w:rPr>
          <w:rFonts w:ascii="Cambria" w:eastAsia="MS Mincho" w:hAnsi="Cambria" w:cs="Times New Roman"/>
        </w:rPr>
        <w:t>Une taxe est un prélèvement obligatoire, sans contrepartie directe individualisée. Elle peut viser à financer les dépenses générales de la commune ou à faire contribuer une catégorie de redevables en raison d’une situation objectivement justifiée.</w:t>
      </w:r>
    </w:p>
    <w:p w14:paraId="027C50E8" w14:textId="77777777" w:rsidR="00992E18" w:rsidRPr="007D2FE0" w:rsidRDefault="00992E18" w:rsidP="00992E18">
      <w:pPr>
        <w:rPr>
          <w:rFonts w:ascii="Cambria" w:eastAsia="MS Mincho" w:hAnsi="Cambria" w:cs="Times New Roman"/>
        </w:rPr>
      </w:pPr>
      <w:r w:rsidRPr="007D2FE0">
        <w:rPr>
          <w:rFonts w:ascii="Cambria" w:eastAsia="MS Mincho" w:hAnsi="Cambria" w:cs="Times New Roman"/>
        </w:rPr>
        <w:t>Une redevance suppose, en principe, une contrepartie : utilisation d’un service, mise à disposition d’un bien communal, occupation du domaine public, intervention administrative ou prestation identifiable.</w:t>
      </w:r>
    </w:p>
    <w:p w14:paraId="763872ED" w14:textId="77777777" w:rsidR="00992E18" w:rsidRPr="007D2FE0" w:rsidRDefault="00992E18" w:rsidP="00992E18">
      <w:pPr>
        <w:rPr>
          <w:rFonts w:ascii="Cambria" w:eastAsia="MS Mincho" w:hAnsi="Cambria" w:cs="Times New Roman"/>
        </w:rPr>
      </w:pPr>
      <w:r w:rsidRPr="007D2FE0">
        <w:rPr>
          <w:rFonts w:ascii="Cambria" w:eastAsia="MS Mincho" w:hAnsi="Cambria" w:cs="Times New Roman"/>
        </w:rPr>
        <w:t>En pratique :</w:t>
      </w:r>
    </w:p>
    <w:tbl>
      <w:tblPr>
        <w:tblStyle w:val="Grilledetableauclaire"/>
        <w:tblW w:w="0" w:type="auto"/>
        <w:tblLook w:val="04A0" w:firstRow="1" w:lastRow="0" w:firstColumn="1" w:lastColumn="0" w:noHBand="0" w:noVBand="1"/>
      </w:tblPr>
      <w:tblGrid>
        <w:gridCol w:w="5108"/>
        <w:gridCol w:w="3522"/>
      </w:tblGrid>
      <w:tr w:rsidR="00992E18" w:rsidRPr="007D2FE0" w14:paraId="3AD3B243" w14:textId="77777777" w:rsidTr="00992E18">
        <w:tc>
          <w:tcPr>
            <w:tcW w:w="0" w:type="auto"/>
            <w:hideMark/>
          </w:tcPr>
          <w:p w14:paraId="6E9DD31A" w14:textId="77777777" w:rsidR="00992E18" w:rsidRPr="007D2FE0" w:rsidRDefault="00992E18" w:rsidP="00992E18">
            <w:pPr>
              <w:spacing w:after="200" w:line="276" w:lineRule="auto"/>
              <w:rPr>
                <w:rFonts w:ascii="Cambria" w:eastAsia="MS Mincho" w:hAnsi="Cambria" w:cs="Times New Roman"/>
                <w:b/>
                <w:bCs/>
              </w:rPr>
            </w:pPr>
            <w:r w:rsidRPr="007D2FE0">
              <w:rPr>
                <w:rFonts w:ascii="Cambria" w:eastAsia="MS Mincho" w:hAnsi="Cambria" w:cs="Times New Roman"/>
                <w:b/>
                <w:bCs/>
              </w:rPr>
              <w:t>Situation</w:t>
            </w:r>
          </w:p>
        </w:tc>
        <w:tc>
          <w:tcPr>
            <w:tcW w:w="0" w:type="auto"/>
            <w:hideMark/>
          </w:tcPr>
          <w:p w14:paraId="37B877AB" w14:textId="77777777" w:rsidR="00992E18" w:rsidRPr="007D2FE0" w:rsidRDefault="00992E18" w:rsidP="00992E18">
            <w:pPr>
              <w:spacing w:after="200" w:line="276" w:lineRule="auto"/>
              <w:rPr>
                <w:rFonts w:ascii="Cambria" w:eastAsia="MS Mincho" w:hAnsi="Cambria" w:cs="Times New Roman"/>
                <w:b/>
                <w:bCs/>
              </w:rPr>
            </w:pPr>
            <w:r w:rsidRPr="007D2FE0">
              <w:rPr>
                <w:rFonts w:ascii="Cambria" w:eastAsia="MS Mincho" w:hAnsi="Cambria" w:cs="Times New Roman"/>
                <w:b/>
                <w:bCs/>
              </w:rPr>
              <w:t>Instrument à privilégier</w:t>
            </w:r>
          </w:p>
        </w:tc>
      </w:tr>
      <w:tr w:rsidR="00992E18" w:rsidRPr="007D2FE0" w14:paraId="19B6AD1C" w14:textId="77777777" w:rsidTr="00992E18">
        <w:tc>
          <w:tcPr>
            <w:tcW w:w="0" w:type="auto"/>
            <w:hideMark/>
          </w:tcPr>
          <w:p w14:paraId="666A97B1" w14:textId="77777777" w:rsidR="00992E18" w:rsidRPr="007D2FE0" w:rsidRDefault="00992E18" w:rsidP="00992E18">
            <w:pPr>
              <w:spacing w:after="200" w:line="276" w:lineRule="auto"/>
              <w:rPr>
                <w:rFonts w:ascii="Cambria" w:eastAsia="MS Mincho" w:hAnsi="Cambria" w:cs="Times New Roman"/>
              </w:rPr>
            </w:pPr>
            <w:r w:rsidRPr="007D2FE0">
              <w:rPr>
                <w:rFonts w:ascii="Cambria" w:eastAsia="MS Mincho" w:hAnsi="Cambria" w:cs="Times New Roman"/>
              </w:rPr>
              <w:t>Financement général d’une charge communale</w:t>
            </w:r>
          </w:p>
        </w:tc>
        <w:tc>
          <w:tcPr>
            <w:tcW w:w="0" w:type="auto"/>
            <w:hideMark/>
          </w:tcPr>
          <w:p w14:paraId="224A5BF6" w14:textId="77777777" w:rsidR="00992E18" w:rsidRPr="007D2FE0" w:rsidRDefault="00992E18" w:rsidP="00992E18">
            <w:pPr>
              <w:spacing w:after="200" w:line="276" w:lineRule="auto"/>
              <w:rPr>
                <w:rFonts w:ascii="Cambria" w:eastAsia="MS Mincho" w:hAnsi="Cambria" w:cs="Times New Roman"/>
              </w:rPr>
            </w:pPr>
            <w:r w:rsidRPr="007D2FE0">
              <w:rPr>
                <w:rFonts w:ascii="Cambria" w:eastAsia="MS Mincho" w:hAnsi="Cambria" w:cs="Times New Roman"/>
              </w:rPr>
              <w:t>Taxe</w:t>
            </w:r>
          </w:p>
        </w:tc>
      </w:tr>
      <w:tr w:rsidR="00992E18" w:rsidRPr="007D2FE0" w14:paraId="2A6A8EB6" w14:textId="77777777" w:rsidTr="00992E18">
        <w:tc>
          <w:tcPr>
            <w:tcW w:w="0" w:type="auto"/>
            <w:hideMark/>
          </w:tcPr>
          <w:p w14:paraId="101BBC41" w14:textId="77777777" w:rsidR="00992E18" w:rsidRPr="007D2FE0" w:rsidRDefault="00992E18" w:rsidP="00992E18">
            <w:pPr>
              <w:spacing w:after="200" w:line="276" w:lineRule="auto"/>
              <w:rPr>
                <w:rFonts w:ascii="Cambria" w:eastAsia="MS Mincho" w:hAnsi="Cambria" w:cs="Times New Roman"/>
              </w:rPr>
            </w:pPr>
            <w:r w:rsidRPr="007D2FE0">
              <w:rPr>
                <w:rFonts w:ascii="Cambria" w:eastAsia="MS Mincho" w:hAnsi="Cambria" w:cs="Times New Roman"/>
              </w:rPr>
              <w:t>Utilisation d’un service communal</w:t>
            </w:r>
          </w:p>
        </w:tc>
        <w:tc>
          <w:tcPr>
            <w:tcW w:w="0" w:type="auto"/>
            <w:hideMark/>
          </w:tcPr>
          <w:p w14:paraId="1311BC1E" w14:textId="77777777" w:rsidR="00992E18" w:rsidRPr="007D2FE0" w:rsidRDefault="00992E18" w:rsidP="00992E18">
            <w:pPr>
              <w:spacing w:after="200" w:line="276" w:lineRule="auto"/>
              <w:rPr>
                <w:rFonts w:ascii="Cambria" w:eastAsia="MS Mincho" w:hAnsi="Cambria" w:cs="Times New Roman"/>
              </w:rPr>
            </w:pPr>
            <w:r w:rsidRPr="007D2FE0">
              <w:rPr>
                <w:rFonts w:ascii="Cambria" w:eastAsia="MS Mincho" w:hAnsi="Cambria" w:cs="Times New Roman"/>
              </w:rPr>
              <w:t>Redevance</w:t>
            </w:r>
          </w:p>
        </w:tc>
      </w:tr>
      <w:tr w:rsidR="00992E18" w:rsidRPr="007D2FE0" w14:paraId="5518FFAD" w14:textId="77777777" w:rsidTr="00992E18">
        <w:tc>
          <w:tcPr>
            <w:tcW w:w="0" w:type="auto"/>
            <w:hideMark/>
          </w:tcPr>
          <w:p w14:paraId="54F19E5A" w14:textId="77777777" w:rsidR="00992E18" w:rsidRPr="007D2FE0" w:rsidRDefault="00992E18" w:rsidP="00992E18">
            <w:pPr>
              <w:spacing w:after="200" w:line="276" w:lineRule="auto"/>
              <w:rPr>
                <w:rFonts w:ascii="Cambria" w:eastAsia="MS Mincho" w:hAnsi="Cambria" w:cs="Times New Roman"/>
              </w:rPr>
            </w:pPr>
            <w:r w:rsidRPr="007D2FE0">
              <w:rPr>
                <w:rFonts w:ascii="Cambria" w:eastAsia="MS Mincho" w:hAnsi="Cambria" w:cs="Times New Roman"/>
              </w:rPr>
              <w:t>Occupation privative du domaine public</w:t>
            </w:r>
          </w:p>
        </w:tc>
        <w:tc>
          <w:tcPr>
            <w:tcW w:w="0" w:type="auto"/>
            <w:hideMark/>
          </w:tcPr>
          <w:p w14:paraId="5454D26A" w14:textId="77777777" w:rsidR="00992E18" w:rsidRPr="007D2FE0" w:rsidRDefault="00992E18" w:rsidP="00992E18">
            <w:pPr>
              <w:spacing w:after="200" w:line="276" w:lineRule="auto"/>
              <w:rPr>
                <w:rFonts w:ascii="Cambria" w:eastAsia="MS Mincho" w:hAnsi="Cambria" w:cs="Times New Roman"/>
              </w:rPr>
            </w:pPr>
            <w:r w:rsidRPr="007D2FE0">
              <w:rPr>
                <w:rFonts w:ascii="Cambria" w:eastAsia="MS Mincho" w:hAnsi="Cambria" w:cs="Times New Roman"/>
              </w:rPr>
              <w:t>Redevance</w:t>
            </w:r>
          </w:p>
        </w:tc>
      </w:tr>
      <w:tr w:rsidR="00992E18" w:rsidRPr="007D2FE0" w14:paraId="4E73014B" w14:textId="77777777" w:rsidTr="00992E18">
        <w:tc>
          <w:tcPr>
            <w:tcW w:w="0" w:type="auto"/>
            <w:hideMark/>
          </w:tcPr>
          <w:p w14:paraId="3B158184" w14:textId="77777777" w:rsidR="00992E18" w:rsidRPr="007D2FE0" w:rsidRDefault="00992E18" w:rsidP="00992E18">
            <w:pPr>
              <w:spacing w:after="200" w:line="276" w:lineRule="auto"/>
              <w:rPr>
                <w:rFonts w:ascii="Cambria" w:eastAsia="MS Mincho" w:hAnsi="Cambria" w:cs="Times New Roman"/>
              </w:rPr>
            </w:pPr>
            <w:r w:rsidRPr="007D2FE0">
              <w:rPr>
                <w:rFonts w:ascii="Cambria" w:eastAsia="MS Mincho" w:hAnsi="Cambria" w:cs="Times New Roman"/>
              </w:rPr>
              <w:t>Activité générant des externalités ou charges spécifiques</w:t>
            </w:r>
          </w:p>
        </w:tc>
        <w:tc>
          <w:tcPr>
            <w:tcW w:w="0" w:type="auto"/>
            <w:hideMark/>
          </w:tcPr>
          <w:p w14:paraId="43166D7C" w14:textId="77777777" w:rsidR="00992E18" w:rsidRPr="007D2FE0" w:rsidRDefault="00992E18" w:rsidP="00992E18">
            <w:pPr>
              <w:spacing w:after="200" w:line="276" w:lineRule="auto"/>
              <w:rPr>
                <w:rFonts w:ascii="Cambria" w:eastAsia="MS Mincho" w:hAnsi="Cambria" w:cs="Times New Roman"/>
              </w:rPr>
            </w:pPr>
            <w:r w:rsidRPr="007D2FE0">
              <w:rPr>
                <w:rFonts w:ascii="Cambria" w:eastAsia="MS Mincho" w:hAnsi="Cambria" w:cs="Times New Roman"/>
              </w:rPr>
              <w:t>Taxe ou redevance selon le cas</w:t>
            </w:r>
          </w:p>
        </w:tc>
      </w:tr>
      <w:tr w:rsidR="00992E18" w:rsidRPr="007D2FE0" w14:paraId="3E732931" w14:textId="77777777" w:rsidTr="00992E18">
        <w:tc>
          <w:tcPr>
            <w:tcW w:w="0" w:type="auto"/>
            <w:hideMark/>
          </w:tcPr>
          <w:p w14:paraId="2D056C85" w14:textId="77777777" w:rsidR="00992E18" w:rsidRPr="007D2FE0" w:rsidRDefault="00992E18" w:rsidP="00992E18">
            <w:pPr>
              <w:spacing w:after="200" w:line="276" w:lineRule="auto"/>
              <w:rPr>
                <w:rFonts w:ascii="Cambria" w:eastAsia="MS Mincho" w:hAnsi="Cambria" w:cs="Times New Roman"/>
              </w:rPr>
            </w:pPr>
            <w:r w:rsidRPr="007D2FE0">
              <w:rPr>
                <w:rFonts w:ascii="Cambria" w:eastAsia="MS Mincho" w:hAnsi="Cambria" w:cs="Times New Roman"/>
              </w:rPr>
              <w:t>Objectif de régulation d’un comportement</w:t>
            </w:r>
          </w:p>
        </w:tc>
        <w:tc>
          <w:tcPr>
            <w:tcW w:w="0" w:type="auto"/>
            <w:hideMark/>
          </w:tcPr>
          <w:p w14:paraId="4420EEBA" w14:textId="77777777" w:rsidR="00992E18" w:rsidRPr="007D2FE0" w:rsidRDefault="00992E18" w:rsidP="00992E18">
            <w:pPr>
              <w:spacing w:after="200" w:line="276" w:lineRule="auto"/>
              <w:rPr>
                <w:rFonts w:ascii="Cambria" w:eastAsia="MS Mincho" w:hAnsi="Cambria" w:cs="Times New Roman"/>
              </w:rPr>
            </w:pPr>
            <w:r w:rsidRPr="007D2FE0">
              <w:rPr>
                <w:rFonts w:ascii="Cambria" w:eastAsia="MS Mincho" w:hAnsi="Cambria" w:cs="Times New Roman"/>
              </w:rPr>
              <w:t>Plutôt taxe, avec motivation renforcée</w:t>
            </w:r>
          </w:p>
        </w:tc>
      </w:tr>
    </w:tbl>
    <w:p w14:paraId="63000B8C" w14:textId="77777777" w:rsidR="00992E18" w:rsidRPr="007D2FE0" w:rsidRDefault="00992E18" w:rsidP="00992E18">
      <w:pPr>
        <w:rPr>
          <w:rFonts w:ascii="Cambria" w:eastAsia="MS Mincho" w:hAnsi="Cambria" w:cs="Times New Roman"/>
        </w:rPr>
      </w:pPr>
      <w:r w:rsidRPr="007D2FE0">
        <w:rPr>
          <w:rFonts w:ascii="Cambria" w:eastAsia="MS Mincho" w:hAnsi="Cambria" w:cs="Times New Roman"/>
        </w:rPr>
        <w:t>Le choix de l’instrument doit être cohérent avec la réalité du dispositif. Une redevance déguisée en taxe, ou une taxe présentée comme redevance sans contrepartie réelle, expose le règlement à un risque juridique.</w:t>
      </w:r>
    </w:p>
    <w:p w14:paraId="1E5800DD" w14:textId="27242FFD" w:rsidR="000344E8" w:rsidRPr="007D2FE0" w:rsidRDefault="000344E8" w:rsidP="000344E8">
      <w:pPr>
        <w:pStyle w:val="Titre3"/>
        <w:numPr>
          <w:ilvl w:val="0"/>
          <w:numId w:val="0"/>
        </w:numPr>
        <w:ind w:left="426"/>
      </w:pPr>
      <w:bookmarkStart w:id="40" w:name="_Toc233626015"/>
      <w:r w:rsidRPr="007D2FE0">
        <w:t>Comment les envisager ?</w:t>
      </w:r>
      <w:bookmarkEnd w:id="40"/>
    </w:p>
    <w:p w14:paraId="01BD2EAD" w14:textId="77777777" w:rsidR="00CD18AD" w:rsidRPr="007D2FE0" w:rsidRDefault="00CD18AD" w:rsidP="00CD18AD">
      <w:pPr>
        <w:rPr>
          <w:rFonts w:ascii="Cambria" w:eastAsia="MS Mincho" w:hAnsi="Cambria" w:cs="Times New Roman"/>
        </w:rPr>
      </w:pPr>
    </w:p>
    <w:p w14:paraId="1FD843C0" w14:textId="3E79C0C3" w:rsidR="00CD18AD" w:rsidRPr="007D2FE0" w:rsidRDefault="00CD18AD" w:rsidP="00CD18AD">
      <w:pPr>
        <w:rPr>
          <w:rFonts w:ascii="Cambria" w:eastAsia="MS Mincho" w:hAnsi="Cambria" w:cs="Times New Roman"/>
        </w:rPr>
      </w:pPr>
      <w:r w:rsidRPr="007D2FE0">
        <w:rPr>
          <w:rFonts w:ascii="Cambria" w:eastAsia="MS Mincho" w:hAnsi="Cambria" w:cs="Times New Roman"/>
        </w:rPr>
        <w:t>La motivation doit être concrète, locale et objectivée. Elle doit faire apparaître :</w:t>
      </w:r>
    </w:p>
    <w:p w14:paraId="46ABCDFA" w14:textId="77777777" w:rsidR="00CD18AD" w:rsidRPr="007D2FE0" w:rsidRDefault="00CD18AD">
      <w:pPr>
        <w:numPr>
          <w:ilvl w:val="0"/>
          <w:numId w:val="216"/>
        </w:numPr>
        <w:rPr>
          <w:rFonts w:ascii="Cambria" w:eastAsia="MS Mincho" w:hAnsi="Cambria" w:cs="Times New Roman"/>
        </w:rPr>
      </w:pPr>
      <w:r w:rsidRPr="007D2FE0">
        <w:rPr>
          <w:rFonts w:ascii="Cambria" w:eastAsia="MS Mincho" w:hAnsi="Cambria" w:cs="Times New Roman"/>
        </w:rPr>
        <w:t xml:space="preserve">la situation particulière rencontrée par la commune ; </w:t>
      </w:r>
    </w:p>
    <w:p w14:paraId="4809D69F" w14:textId="77777777" w:rsidR="00CD18AD" w:rsidRPr="007D2FE0" w:rsidRDefault="00CD18AD">
      <w:pPr>
        <w:numPr>
          <w:ilvl w:val="0"/>
          <w:numId w:val="216"/>
        </w:numPr>
        <w:rPr>
          <w:rFonts w:ascii="Cambria" w:eastAsia="MS Mincho" w:hAnsi="Cambria" w:cs="Times New Roman"/>
        </w:rPr>
      </w:pPr>
      <w:r w:rsidRPr="007D2FE0">
        <w:rPr>
          <w:rFonts w:ascii="Cambria" w:eastAsia="MS Mincho" w:hAnsi="Cambria" w:cs="Times New Roman"/>
        </w:rPr>
        <w:t xml:space="preserve">les éléments factuels qui la démontrent ; </w:t>
      </w:r>
    </w:p>
    <w:p w14:paraId="3C7B73B2" w14:textId="77777777" w:rsidR="00CD18AD" w:rsidRPr="007D2FE0" w:rsidRDefault="00CD18AD">
      <w:pPr>
        <w:numPr>
          <w:ilvl w:val="0"/>
          <w:numId w:val="216"/>
        </w:numPr>
        <w:rPr>
          <w:rFonts w:ascii="Cambria" w:eastAsia="MS Mincho" w:hAnsi="Cambria" w:cs="Times New Roman"/>
        </w:rPr>
      </w:pPr>
      <w:r w:rsidRPr="007D2FE0">
        <w:rPr>
          <w:rFonts w:ascii="Cambria" w:eastAsia="MS Mincho" w:hAnsi="Cambria" w:cs="Times New Roman"/>
        </w:rPr>
        <w:t xml:space="preserve">les charges, risques, nuisances ou besoins qui en résultent ; </w:t>
      </w:r>
    </w:p>
    <w:p w14:paraId="671236A6" w14:textId="77777777" w:rsidR="00CD18AD" w:rsidRPr="007D2FE0" w:rsidRDefault="00CD18AD">
      <w:pPr>
        <w:numPr>
          <w:ilvl w:val="0"/>
          <w:numId w:val="216"/>
        </w:numPr>
        <w:rPr>
          <w:rFonts w:ascii="Cambria" w:eastAsia="MS Mincho" w:hAnsi="Cambria" w:cs="Times New Roman"/>
        </w:rPr>
      </w:pPr>
      <w:r w:rsidRPr="007D2FE0">
        <w:rPr>
          <w:rFonts w:ascii="Cambria" w:eastAsia="MS Mincho" w:hAnsi="Cambria" w:cs="Times New Roman"/>
        </w:rPr>
        <w:t xml:space="preserve">le lien entre cette situation et les personnes ou activités visées ; </w:t>
      </w:r>
    </w:p>
    <w:p w14:paraId="40C766FB" w14:textId="77777777" w:rsidR="00CD18AD" w:rsidRPr="007D2FE0" w:rsidRDefault="00CD18AD">
      <w:pPr>
        <w:numPr>
          <w:ilvl w:val="0"/>
          <w:numId w:val="216"/>
        </w:numPr>
        <w:rPr>
          <w:rFonts w:ascii="Cambria" w:eastAsia="MS Mincho" w:hAnsi="Cambria" w:cs="Times New Roman"/>
        </w:rPr>
      </w:pPr>
      <w:r w:rsidRPr="007D2FE0">
        <w:rPr>
          <w:rFonts w:ascii="Cambria" w:eastAsia="MS Mincho" w:hAnsi="Cambria" w:cs="Times New Roman"/>
        </w:rPr>
        <w:t xml:space="preserve">la raison pour laquelle la taxe ou la redevance constitue une réponse adéquate ; </w:t>
      </w:r>
    </w:p>
    <w:p w14:paraId="3CC67B82" w14:textId="77777777" w:rsidR="00CD18AD" w:rsidRPr="007D2FE0" w:rsidRDefault="00CD18AD">
      <w:pPr>
        <w:numPr>
          <w:ilvl w:val="0"/>
          <w:numId w:val="216"/>
        </w:numPr>
        <w:rPr>
          <w:rFonts w:ascii="Cambria" w:eastAsia="MS Mincho" w:hAnsi="Cambria" w:cs="Times New Roman"/>
        </w:rPr>
      </w:pPr>
      <w:r w:rsidRPr="007D2FE0">
        <w:rPr>
          <w:rFonts w:ascii="Cambria" w:eastAsia="MS Mincho" w:hAnsi="Cambria" w:cs="Times New Roman"/>
        </w:rPr>
        <w:t xml:space="preserve">les critères retenus pour fixer le tarif ; </w:t>
      </w:r>
    </w:p>
    <w:p w14:paraId="257CF947" w14:textId="5C45ED84" w:rsidR="00CD18AD" w:rsidRPr="007D2FE0" w:rsidRDefault="00CD18AD">
      <w:pPr>
        <w:numPr>
          <w:ilvl w:val="0"/>
          <w:numId w:val="216"/>
        </w:numPr>
        <w:rPr>
          <w:rFonts w:ascii="Cambria" w:eastAsia="MS Mincho" w:hAnsi="Cambria" w:cs="Times New Roman"/>
        </w:rPr>
      </w:pPr>
      <w:r w:rsidRPr="007D2FE0">
        <w:rPr>
          <w:rFonts w:ascii="Cambria" w:eastAsia="MS Mincho" w:hAnsi="Cambria" w:cs="Times New Roman"/>
        </w:rPr>
        <w:t xml:space="preserve">L’absence de discrimination injustifiée entre catégories comparables. </w:t>
      </w:r>
    </w:p>
    <w:p w14:paraId="4673E478" w14:textId="77777777" w:rsidR="00CD18AD" w:rsidRPr="007D2FE0" w:rsidRDefault="00CD18AD" w:rsidP="00CD18AD">
      <w:pPr>
        <w:rPr>
          <w:rFonts w:ascii="Cambria" w:eastAsia="MS Mincho" w:hAnsi="Cambria" w:cs="Times New Roman"/>
        </w:rPr>
      </w:pPr>
      <w:r w:rsidRPr="007D2FE0">
        <w:rPr>
          <w:rFonts w:ascii="Cambria" w:eastAsia="MS Mincho" w:hAnsi="Cambria" w:cs="Times New Roman"/>
        </w:rPr>
        <w:lastRenderedPageBreak/>
        <w:t>Il est préférable que cette motivation figure dans le préambule du règlement et/ou dans la délibération du conseil communal. La jurisprudence admet que la justification ne doive pas nécessairement ressortir du seul règlement, mais les motifs doivent pouvoir être retrouvés dans le dossier administratif ou les pièces préparatoires.</w:t>
      </w:r>
    </w:p>
    <w:p w14:paraId="467951F8" w14:textId="7E42F261" w:rsidR="00CD18AD" w:rsidRPr="007D2FE0" w:rsidRDefault="00A925C7" w:rsidP="00DB02D3">
      <w:pPr>
        <w:rPr>
          <w:rFonts w:ascii="Cambria" w:eastAsia="MS Mincho" w:hAnsi="Cambria" w:cs="Times New Roman"/>
          <w:b/>
          <w:bCs/>
        </w:rPr>
      </w:pPr>
      <w:r w:rsidRPr="007D2FE0">
        <w:rPr>
          <w:rFonts w:ascii="Cambria" w:eastAsia="MS Mincho" w:hAnsi="Cambria" w:cs="Times New Roman"/>
          <w:b/>
          <w:bCs/>
        </w:rPr>
        <w:t>Dans ce cadre, il est demandé aux communes de transmettre au Ministre un dossier reprenant l’ensemble des documents, analyses et données utiles, et d’attendre sa validation avant de présenter le projet de règlement au Conseil communal.</w:t>
      </w:r>
    </w:p>
    <w:p w14:paraId="24666F01" w14:textId="77777777" w:rsidR="009D6CDA" w:rsidRPr="007D2FE0" w:rsidRDefault="009D6CDA" w:rsidP="001E14BC">
      <w:pPr>
        <w:rPr>
          <w:rFonts w:ascii="Cambria" w:eastAsia="MS Mincho" w:hAnsi="Cambria" w:cs="Times New Roman"/>
        </w:rPr>
      </w:pPr>
    </w:p>
    <w:p w14:paraId="1CBAF17C" w14:textId="4417E309" w:rsidR="002000CB" w:rsidRPr="007D2FE0" w:rsidRDefault="002000CB" w:rsidP="002000CB">
      <w:pPr>
        <w:pStyle w:val="Titre2"/>
        <w:rPr>
          <w:lang w:val="fr-FR"/>
        </w:rPr>
      </w:pPr>
      <w:bookmarkStart w:id="41" w:name="_Toc233626016"/>
      <w:bookmarkStart w:id="42" w:name="_Toc225504077"/>
      <w:bookmarkStart w:id="43" w:name="_Toc225772165"/>
      <w:r w:rsidRPr="007D2FE0">
        <w:rPr>
          <w:lang w:val="fr-FR"/>
        </w:rPr>
        <w:t xml:space="preserve">La capacité contributive en fiscalité </w:t>
      </w:r>
      <w:r w:rsidR="0059298F" w:rsidRPr="007D2FE0">
        <w:rPr>
          <w:lang w:val="fr-FR"/>
        </w:rPr>
        <w:t>locale</w:t>
      </w:r>
      <w:bookmarkEnd w:id="41"/>
    </w:p>
    <w:p w14:paraId="4ACED6B9" w14:textId="77777777" w:rsidR="002000CB" w:rsidRPr="007D2FE0" w:rsidRDefault="002000CB" w:rsidP="002000CB">
      <w:pPr>
        <w:spacing w:after="160" w:line="257" w:lineRule="auto"/>
        <w:rPr>
          <w:rFonts w:ascii="Cambria" w:eastAsia="MS Mincho" w:hAnsi="Cambria" w:cs="Times New Roman"/>
        </w:rPr>
      </w:pPr>
    </w:p>
    <w:p w14:paraId="7C104547" w14:textId="77777777" w:rsidR="002000CB" w:rsidRPr="007D2FE0" w:rsidRDefault="002000CB" w:rsidP="002000CB">
      <w:pPr>
        <w:spacing w:after="160" w:line="257" w:lineRule="auto"/>
        <w:rPr>
          <w:rFonts w:ascii="Cambria" w:eastAsia="MS Mincho" w:hAnsi="Cambria" w:cs="Times New Roman"/>
        </w:rPr>
      </w:pPr>
      <w:r w:rsidRPr="007D2FE0">
        <w:rPr>
          <w:rFonts w:ascii="Cambria" w:eastAsia="MS Mincho" w:hAnsi="Cambria" w:cs="Times New Roman"/>
        </w:rPr>
        <w:t>Dans l’exercice de leur autonomie fiscale, les communes disposent d’une large marge d’appréciation pour déterminer l’objet, l’assiette, le taux et les modalités de perception de leurs taxes, dans le respect des règles supérieures applicables et sous le contrôle des autorités de tutelle et des juridictions compétentes.</w:t>
      </w:r>
    </w:p>
    <w:p w14:paraId="173EBF57" w14:textId="77777777" w:rsidR="002000CB" w:rsidRPr="007D2FE0" w:rsidRDefault="002000CB" w:rsidP="002000CB">
      <w:pPr>
        <w:spacing w:after="160" w:line="257" w:lineRule="auto"/>
        <w:rPr>
          <w:rFonts w:ascii="Cambria" w:eastAsia="MS Mincho" w:hAnsi="Cambria" w:cs="Times New Roman"/>
        </w:rPr>
      </w:pPr>
      <w:r w:rsidRPr="007D2FE0">
        <w:rPr>
          <w:rFonts w:ascii="Cambria" w:eastAsia="MS Mincho" w:hAnsi="Cambria" w:cs="Times New Roman"/>
        </w:rPr>
        <w:t>Il est toutefois recommandé, lors de l’élaboration ou de la modification d’un règlement-taxe, d’accorder une attention particulière à la capacité contributive des redevables concernés. Cette analyse participe de la motivation et de la proportionnalité du règlement, en particulier lorsque la taxe est susceptible de viser, en pratique, un nombre limité de contribuables, voire un seul contribuable, ou lorsqu’elle porte sur une activité économique déterminée.</w:t>
      </w:r>
    </w:p>
    <w:p w14:paraId="5D3F1A89" w14:textId="77777777" w:rsidR="002000CB" w:rsidRPr="007D2FE0" w:rsidRDefault="002000CB" w:rsidP="002000CB">
      <w:pPr>
        <w:spacing w:after="160" w:line="257" w:lineRule="auto"/>
        <w:rPr>
          <w:rFonts w:ascii="Cambria" w:eastAsia="MS Mincho" w:hAnsi="Cambria" w:cs="Times New Roman"/>
        </w:rPr>
      </w:pPr>
      <w:r w:rsidRPr="007D2FE0">
        <w:rPr>
          <w:rFonts w:ascii="Cambria" w:eastAsia="MS Mincho" w:hAnsi="Cambria" w:cs="Times New Roman"/>
        </w:rPr>
        <w:t>À cet égard, il convient de rappeler que l’établissement d’une taxe constitue, en principe, une ingérence dans le droit au respect des biens garanti par l’article 1er du Premier Protocole additionnel à la Convention européenne des droits de l’homme. Selon la jurisprudence, cette ingérence n’est admissible que si elle ménage un juste équilibre entre les exigences de l’intérêt général et la protection des droits du contribuable. Même si l’autorité fiscale dispose d’une large marge d’appréciation, une taxe peut être regardée comme disproportionnée lorsqu’elle fait peser sur le contribuable une charge excessive ou lorsqu’elle porte fondamentalement atteinte à sa situation financière (CEDH, Dukmedjian c. France, 31 janvier 2006 ; Cour constitutionnelle, n° 91/2014 du 12 juin 2014 ; Cour constitutionnelle, n° 46/2017 du 27 avril 2017 ; Cour constitutionnelle, n° 59/2018 du 17 mai 2018).</w:t>
      </w:r>
    </w:p>
    <w:p w14:paraId="58E9E0DF" w14:textId="77777777" w:rsidR="002000CB" w:rsidRPr="00DE4953" w:rsidRDefault="002000CB" w:rsidP="002000CB">
      <w:pPr>
        <w:spacing w:after="160" w:line="257" w:lineRule="auto"/>
        <w:rPr>
          <w:rFonts w:ascii="Cambria" w:eastAsia="MS Mincho" w:hAnsi="Cambria" w:cs="Times New Roman"/>
        </w:rPr>
      </w:pPr>
      <w:r w:rsidRPr="007D2FE0">
        <w:rPr>
          <w:rFonts w:ascii="Cambria" w:eastAsia="MS Mincho" w:hAnsi="Cambria" w:cs="Times New Roman"/>
        </w:rPr>
        <w:t>La jurisprudence du Conseil d’État rappelle également que la liberté de commerce et d’industrie ne fait pas obstacle, par elle-même, à l’établissement de taxes sur des activités économiques ou commerciales. Il importe toutefois que la commune demeure dans les limites de ses attributions, que la taxe présente un lien avec le but poursuivi et qu’elle n’entrave pas au-delà du raisonnable, voire n’empêche pas, l’exercice de l’activité concernée. Le caractère prohibitif d’une taxe doit dès lors pouvoir être écarté au regard des éléments concrets du dossier, notamment la situation financière du ou des redevables, les profits escomptés, la possibilité éventuelle de répercussion de la taxe et l’impact prévisible de celle-ci sur la poursuite de l’activité (CE, 16 novembre 1994, n° 50.241 ; CE, 27 mai 2009, n° 193.580 ; CE, 30 octobre 2014, n° 228.985).</w:t>
      </w:r>
    </w:p>
    <w:p w14:paraId="1F64A275" w14:textId="77777777" w:rsidR="002000CB" w:rsidRDefault="002000CB" w:rsidP="002000CB">
      <w:pPr>
        <w:spacing w:after="160" w:line="257" w:lineRule="auto"/>
        <w:rPr>
          <w:rFonts w:ascii="Cambria" w:eastAsia="MS Mincho" w:hAnsi="Cambria" w:cs="Times New Roman"/>
        </w:rPr>
      </w:pPr>
      <w:r w:rsidRPr="00DE4953">
        <w:rPr>
          <w:rFonts w:ascii="Cambria" w:eastAsia="MS Mincho" w:hAnsi="Cambria" w:cs="Times New Roman"/>
        </w:rPr>
        <w:lastRenderedPageBreak/>
        <w:t>Dans cette perspective, il est indiqué que le dossier administratif accompagnant le règlement-taxe fasse apparaître les éléments d’appréciation ayant conduit la commune à retenir le taux envisagé. Cette attention est particulièrement utile lorsque le produit attendu de la taxe est significatif, lorsque l’assiette repose sur une activité fortement dépendante de facteurs économiques ou conjoncturels, ou lorsque la taxe est susceptible d’affecter la rentabilité future de l’activité taxée.</w:t>
      </w:r>
    </w:p>
    <w:p w14:paraId="385F1175" w14:textId="77777777" w:rsidR="002A201C" w:rsidRDefault="002A201C" w:rsidP="002000CB">
      <w:pPr>
        <w:spacing w:after="160" w:line="257" w:lineRule="auto"/>
        <w:rPr>
          <w:rFonts w:ascii="Cambria" w:eastAsia="MS Mincho" w:hAnsi="Cambria" w:cs="Times New Roman"/>
        </w:rPr>
      </w:pPr>
    </w:p>
    <w:p w14:paraId="6C1302C5" w14:textId="77777777" w:rsidR="002A201C" w:rsidRPr="00ED21BE" w:rsidRDefault="002A201C" w:rsidP="002A201C">
      <w:pPr>
        <w:spacing w:after="160" w:line="257" w:lineRule="auto"/>
        <w:rPr>
          <w:rFonts w:ascii="Cambria" w:eastAsia="MS Mincho" w:hAnsi="Cambria" w:cs="Times New Roman"/>
        </w:rPr>
      </w:pPr>
      <w:r w:rsidRPr="00ED21BE">
        <w:rPr>
          <w:rFonts w:ascii="Cambria" w:eastAsia="MS Mincho" w:hAnsi="Cambria" w:cs="Times New Roman"/>
        </w:rPr>
        <w:t>L’analyse de la capacité contributive doit reposer sur une appréciation suffisamment représentative de la situation financière du redevable et ne pas se fonder exclusivement sur les résultats d’un exercice exceptionnel ou atypique. La commune veillera également à ce que la taxe n’entrave pas de manière disproportionnée les capacités d’investissement nécessaires à la poursuite de l’activité ou à la réduction des nuisances générées par celle-ci</w:t>
      </w:r>
    </w:p>
    <w:p w14:paraId="1554EFAC" w14:textId="77777777" w:rsidR="002A201C" w:rsidRPr="00DE4953" w:rsidRDefault="002A201C" w:rsidP="002000CB">
      <w:pPr>
        <w:spacing w:after="160" w:line="257" w:lineRule="auto"/>
        <w:rPr>
          <w:rFonts w:ascii="Cambria" w:eastAsia="MS Mincho" w:hAnsi="Cambria" w:cs="Times New Roman"/>
        </w:rPr>
      </w:pPr>
    </w:p>
    <w:p w14:paraId="72B91501" w14:textId="77777777" w:rsidR="002000CB" w:rsidRPr="00DE4953" w:rsidRDefault="002000CB" w:rsidP="002000CB">
      <w:pPr>
        <w:spacing w:after="160" w:line="257" w:lineRule="auto"/>
        <w:rPr>
          <w:rFonts w:ascii="Cambria" w:eastAsia="MS Mincho" w:hAnsi="Cambria" w:cs="Times New Roman"/>
        </w:rPr>
      </w:pPr>
      <w:r w:rsidRPr="00DE4953">
        <w:rPr>
          <w:rFonts w:ascii="Cambria" w:eastAsia="MS Mincho" w:hAnsi="Cambria" w:cs="Times New Roman"/>
        </w:rPr>
        <w:t>Sans préjudice de l’autonomie fiscale communale, une analyse suffisamment étayée de la capacité contributive permet ainsi de sécuriser le règlement-taxe, de démontrer que celui-ci ne revêt pas un caractère manifestement déraisonnable ou prohibitif, et de limiter les risques de contestation fondés sur la violation du principe de proportionnalité, du droit de propriété ou de la liberté de commerce et d’industrie.</w:t>
      </w:r>
    </w:p>
    <w:p w14:paraId="3AF27E68" w14:textId="77777777" w:rsidR="002000CB" w:rsidRDefault="002000CB" w:rsidP="00582379">
      <w:pPr>
        <w:pStyle w:val="Titre2"/>
        <w:numPr>
          <w:ilvl w:val="0"/>
          <w:numId w:val="0"/>
        </w:numPr>
      </w:pPr>
    </w:p>
    <w:p w14:paraId="5B748CF9" w14:textId="12575206" w:rsidR="00DB02D3" w:rsidRPr="005C4637" w:rsidRDefault="00DB02D3" w:rsidP="00B03361">
      <w:pPr>
        <w:pStyle w:val="Titre2"/>
      </w:pPr>
      <w:bookmarkStart w:id="44" w:name="_Toc233626017"/>
      <w:r w:rsidRPr="005C4637">
        <w:t>Taux de TVA réduit (électricité, gaz, chaleur via réseaux)</w:t>
      </w:r>
      <w:bookmarkEnd w:id="42"/>
      <w:bookmarkEnd w:id="43"/>
      <w:bookmarkEnd w:id="44"/>
    </w:p>
    <w:p w14:paraId="21512039" w14:textId="13E72E6A" w:rsidR="00DB02D3" w:rsidRPr="005C4637" w:rsidRDefault="00DB02D3" w:rsidP="00BA5C86">
      <w:pPr>
        <w:pStyle w:val="Titre3"/>
        <w:numPr>
          <w:ilvl w:val="0"/>
          <w:numId w:val="0"/>
        </w:numPr>
        <w:ind w:left="426"/>
      </w:pPr>
      <w:bookmarkStart w:id="45" w:name="_Toc225504078"/>
      <w:bookmarkStart w:id="46" w:name="_Toc225772166"/>
      <w:bookmarkStart w:id="47" w:name="_Toc233626018"/>
      <w:r w:rsidRPr="005C4637">
        <w:t>Quelles précisions appliquer depuis le 01/07/2023 ?</w:t>
      </w:r>
      <w:bookmarkEnd w:id="45"/>
      <w:bookmarkEnd w:id="46"/>
      <w:bookmarkEnd w:id="47"/>
    </w:p>
    <w:p w14:paraId="6535E559" w14:textId="77777777" w:rsidR="00D37FCB" w:rsidRDefault="00D37FCB" w:rsidP="00D37FCB">
      <w:pPr>
        <w:rPr>
          <w:rFonts w:ascii="Cambria" w:eastAsia="MS Mincho" w:hAnsi="Cambria" w:cs="Times New Roman"/>
        </w:rPr>
      </w:pPr>
    </w:p>
    <w:p w14:paraId="7F98B7D3" w14:textId="401448B4" w:rsidR="00D37FCB" w:rsidRPr="00D37FCB" w:rsidRDefault="00D37FCB" w:rsidP="00D37FCB">
      <w:pPr>
        <w:rPr>
          <w:rFonts w:ascii="Cambria" w:eastAsia="MS Mincho" w:hAnsi="Cambria" w:cs="Times New Roman"/>
        </w:rPr>
      </w:pPr>
      <w:r w:rsidRPr="00D37FCB">
        <w:rPr>
          <w:rFonts w:ascii="Cambria" w:eastAsia="MS Mincho" w:hAnsi="Cambria" w:cs="Times New Roman"/>
        </w:rPr>
        <w:t xml:space="preserve">J’attire votre attention sur les modifications intervenues depuis le 1er juillet 2023 concernant l’application de la TVA réduite pour les livraisons d’électricité, de gaz naturel et de chaleur via des réseaux de chaleur et notamment sur la distinction entre consommation professionnelle et une consommation non-professionnelle. </w:t>
      </w:r>
    </w:p>
    <w:p w14:paraId="20D12446" w14:textId="77777777" w:rsidR="00D37FCB" w:rsidRPr="00D37FCB" w:rsidRDefault="00D37FCB" w:rsidP="00D37FCB">
      <w:pPr>
        <w:rPr>
          <w:rFonts w:ascii="Cambria" w:eastAsia="MS Mincho" w:hAnsi="Cambria" w:cs="Times New Roman"/>
        </w:rPr>
      </w:pPr>
      <w:r w:rsidRPr="00D37FCB">
        <w:rPr>
          <w:rFonts w:ascii="Cambria" w:eastAsia="MS Mincho" w:hAnsi="Cambria" w:cs="Times New Roman"/>
        </w:rPr>
        <w:t xml:space="preserve">Cette distinction est importante en termes financiers en ce qui concerne l’application de la TVA pour les établissements publics. </w:t>
      </w:r>
    </w:p>
    <w:p w14:paraId="12694668" w14:textId="77777777" w:rsidR="00D37FCB" w:rsidRPr="00D37FCB" w:rsidRDefault="00D37FCB" w:rsidP="00D37FCB">
      <w:pPr>
        <w:rPr>
          <w:rFonts w:ascii="Cambria" w:eastAsia="MS Mincho" w:hAnsi="Cambria" w:cs="Times New Roman"/>
        </w:rPr>
      </w:pPr>
      <w:r w:rsidRPr="00D37FCB">
        <w:rPr>
          <w:rFonts w:ascii="Cambria" w:eastAsia="MS Mincho" w:hAnsi="Cambria" w:cs="Times New Roman"/>
        </w:rPr>
        <w:t xml:space="preserve">Ces mesures pérennisent des mesures en vigueur précédemment mais tiennent explicitement compte de la situation particulière des pouvoirs publics </w:t>
      </w:r>
    </w:p>
    <w:p w14:paraId="6BBEC75D" w14:textId="77777777" w:rsidR="00D37FCB" w:rsidRPr="00D37FCB" w:rsidRDefault="00D37FCB" w:rsidP="00D37FCB">
      <w:pPr>
        <w:rPr>
          <w:rFonts w:ascii="Cambria" w:eastAsia="MS Mincho" w:hAnsi="Cambria" w:cs="Times New Roman"/>
        </w:rPr>
      </w:pPr>
      <w:r w:rsidRPr="00D37FCB">
        <w:rPr>
          <w:rFonts w:ascii="Cambria" w:eastAsia="MS Mincho" w:hAnsi="Cambria" w:cs="Times New Roman"/>
        </w:rPr>
        <w:t xml:space="preserve">Je vous renvoie pour plus de détail à la circulaire fédérale 2023/C/65 FAQ du 26 juin 2023 ayant trait à ce sujet, et notamment son point 7. La prise de connaissance de l’ensemble de la circulaire paraît néanmoins indispensable. Le lien pour y accéder est le suivant : </w:t>
      </w:r>
    </w:p>
    <w:p w14:paraId="10F334D9" w14:textId="77777777" w:rsidR="00D37FCB" w:rsidRPr="00D37FCB" w:rsidRDefault="00D37FCB" w:rsidP="00D37FCB">
      <w:pPr>
        <w:rPr>
          <w:rFonts w:ascii="Cambria" w:eastAsia="MS Mincho" w:hAnsi="Cambria" w:cs="Times New Roman"/>
        </w:rPr>
      </w:pPr>
      <w:r w:rsidRPr="00D37FCB">
        <w:rPr>
          <w:rFonts w:ascii="Cambria" w:eastAsia="MS Mincho" w:hAnsi="Cambria" w:cs="Times New Roman"/>
        </w:rPr>
        <w:t xml:space="preserve">https://eservices.minfin.fgov.be/myminfin-web/pages/public/fisconet/document/a9611779-427d-4316-9afa-6fb30c0198a7 </w:t>
      </w:r>
    </w:p>
    <w:p w14:paraId="5D3F1843" w14:textId="77777777" w:rsidR="00D37FCB" w:rsidRPr="00D37FCB" w:rsidRDefault="00D37FCB" w:rsidP="00D37FCB">
      <w:pPr>
        <w:rPr>
          <w:rFonts w:ascii="Cambria" w:eastAsia="MS Mincho" w:hAnsi="Cambria" w:cs="Times New Roman"/>
        </w:rPr>
      </w:pPr>
      <w:r w:rsidRPr="00D37FCB">
        <w:rPr>
          <w:rFonts w:ascii="Cambria" w:eastAsia="MS Mincho" w:hAnsi="Cambria" w:cs="Times New Roman"/>
        </w:rPr>
        <w:lastRenderedPageBreak/>
        <w:t xml:space="preserve">Le cas échéant, je vous invite à examiner votre contrat, ainsi que les procédures éventuelles à suivre, explicitées dans la même circulaire. </w:t>
      </w:r>
    </w:p>
    <w:p w14:paraId="59BFC635" w14:textId="58929B5A" w:rsidR="00D37FCB" w:rsidRDefault="00D37FCB" w:rsidP="00D37FCB">
      <w:pPr>
        <w:rPr>
          <w:rFonts w:ascii="Cambria" w:eastAsia="MS Mincho" w:hAnsi="Cambria" w:cs="Times New Roman"/>
        </w:rPr>
      </w:pPr>
      <w:r w:rsidRPr="00D37FCB">
        <w:rPr>
          <w:rFonts w:ascii="Cambria" w:eastAsia="MS Mincho" w:hAnsi="Cambria" w:cs="Times New Roman"/>
        </w:rPr>
        <w:t>Cette recommandation est également valable pour l’ensemble des entités para-communales.</w:t>
      </w:r>
    </w:p>
    <w:p w14:paraId="09F7B8B8" w14:textId="4BDCF486" w:rsidR="00DB02D3" w:rsidRDefault="00DB02D3" w:rsidP="00B03361">
      <w:pPr>
        <w:pStyle w:val="Titre2"/>
      </w:pPr>
      <w:bookmarkStart w:id="48" w:name="_Toc225504079"/>
      <w:bookmarkStart w:id="49" w:name="_Toc225772167"/>
      <w:bookmarkStart w:id="50" w:name="_Toc233626019"/>
      <w:r w:rsidRPr="005C4637">
        <w:t>Délais de paiement (Directive 2011/7/UE)</w:t>
      </w:r>
      <w:bookmarkEnd w:id="48"/>
      <w:bookmarkEnd w:id="49"/>
      <w:bookmarkEnd w:id="50"/>
    </w:p>
    <w:p w14:paraId="19ED5E74" w14:textId="77777777" w:rsidR="00273ECB" w:rsidRPr="00273ECB" w:rsidRDefault="00273ECB" w:rsidP="0027289C"/>
    <w:p w14:paraId="7AFF038B" w14:textId="7CCE92EB" w:rsidR="00E117CD" w:rsidRPr="00E117CD" w:rsidRDefault="00AC426A" w:rsidP="00E117CD">
      <w:pPr>
        <w:rPr>
          <w:rFonts w:ascii="Cambria" w:eastAsia="MS Mincho" w:hAnsi="Cambria" w:cs="Times New Roman"/>
        </w:rPr>
      </w:pPr>
      <w:r w:rsidRPr="00AC426A">
        <w:rPr>
          <w:rFonts w:ascii="Cambria" w:eastAsia="MS Mincho" w:hAnsi="Cambria" w:cs="Times New Roman"/>
        </w:rPr>
        <w:t>La directive 2011/7/UE du 16 février 2011 a remplacé la directive 2000/35/CE sur la lutte contre le retard de paiement dans les transactions commerciales. Elle a introduit plusieurs modifications substantielles par rapport au régime précédent, afin d’harmoniser davantage les délais de paiement en Europe et de protéger surtout les créanciers (notamment les PME). Dans le régime autrefois applicable (directive 2000/35/CE), les délais de paiement n’étaient pas strictement harmonisés : la règle de principe était 30 jours, mais il y avait une grande marge de manoeuvre pour prévoir des délais plus longs par contrat, sans limite claire. Depuis l’entrée en vigueur de la Directive 2011/7/UE, il est désormais prévu le dispositif suivant :</w:t>
      </w:r>
    </w:p>
    <w:p w14:paraId="2437F18B" w14:textId="77777777" w:rsidR="00E117CD" w:rsidRPr="00E117CD" w:rsidRDefault="00E117CD">
      <w:pPr>
        <w:numPr>
          <w:ilvl w:val="1"/>
          <w:numId w:val="217"/>
        </w:numPr>
        <w:rPr>
          <w:rFonts w:ascii="Cambria" w:eastAsia="MS Mincho" w:hAnsi="Cambria" w:cs="Times New Roman"/>
        </w:rPr>
      </w:pPr>
      <w:r w:rsidRPr="00E117CD">
        <w:rPr>
          <w:rFonts w:ascii="Cambria" w:eastAsia="MS Mincho" w:hAnsi="Cambria" w:cs="Times New Roman"/>
          <w:b/>
          <w:bCs/>
          <w:i/>
          <w:iCs/>
        </w:rPr>
        <w:t xml:space="preserve">Transactions entre entreprises (B2B) : Délai de paiement = 30 jours calendrier après réception de la facture ou des marchandises. Possibilité de prolonger jusqu’à 60 jours si cela est expressément convenu et ne constitue pas un abus manifeste. </w:t>
      </w:r>
    </w:p>
    <w:p w14:paraId="113A39B1" w14:textId="77777777" w:rsidR="00E117CD" w:rsidRPr="00E117CD" w:rsidRDefault="00E117CD">
      <w:pPr>
        <w:numPr>
          <w:ilvl w:val="1"/>
          <w:numId w:val="217"/>
        </w:numPr>
        <w:rPr>
          <w:rFonts w:ascii="Cambria" w:eastAsia="MS Mincho" w:hAnsi="Cambria" w:cs="Times New Roman"/>
        </w:rPr>
      </w:pPr>
      <w:r w:rsidRPr="00E117CD">
        <w:rPr>
          <w:rFonts w:ascii="Cambria" w:eastAsia="MS Mincho" w:hAnsi="Cambria" w:cs="Times New Roman"/>
          <w:b/>
          <w:bCs/>
          <w:i/>
          <w:iCs/>
        </w:rPr>
        <w:t xml:space="preserve">Transactions avec pouvoirs publics (B2G) : Règle stricte : 30 jours calendrier maximum. Exception : pour certains hôpitaux et établissements de santé publics, délai porté à 60 jours en raison de leurs spécificités. Toute clause prévoyant un délai supérieur est en principe nulle. </w:t>
      </w:r>
    </w:p>
    <w:p w14:paraId="08F4C3FB" w14:textId="77777777" w:rsidR="00E117CD" w:rsidRPr="00E117CD" w:rsidRDefault="00E117CD" w:rsidP="00E117CD">
      <w:pPr>
        <w:rPr>
          <w:rFonts w:ascii="Cambria" w:eastAsia="MS Mincho" w:hAnsi="Cambria" w:cs="Times New Roman"/>
        </w:rPr>
      </w:pPr>
      <w:r w:rsidRPr="00E117CD">
        <w:rPr>
          <w:rFonts w:ascii="Cambria" w:eastAsia="MS Mincho" w:hAnsi="Cambria" w:cs="Times New Roman"/>
        </w:rPr>
        <w:t xml:space="preserve">Dans le cadre de la lutte contre le retard de paiement dans les transactions commerciales, et de l’application de la directive européenne 2011/7/UE du 16 février 2011, la Commission européenne souhaite disposer des délais de paiement appliqués par les pouvoirs locaux, afin « d’avoir </w:t>
      </w:r>
      <w:r w:rsidRPr="00E117CD">
        <w:rPr>
          <w:rFonts w:ascii="Cambria" w:eastAsia="MS Mincho" w:hAnsi="Cambria" w:cs="Times New Roman"/>
          <w:i/>
          <w:iCs/>
        </w:rPr>
        <w:t>une vue plus complète de la manière dont la Belgique garantit le respect des obligations découlant de ladite directive »</w:t>
      </w:r>
      <w:r w:rsidRPr="00E117CD">
        <w:rPr>
          <w:rFonts w:ascii="Cambria" w:eastAsia="MS Mincho" w:hAnsi="Cambria" w:cs="Times New Roman"/>
        </w:rPr>
        <w:t xml:space="preserve">. </w:t>
      </w:r>
    </w:p>
    <w:p w14:paraId="310F2CAE" w14:textId="77777777" w:rsidR="00E117CD" w:rsidRPr="00E117CD" w:rsidRDefault="00E117CD" w:rsidP="00E117CD">
      <w:pPr>
        <w:rPr>
          <w:rFonts w:ascii="Cambria" w:eastAsia="MS Mincho" w:hAnsi="Cambria" w:cs="Times New Roman"/>
        </w:rPr>
      </w:pPr>
      <w:r w:rsidRPr="00E117CD">
        <w:rPr>
          <w:rFonts w:ascii="Cambria" w:eastAsia="MS Mincho" w:hAnsi="Cambria" w:cs="Times New Roman"/>
        </w:rPr>
        <w:t xml:space="preserve">Afin de répondre à cette demande de la Commission européenne et d’éviter une condamnation de la Belgique ainsi que les sanctions pécuniaires qui en découleraient, le SPW IAS vous transmet deux fois par an un tableau à compléter et à lui renvoyer. </w:t>
      </w:r>
    </w:p>
    <w:p w14:paraId="2E31E767" w14:textId="77777777" w:rsidR="00E117CD" w:rsidRPr="00E117CD" w:rsidRDefault="00E117CD" w:rsidP="00E117CD">
      <w:pPr>
        <w:rPr>
          <w:rFonts w:ascii="Cambria" w:eastAsia="MS Mincho" w:hAnsi="Cambria" w:cs="Times New Roman"/>
        </w:rPr>
      </w:pPr>
      <w:r w:rsidRPr="00E117CD">
        <w:rPr>
          <w:rFonts w:ascii="Cambria" w:eastAsia="MS Mincho" w:hAnsi="Cambria" w:cs="Times New Roman"/>
        </w:rPr>
        <w:t xml:space="preserve">Pour les autorités communales qui disposent du module « facture ou pièce entrante » dans leur application comptable, je les invite à l’utiliser afin que le cadre supérieur du tableau à compléter puisse au moins être généré automatiquement via eComptes. </w:t>
      </w:r>
    </w:p>
    <w:p w14:paraId="4900977B" w14:textId="4B872C3D" w:rsidR="00312946" w:rsidRPr="005C4637" w:rsidRDefault="00E117CD" w:rsidP="00E117CD">
      <w:pPr>
        <w:rPr>
          <w:rFonts w:ascii="Cambria" w:eastAsia="MS Mincho" w:hAnsi="Cambria" w:cs="Times New Roman"/>
        </w:rPr>
      </w:pPr>
      <w:r w:rsidRPr="00E117CD">
        <w:rPr>
          <w:rFonts w:ascii="Cambria" w:eastAsia="MS Mincho" w:hAnsi="Cambria" w:cs="Times New Roman"/>
        </w:rPr>
        <w:t xml:space="preserve">Je vous rappelle en outre que l’article 59 du RGCC prévoit que « </w:t>
      </w:r>
      <w:r w:rsidRPr="00E117CD">
        <w:rPr>
          <w:rFonts w:ascii="Cambria" w:eastAsia="MS Mincho" w:hAnsi="Cambria" w:cs="Times New Roman"/>
          <w:i/>
          <w:iCs/>
        </w:rPr>
        <w:t>le directeur financier procède immédiatement à l'enregistrement temporaire des factures ou documents en tenant lieu dans</w:t>
      </w:r>
    </w:p>
    <w:p w14:paraId="4A0026CC" w14:textId="21AEA5B2" w:rsidR="00DB02D3" w:rsidRPr="005C4637" w:rsidRDefault="00DB02D3" w:rsidP="00B03361">
      <w:pPr>
        <w:pStyle w:val="Titre2"/>
      </w:pPr>
      <w:bookmarkStart w:id="51" w:name="_Toc225504083"/>
      <w:bookmarkStart w:id="52" w:name="_Toc225772171"/>
      <w:bookmarkStart w:id="53" w:name="_Toc233626020"/>
      <w:r w:rsidRPr="005C4637">
        <w:lastRenderedPageBreak/>
        <w:t>Plan Air Climat Énergie (PACE) 2030</w:t>
      </w:r>
      <w:bookmarkEnd w:id="51"/>
      <w:bookmarkEnd w:id="52"/>
      <w:bookmarkEnd w:id="53"/>
    </w:p>
    <w:p w14:paraId="02DD2A5E" w14:textId="1871F98C" w:rsidR="00DB02D3" w:rsidRPr="005C4637" w:rsidRDefault="00DB02D3" w:rsidP="00BA5C86">
      <w:pPr>
        <w:pStyle w:val="Titre3"/>
        <w:numPr>
          <w:ilvl w:val="0"/>
          <w:numId w:val="0"/>
        </w:numPr>
        <w:ind w:left="786" w:hanging="360"/>
      </w:pPr>
      <w:bookmarkStart w:id="54" w:name="_Toc225504084"/>
      <w:bookmarkStart w:id="55" w:name="_Toc225772172"/>
      <w:bookmarkStart w:id="56" w:name="_Toc233626021"/>
      <w:r w:rsidRPr="005C4637">
        <w:t>Quelle orientation pour les investissements ?</w:t>
      </w:r>
      <w:bookmarkEnd w:id="54"/>
      <w:bookmarkEnd w:id="55"/>
      <w:bookmarkEnd w:id="56"/>
    </w:p>
    <w:p w14:paraId="79AF0BD9" w14:textId="77777777" w:rsidR="00DB02D3" w:rsidRDefault="00DB02D3" w:rsidP="00DB02D3">
      <w:pPr>
        <w:rPr>
          <w:rFonts w:ascii="Cambria" w:eastAsia="MS Mincho" w:hAnsi="Cambria" w:cs="Times New Roman"/>
        </w:rPr>
      </w:pPr>
      <w:r w:rsidRPr="005C4637">
        <w:rPr>
          <w:rFonts w:ascii="Cambria" w:eastAsia="MS Mincho" w:hAnsi="Cambria" w:cs="Times New Roman"/>
        </w:rPr>
        <w:t>Aligner les investissements et dépenses extraordinaires sur la transition énergétique et la réduction des GES ; rôle clé des pouvoirs locaux (DPR 2024–2029 ; PAGE adopté en mars 2023).</w:t>
      </w:r>
    </w:p>
    <w:p w14:paraId="2F9B9744" w14:textId="385C9576" w:rsidR="45BDB468" w:rsidRDefault="45BDB468" w:rsidP="576FACCB">
      <w:pPr>
        <w:rPr>
          <w:rFonts w:ascii="Calibri" w:eastAsia="Calibri" w:hAnsi="Calibri" w:cs="Calibri"/>
          <w:i/>
          <w:iCs/>
        </w:rPr>
      </w:pPr>
      <w:r w:rsidRPr="576FACCB">
        <w:rPr>
          <w:rFonts w:ascii="Calibri" w:eastAsia="Calibri" w:hAnsi="Calibri" w:cs="Calibri"/>
          <w:i/>
          <w:iCs/>
        </w:rPr>
        <w:t>Les pouvoirs locaux sont invités à intégrer, dans la préparation de leurs budgets extraordinaires, une attention particulière à l’impact climatique de leurs investissements. Ils sont encouragés à privilégier les projets contribuant à la réduction des émissions de gaz à effet de serre et à l’adaptation au changement climatique.</w:t>
      </w:r>
    </w:p>
    <w:p w14:paraId="170A2100" w14:textId="0993E277" w:rsidR="45BDB468" w:rsidRDefault="45BDB468" w:rsidP="001B36D8">
      <w:pPr>
        <w:spacing w:after="0"/>
        <w:rPr>
          <w:rFonts w:ascii="Calibri" w:eastAsia="Calibri" w:hAnsi="Calibri" w:cs="Calibri"/>
          <w:i/>
          <w:iCs/>
        </w:rPr>
      </w:pPr>
      <w:r w:rsidRPr="576FACCB">
        <w:rPr>
          <w:rFonts w:ascii="Calibri" w:eastAsia="Calibri" w:hAnsi="Calibri" w:cs="Calibri"/>
          <w:i/>
          <w:iCs/>
        </w:rPr>
        <w:t>Dans le domaine du patrimoine bâti, les communes et provinces sont encouragées à améliorer la performance énergétique des bâtiments publics, notamment par l’isolation renforcée, l’usage d’éco‑matériaux, la modernisation des systèmes de chauffage et de ventilation, l’optimisation des consommations ou encore l’intégration d’énergies renouvelables. Ces interventions s’inscrivent dans les orientations régionales visant des bâtiments plus durables, performants et compatibles avec une trajectoire de neutralité carbone.</w:t>
      </w:r>
    </w:p>
    <w:p w14:paraId="0E00675E" w14:textId="77777777" w:rsidR="00A96800" w:rsidRDefault="00A96800" w:rsidP="001B36D8">
      <w:pPr>
        <w:spacing w:after="0"/>
        <w:rPr>
          <w:rFonts w:ascii="Calibri" w:eastAsia="Calibri" w:hAnsi="Calibri" w:cs="Calibri"/>
          <w:i/>
          <w:iCs/>
        </w:rPr>
      </w:pPr>
    </w:p>
    <w:p w14:paraId="371DD697" w14:textId="29951BAE" w:rsidR="45BDB468" w:rsidRDefault="45BDB468" w:rsidP="001B36D8">
      <w:pPr>
        <w:spacing w:after="0"/>
        <w:rPr>
          <w:rFonts w:ascii="Calibri" w:eastAsia="Calibri" w:hAnsi="Calibri" w:cs="Calibri"/>
          <w:i/>
          <w:iCs/>
        </w:rPr>
      </w:pPr>
      <w:r w:rsidRPr="576FACCB">
        <w:rPr>
          <w:rFonts w:ascii="Calibri" w:eastAsia="Calibri" w:hAnsi="Calibri" w:cs="Calibri"/>
          <w:i/>
          <w:iCs/>
        </w:rPr>
        <w:t>Les investissements en mobilité durable constituent également un levier important : aménagements cyclables, trottoirs accessibles, zones apaisées, infrastructures favorisant la marche et les transports collectifs. Ces projets, cohérents avec le principe STOP, contribuent à réduire les émissions liées aux déplacements tout en améliorant la qualité de vie.</w:t>
      </w:r>
    </w:p>
    <w:p w14:paraId="7D1EA0D5" w14:textId="002C0059" w:rsidR="45BDB468" w:rsidRDefault="45BDB468" w:rsidP="001B36D8">
      <w:pPr>
        <w:spacing w:after="0"/>
        <w:rPr>
          <w:rFonts w:ascii="Calibri" w:eastAsia="Calibri" w:hAnsi="Calibri" w:cs="Calibri"/>
          <w:i/>
          <w:iCs/>
        </w:rPr>
      </w:pPr>
      <w:r w:rsidRPr="576FACCB">
        <w:rPr>
          <w:rFonts w:ascii="Calibri" w:eastAsia="Calibri" w:hAnsi="Calibri" w:cs="Calibri"/>
          <w:i/>
          <w:iCs/>
        </w:rPr>
        <w:t>Les travaux de voirie peuvent intégrer des solutions limitant l’imperméabilisation des sols, telles que des surfaces perméables, des fossés à ciel ouvert ou des structures drainantes, afin de renforcer la résilience des espaces publics face aux épisodes climatiques extrêmes.</w:t>
      </w:r>
    </w:p>
    <w:p w14:paraId="1236A705" w14:textId="5EDFFA04" w:rsidR="45BDB468" w:rsidRDefault="45BDB468" w:rsidP="001B36D8">
      <w:pPr>
        <w:spacing w:after="0"/>
        <w:rPr>
          <w:rFonts w:ascii="Calibri" w:eastAsia="Calibri" w:hAnsi="Calibri" w:cs="Calibri"/>
          <w:i/>
          <w:iCs/>
        </w:rPr>
      </w:pPr>
      <w:r w:rsidRPr="576FACCB">
        <w:rPr>
          <w:rFonts w:ascii="Calibri" w:eastAsia="Calibri" w:hAnsi="Calibri" w:cs="Calibri"/>
          <w:i/>
          <w:iCs/>
        </w:rPr>
        <w:t>Ces orientations visent à soutenir les pouvoirs locaux dans la mise en œuvre d’infrastructures plus durables, plus sobres en énergie et mieux adaptées aux défis climatiques, tout en respectant pleinement leur autonomie.</w:t>
      </w:r>
    </w:p>
    <w:p w14:paraId="00A7D9F5" w14:textId="3B05B90E" w:rsidR="576FACCB" w:rsidRDefault="576FACCB" w:rsidP="576FACCB">
      <w:pPr>
        <w:rPr>
          <w:rFonts w:ascii="Cambria" w:eastAsia="MS Mincho" w:hAnsi="Cambria" w:cs="Times New Roman"/>
        </w:rPr>
      </w:pPr>
    </w:p>
    <w:p w14:paraId="4B666A69" w14:textId="6E187C44" w:rsidR="00DB02D3" w:rsidRPr="005C4637" w:rsidRDefault="00DB02D3" w:rsidP="00B03361">
      <w:pPr>
        <w:pStyle w:val="Titre2"/>
      </w:pPr>
      <w:bookmarkStart w:id="57" w:name="_Toc225504085"/>
      <w:bookmarkStart w:id="58" w:name="_Toc225772173"/>
      <w:bookmarkStart w:id="59" w:name="_Toc233626022"/>
      <w:r w:rsidRPr="005C4637">
        <w:t>Biodiversité</w:t>
      </w:r>
      <w:bookmarkEnd w:id="57"/>
      <w:bookmarkEnd w:id="58"/>
      <w:bookmarkEnd w:id="59"/>
    </w:p>
    <w:p w14:paraId="330D222D" w14:textId="7EEC14C2" w:rsidR="00DB02D3" w:rsidRPr="005C4637" w:rsidRDefault="00DB02D3" w:rsidP="00BA5C86">
      <w:pPr>
        <w:pStyle w:val="Titre3"/>
        <w:numPr>
          <w:ilvl w:val="0"/>
          <w:numId w:val="0"/>
        </w:numPr>
        <w:ind w:left="426"/>
      </w:pPr>
      <w:bookmarkStart w:id="60" w:name="_Toc225504086"/>
      <w:bookmarkStart w:id="61" w:name="_Toc225772174"/>
      <w:bookmarkStart w:id="62" w:name="_Toc233626023"/>
      <w:r w:rsidRPr="005C4637">
        <w:t>Quel objectif et quels leviers ?</w:t>
      </w:r>
      <w:bookmarkEnd w:id="60"/>
      <w:bookmarkEnd w:id="61"/>
      <w:bookmarkEnd w:id="62"/>
    </w:p>
    <w:p w14:paraId="1E65976D" w14:textId="77777777" w:rsidR="00273ECB" w:rsidRDefault="00273ECB" w:rsidP="00FF1648">
      <w:pPr>
        <w:rPr>
          <w:rFonts w:ascii="Cambria" w:eastAsia="MS Mincho" w:hAnsi="Cambria" w:cs="Times New Roman"/>
        </w:rPr>
      </w:pPr>
    </w:p>
    <w:p w14:paraId="65172E94" w14:textId="6FB8C4DF" w:rsidR="00FF1648" w:rsidRPr="00FF1648" w:rsidRDefault="00FF1648" w:rsidP="00FF1648">
      <w:pPr>
        <w:rPr>
          <w:rFonts w:ascii="Cambria" w:eastAsia="MS Mincho" w:hAnsi="Cambria" w:cs="Times New Roman"/>
        </w:rPr>
      </w:pPr>
      <w:r w:rsidRPr="00FF1648">
        <w:rPr>
          <w:rFonts w:ascii="Cambria" w:eastAsia="MS Mincho" w:hAnsi="Cambria" w:cs="Times New Roman"/>
        </w:rPr>
        <w:t xml:space="preserve">Le 2 juillet 2025, je faisais parvenir conjointement avec la Ministre de l’Agriculture un courrier à l’ensemble des communes relatif au renforcement de la protection de la biodiversité au niveau de la politique des pouvoirs locaux. </w:t>
      </w:r>
    </w:p>
    <w:p w14:paraId="4EFA9869" w14:textId="77777777" w:rsidR="00D575EB" w:rsidRDefault="00FF1648" w:rsidP="00FF1648">
      <w:pPr>
        <w:rPr>
          <w:rFonts w:ascii="Cambria" w:eastAsia="MS Mincho" w:hAnsi="Cambria" w:cs="Times New Roman"/>
        </w:rPr>
      </w:pPr>
      <w:r w:rsidRPr="00FF1648">
        <w:rPr>
          <w:rFonts w:ascii="Cambria" w:eastAsia="MS Mincho" w:hAnsi="Cambria" w:cs="Times New Roman"/>
        </w:rPr>
        <w:t xml:space="preserve">La Wallonie s’est fixé l’objectif ambitieux, en cohérence avec la Stratégie européenne, de porter à 5 % la superficie de son territoire sous statut de protection forte d’ici 2030, soit 84.505 hectares, contre 31.762 hectares actuellement, ce qui implique de protéger plus de 52.000 hectares supplémentaires dans les cinq prochaines années. Les pouvoirs locaux sont </w:t>
      </w:r>
      <w:r w:rsidRPr="00FF1648">
        <w:rPr>
          <w:rFonts w:ascii="Cambria" w:eastAsia="MS Mincho" w:hAnsi="Cambria" w:cs="Times New Roman"/>
        </w:rPr>
        <w:lastRenderedPageBreak/>
        <w:t xml:space="preserve">invités à contribuer activement à cet effort en mobilisant différents leviers : valorisation et protection des propriétés publiques favorables à la biodiversité, intégration des enjeux de conservation dans les schémas de développement communal, les permis et l’infrastructure verte, recours aux charges d’urbanisme et anticipation des futures obligations de compensation biodiversité. Ces leviers sont plus largement développés dans la circulaire susmentionnée. </w:t>
      </w:r>
    </w:p>
    <w:p w14:paraId="7C3DAEDC" w14:textId="5B97C365" w:rsidR="00DB02D3" w:rsidRDefault="00DB02D3" w:rsidP="00B03361">
      <w:pPr>
        <w:pStyle w:val="Titre2"/>
      </w:pPr>
      <w:bookmarkStart w:id="63" w:name="_Toc225504087"/>
      <w:bookmarkStart w:id="64" w:name="_Toc225772175"/>
      <w:bookmarkStart w:id="65" w:name="_Toc233626024"/>
      <w:r w:rsidRPr="005C4637">
        <w:t>Marchés publics de services financiers</w:t>
      </w:r>
      <w:bookmarkEnd w:id="63"/>
      <w:bookmarkEnd w:id="64"/>
      <w:bookmarkEnd w:id="65"/>
    </w:p>
    <w:p w14:paraId="16418D78" w14:textId="77777777" w:rsidR="00273ECB" w:rsidRPr="00273ECB" w:rsidRDefault="00273ECB" w:rsidP="0027289C"/>
    <w:p w14:paraId="37997A0A" w14:textId="77777777" w:rsidR="00481B30" w:rsidRPr="00481B30" w:rsidRDefault="00481B30" w:rsidP="00481B30">
      <w:pPr>
        <w:rPr>
          <w:rFonts w:ascii="Cambria" w:eastAsia="MS Mincho" w:hAnsi="Cambria" w:cs="Times New Roman"/>
        </w:rPr>
      </w:pPr>
      <w:r w:rsidRPr="00481B30">
        <w:rPr>
          <w:rFonts w:ascii="Cambria" w:eastAsia="MS Mincho" w:hAnsi="Cambria" w:cs="Times New Roman"/>
        </w:rPr>
        <w:t xml:space="preserve">L’article 28, 6° de la loi du 17 juin 2016 relative aux marchés publics dispose que cette législation ne s’applique pas aux marchés publics de services ayant pour objet des prêts, qu’ils soient ou non liés à l’émission, la vente, l’achat ou le transfert de titres ou d’autres instruments financiers. Ces services échappent donc à l’application stricte de la réglementation précitée. </w:t>
      </w:r>
    </w:p>
    <w:p w14:paraId="15EB984B" w14:textId="77777777" w:rsidR="00481B30" w:rsidRPr="00481B30" w:rsidRDefault="00481B30" w:rsidP="00481B30">
      <w:pPr>
        <w:rPr>
          <w:rFonts w:ascii="Cambria" w:eastAsia="MS Mincho" w:hAnsi="Cambria" w:cs="Times New Roman"/>
        </w:rPr>
      </w:pPr>
      <w:r w:rsidRPr="00481B30">
        <w:rPr>
          <w:rFonts w:ascii="Cambria" w:eastAsia="MS Mincho" w:hAnsi="Cambria" w:cs="Times New Roman"/>
        </w:rPr>
        <w:t xml:space="preserve">Cependant, les grands principes du droit administratif applicables à la passation des marchés publics, notamment les principes d’égalité de traitement, de non-discrimination, de motivation et de proportionnalité, doivent impérativement être respectés, afin de garantir une concurrence loyale. </w:t>
      </w:r>
    </w:p>
    <w:p w14:paraId="0A3E33BD" w14:textId="77777777" w:rsidR="00481B30" w:rsidRPr="00481B30" w:rsidRDefault="00481B30" w:rsidP="00481B30">
      <w:pPr>
        <w:rPr>
          <w:rFonts w:ascii="Cambria" w:eastAsia="MS Mincho" w:hAnsi="Cambria" w:cs="Times New Roman"/>
        </w:rPr>
      </w:pPr>
      <w:r w:rsidRPr="00481B30">
        <w:rPr>
          <w:rFonts w:ascii="Cambria" w:eastAsia="MS Mincho" w:hAnsi="Cambria" w:cs="Times New Roman"/>
        </w:rPr>
        <w:t xml:space="preserve">Au-delà de ces considérations essentielles, et au vu du contexte économique et financier actuel — marqué notamment par une hausse significative des taux d’intérêt et par le poids croissant des charges d’intérêts — il me paraît utile d’attirer votre attention sur plusieurs recommandations, non exhaustives, à prendre en compte lors de la définition des conditions de votre marché : </w:t>
      </w:r>
    </w:p>
    <w:p w14:paraId="0F539FDF" w14:textId="77777777" w:rsidR="00481B30" w:rsidRPr="00481B30" w:rsidRDefault="00481B30" w:rsidP="00481B30">
      <w:pPr>
        <w:rPr>
          <w:rFonts w:ascii="Cambria" w:eastAsia="MS Mincho" w:hAnsi="Cambria" w:cs="Times New Roman"/>
        </w:rPr>
      </w:pPr>
      <w:r w:rsidRPr="00481B30">
        <w:rPr>
          <w:rFonts w:ascii="Cambria" w:eastAsia="MS Mincho" w:hAnsi="Cambria" w:cs="Times New Roman"/>
          <w:b/>
          <w:bCs/>
        </w:rPr>
        <w:t xml:space="preserve">Pondération des critères </w:t>
      </w:r>
      <w:r w:rsidRPr="00481B30">
        <w:rPr>
          <w:rFonts w:ascii="Cambria" w:eastAsia="MS Mincho" w:hAnsi="Cambria" w:cs="Times New Roman"/>
        </w:rPr>
        <w:t xml:space="preserve">: Il est recommandé d’accorder une pondération importante au critère du prix, qui devrait refléter sa portée dans le choix de l’adjudicataire. Le prix doit notamment intégrer la marge appliquée pendant la période de prélèvement ainsi que la commission de réservation. </w:t>
      </w:r>
    </w:p>
    <w:p w14:paraId="1628E90F" w14:textId="77777777" w:rsidR="00481B30" w:rsidRPr="00481B30" w:rsidRDefault="00481B30" w:rsidP="00481B30">
      <w:pPr>
        <w:rPr>
          <w:rFonts w:ascii="Cambria" w:eastAsia="MS Mincho" w:hAnsi="Cambria" w:cs="Times New Roman"/>
        </w:rPr>
      </w:pPr>
      <w:r w:rsidRPr="00481B30">
        <w:rPr>
          <w:rFonts w:ascii="Cambria" w:eastAsia="MS Mincho" w:hAnsi="Cambria" w:cs="Times New Roman"/>
          <w:b/>
          <w:bCs/>
        </w:rPr>
        <w:t xml:space="preserve">Services complémentaires </w:t>
      </w:r>
      <w:r w:rsidRPr="00481B30">
        <w:rPr>
          <w:rFonts w:ascii="Cambria" w:eastAsia="MS Mincho" w:hAnsi="Cambria" w:cs="Times New Roman"/>
        </w:rPr>
        <w:t xml:space="preserve">: Dans la mesure où des services annexes au financement sont parfois sollicités, il convient d’en évaluer la pertinence au regard de leur coût. Il est dès lors conseillé de limiter ces services aux seuls éléments strictement nécessaires à l’exécution du marché. </w:t>
      </w:r>
    </w:p>
    <w:p w14:paraId="369A643F" w14:textId="3F2433F0" w:rsidR="00481B30" w:rsidRDefault="00481B30" w:rsidP="00481B30">
      <w:pPr>
        <w:rPr>
          <w:rFonts w:ascii="Cambria" w:eastAsia="MS Mincho" w:hAnsi="Cambria" w:cs="Times New Roman"/>
        </w:rPr>
      </w:pPr>
      <w:r w:rsidRPr="00481B30">
        <w:rPr>
          <w:rFonts w:ascii="Cambria" w:eastAsia="MS Mincho" w:hAnsi="Cambria" w:cs="Times New Roman"/>
          <w:b/>
          <w:bCs/>
        </w:rPr>
        <w:t xml:space="preserve">Durée de validité des offres </w:t>
      </w:r>
      <w:r w:rsidRPr="00481B30">
        <w:rPr>
          <w:rFonts w:ascii="Cambria" w:eastAsia="MS Mincho" w:hAnsi="Cambria" w:cs="Times New Roman"/>
        </w:rPr>
        <w:t>: Il est opportun de restreindre cette durée au strict nécessaire, afin de réduire les coûts supportés par les établissements de crédit pour la mobilisation de</w:t>
      </w:r>
      <w:r>
        <w:rPr>
          <w:rFonts w:ascii="Cambria" w:eastAsia="MS Mincho" w:hAnsi="Cambria" w:cs="Times New Roman"/>
        </w:rPr>
        <w:t xml:space="preserve"> </w:t>
      </w:r>
      <w:r w:rsidRPr="00481B30">
        <w:rPr>
          <w:rFonts w:ascii="Cambria" w:eastAsia="MS Mincho" w:hAnsi="Cambria" w:cs="Times New Roman"/>
        </w:rPr>
        <w:t>leurs fonds propres.</w:t>
      </w:r>
    </w:p>
    <w:p w14:paraId="1D920BC7" w14:textId="77777777" w:rsidR="00713A35" w:rsidRPr="00713A35" w:rsidRDefault="00713A35" w:rsidP="00713A35">
      <w:pPr>
        <w:rPr>
          <w:rFonts w:ascii="Cambria" w:eastAsia="MS Mincho" w:hAnsi="Cambria" w:cs="Times New Roman"/>
        </w:rPr>
      </w:pPr>
      <w:r w:rsidRPr="00713A35">
        <w:rPr>
          <w:rFonts w:ascii="Cambria" w:eastAsia="MS Mincho" w:hAnsi="Cambria" w:cs="Times New Roman"/>
          <w:b/>
          <w:bCs/>
        </w:rPr>
        <w:t xml:space="preserve">Montants empruntés </w:t>
      </w:r>
      <w:r w:rsidRPr="00713A35">
        <w:rPr>
          <w:rFonts w:ascii="Cambria" w:eastAsia="MS Mincho" w:hAnsi="Cambria" w:cs="Times New Roman"/>
        </w:rPr>
        <w:t xml:space="preserve">: Il est préférable, autant que possible, d’adapter les montants empruntés aux montants réellement engagés (attributions de marchés ou factures reçues), plutôt qu’aux crédits budgétaires estimés. </w:t>
      </w:r>
    </w:p>
    <w:p w14:paraId="06DA9EEC" w14:textId="77777777" w:rsidR="00713A35" w:rsidRPr="00713A35" w:rsidRDefault="00713A35" w:rsidP="00713A35">
      <w:pPr>
        <w:rPr>
          <w:rFonts w:ascii="Cambria" w:eastAsia="MS Mincho" w:hAnsi="Cambria" w:cs="Times New Roman"/>
        </w:rPr>
      </w:pPr>
      <w:r w:rsidRPr="00713A35">
        <w:rPr>
          <w:rFonts w:ascii="Cambria" w:eastAsia="MS Mincho" w:hAnsi="Cambria" w:cs="Times New Roman"/>
          <w:b/>
          <w:bCs/>
        </w:rPr>
        <w:lastRenderedPageBreak/>
        <w:t xml:space="preserve">Structuration des emprunts </w:t>
      </w:r>
      <w:r w:rsidRPr="00713A35">
        <w:rPr>
          <w:rFonts w:ascii="Cambria" w:eastAsia="MS Mincho" w:hAnsi="Cambria" w:cs="Times New Roman"/>
        </w:rPr>
        <w:t xml:space="preserve">: Il est judicieux de regrouper les projets par fonction ou entre fonctions similaires, lorsque les durées d’amortissement des emprunts sont comparables, afin de rationaliser les émissions de marchés d’emprunts. </w:t>
      </w:r>
    </w:p>
    <w:p w14:paraId="0C0F7E1B" w14:textId="77777777" w:rsidR="00713A35" w:rsidRPr="00713A35" w:rsidRDefault="00713A35" w:rsidP="00713A35">
      <w:pPr>
        <w:rPr>
          <w:rFonts w:ascii="Cambria" w:eastAsia="MS Mincho" w:hAnsi="Cambria" w:cs="Times New Roman"/>
        </w:rPr>
      </w:pPr>
      <w:r w:rsidRPr="00713A35">
        <w:rPr>
          <w:rFonts w:ascii="Cambria" w:eastAsia="MS Mincho" w:hAnsi="Cambria" w:cs="Times New Roman"/>
          <w:b/>
          <w:bCs/>
        </w:rPr>
        <w:t xml:space="preserve">Lots multiples </w:t>
      </w:r>
      <w:r w:rsidRPr="00713A35">
        <w:rPr>
          <w:rFonts w:ascii="Cambria" w:eastAsia="MS Mincho" w:hAnsi="Cambria" w:cs="Times New Roman"/>
        </w:rPr>
        <w:t xml:space="preserve">: Il est recommandé d’autoriser les soumissionnaires à introduire une offre pour un seul lot, plusieurs lots ou l’ensemble des lots. Cette souplesse est de nature à élargir la concurrence. </w:t>
      </w:r>
    </w:p>
    <w:p w14:paraId="49659864" w14:textId="77777777" w:rsidR="00713A35" w:rsidRPr="00713A35" w:rsidRDefault="00713A35" w:rsidP="00713A35">
      <w:pPr>
        <w:rPr>
          <w:rFonts w:ascii="Cambria" w:eastAsia="MS Mincho" w:hAnsi="Cambria" w:cs="Times New Roman"/>
        </w:rPr>
      </w:pPr>
      <w:r w:rsidRPr="00713A35">
        <w:rPr>
          <w:rFonts w:ascii="Cambria" w:eastAsia="MS Mincho" w:hAnsi="Cambria" w:cs="Times New Roman"/>
          <w:b/>
          <w:bCs/>
        </w:rPr>
        <w:t xml:space="preserve">Périodes de commande et de prélèvement </w:t>
      </w:r>
      <w:r w:rsidRPr="00713A35">
        <w:rPr>
          <w:rFonts w:ascii="Cambria" w:eastAsia="MS Mincho" w:hAnsi="Cambria" w:cs="Times New Roman"/>
        </w:rPr>
        <w:t xml:space="preserve">: Il convient de limiter la durée de ces périodes. Plus elles sont longues, plus les coûts supportés par l’adjudicataire augmentent, ce qui se répercute inévitablement sur le prix de l’offre. </w:t>
      </w:r>
    </w:p>
    <w:p w14:paraId="59941236" w14:textId="77777777" w:rsidR="00713A35" w:rsidRPr="00713A35" w:rsidRDefault="00713A35" w:rsidP="00713A35">
      <w:pPr>
        <w:rPr>
          <w:rFonts w:ascii="Cambria" w:eastAsia="MS Mincho" w:hAnsi="Cambria" w:cs="Times New Roman"/>
        </w:rPr>
      </w:pPr>
      <w:r w:rsidRPr="00713A35">
        <w:rPr>
          <w:rFonts w:ascii="Cambria" w:eastAsia="MS Mincho" w:hAnsi="Cambria" w:cs="Times New Roman"/>
          <w:b/>
          <w:bCs/>
        </w:rPr>
        <w:t xml:space="preserve">Types d’offres et révisions des taux </w:t>
      </w:r>
      <w:r w:rsidRPr="00713A35">
        <w:rPr>
          <w:rFonts w:ascii="Cambria" w:eastAsia="MS Mincho" w:hAnsi="Cambria" w:cs="Times New Roman"/>
        </w:rPr>
        <w:t xml:space="preserve">: Les révisions demandées (mensuelle, trimestrielle, semestrielle, annuelle, triennale, quinquennale, décennale ou taux fixe) doivent correspondre aux besoins réels de la collectivité. Il est donc déconseillé de solliciter toutes les modalités si certaines ne sont pas pertinentes dans le cas d’espèce. </w:t>
      </w:r>
    </w:p>
    <w:p w14:paraId="208B9250" w14:textId="77777777" w:rsidR="00713A35" w:rsidRPr="00713A35" w:rsidRDefault="00713A35" w:rsidP="00713A35">
      <w:pPr>
        <w:rPr>
          <w:rFonts w:ascii="Cambria" w:eastAsia="MS Mincho" w:hAnsi="Cambria" w:cs="Times New Roman"/>
        </w:rPr>
      </w:pPr>
      <w:r w:rsidRPr="00713A35">
        <w:rPr>
          <w:rFonts w:ascii="Cambria" w:eastAsia="MS Mincho" w:hAnsi="Cambria" w:cs="Times New Roman"/>
          <w:b/>
          <w:bCs/>
        </w:rPr>
        <w:t xml:space="preserve">Destination des crédits </w:t>
      </w:r>
      <w:r w:rsidRPr="00713A35">
        <w:rPr>
          <w:rFonts w:ascii="Cambria" w:eastAsia="MS Mincho" w:hAnsi="Cambria" w:cs="Times New Roman"/>
        </w:rPr>
        <w:t xml:space="preserve">: Il est recommandé d’identifier clairement la finalité des crédits. Certains investisseurs intègrent en effet des critères environnementaux, sociaux et de gouvernance (ESG) dans leurs décisions. Une telle identification peut non seulement attirer ces investisseurs, mais également ouvrir l’accès à des conditions de financement plus favorables, notamment via la BEI. </w:t>
      </w:r>
    </w:p>
    <w:p w14:paraId="25C6D2E3" w14:textId="0335B085" w:rsidR="00481B30" w:rsidRPr="005C4637" w:rsidRDefault="00713A35" w:rsidP="00DB02D3">
      <w:pPr>
        <w:rPr>
          <w:rFonts w:ascii="Cambria" w:eastAsia="MS Mincho" w:hAnsi="Cambria" w:cs="Times New Roman"/>
        </w:rPr>
      </w:pPr>
      <w:r w:rsidRPr="00713A35">
        <w:rPr>
          <w:rFonts w:ascii="Cambria" w:eastAsia="MS Mincho" w:hAnsi="Cambria" w:cs="Times New Roman"/>
          <w:b/>
          <w:bCs/>
        </w:rPr>
        <w:t xml:space="preserve">Clause de remboursement anticipé : </w:t>
      </w:r>
      <w:r w:rsidRPr="00713A35">
        <w:rPr>
          <w:rFonts w:ascii="Cambria" w:eastAsia="MS Mincho" w:hAnsi="Cambria" w:cs="Times New Roman"/>
        </w:rPr>
        <w:t>Prévoir une possibilité de remboursement anticipé sans frais lors des révisions de taux augmente le risque pour les opérateurs économiques, ce qui se traduit généralement par une hausse du prix proposé. Cette clause doit donc être utilisée avec discernement.</w:t>
      </w:r>
    </w:p>
    <w:p w14:paraId="4EBDC6B2" w14:textId="0D10B9E8" w:rsidR="00DB02D3" w:rsidRPr="00325268" w:rsidRDefault="00DB02D3" w:rsidP="00B03361">
      <w:pPr>
        <w:pStyle w:val="Titre2"/>
        <w:rPr>
          <w:lang w:val="en-US"/>
        </w:rPr>
      </w:pPr>
      <w:bookmarkStart w:id="66" w:name="_Toc225504090"/>
      <w:bookmarkStart w:id="67" w:name="_Toc225772178"/>
      <w:bookmarkStart w:id="68" w:name="_Toc233626025"/>
      <w:r w:rsidRPr="00325268">
        <w:rPr>
          <w:lang w:val="en-US"/>
        </w:rPr>
        <w:t>Emprunt durable (Sustainable Financing Framework)</w:t>
      </w:r>
      <w:bookmarkEnd w:id="66"/>
      <w:bookmarkEnd w:id="67"/>
      <w:bookmarkEnd w:id="68"/>
    </w:p>
    <w:p w14:paraId="617C6E5B" w14:textId="102BAE6D" w:rsidR="00DB02D3" w:rsidRPr="005C4637" w:rsidRDefault="00DB02D3" w:rsidP="00BA5C86">
      <w:pPr>
        <w:pStyle w:val="Titre3"/>
        <w:numPr>
          <w:ilvl w:val="0"/>
          <w:numId w:val="0"/>
        </w:numPr>
        <w:ind w:left="426"/>
      </w:pPr>
      <w:bookmarkStart w:id="69" w:name="_Toc225504091"/>
      <w:bookmarkStart w:id="70" w:name="_Toc225772179"/>
      <w:bookmarkStart w:id="71" w:name="_Toc233626026"/>
      <w:r w:rsidRPr="005C4637">
        <w:t>Pourquoi structurer un cadre de financement durable ?</w:t>
      </w:r>
      <w:bookmarkEnd w:id="69"/>
      <w:bookmarkEnd w:id="70"/>
      <w:bookmarkEnd w:id="71"/>
    </w:p>
    <w:p w14:paraId="5A822844" w14:textId="77777777" w:rsidR="00713A35" w:rsidRDefault="00713A35" w:rsidP="00DB02D3">
      <w:pPr>
        <w:rPr>
          <w:rFonts w:ascii="Cambria" w:eastAsia="MS Mincho" w:hAnsi="Cambria" w:cs="Times New Roman"/>
        </w:rPr>
      </w:pPr>
    </w:p>
    <w:p w14:paraId="0DD7FD8B" w14:textId="77777777" w:rsidR="00713A35" w:rsidRPr="00713A35" w:rsidRDefault="00713A35" w:rsidP="00713A35">
      <w:pPr>
        <w:rPr>
          <w:rFonts w:ascii="Cambria" w:eastAsia="MS Mincho" w:hAnsi="Cambria" w:cs="Times New Roman"/>
        </w:rPr>
      </w:pPr>
      <w:r w:rsidRPr="00713A35">
        <w:rPr>
          <w:rFonts w:ascii="Cambria" w:eastAsia="MS Mincho" w:hAnsi="Cambria" w:cs="Times New Roman"/>
        </w:rPr>
        <w:t xml:space="preserve">Dans le cadre des politiques européennes et internationales en matière de durabilité, les pouvoirs locaux sont invités à intégrer les principes de la finance durable dans leurs projets d'investissement. Il est notamment recommandé de recourir à des financements alignés sur les référentiels internationaux, tels que les </w:t>
      </w:r>
      <w:r w:rsidRPr="00713A35">
        <w:rPr>
          <w:rFonts w:ascii="Cambria" w:eastAsia="MS Mincho" w:hAnsi="Cambria" w:cs="Times New Roman"/>
          <w:i/>
          <w:iCs/>
        </w:rPr>
        <w:t xml:space="preserve">Green Loan Principles </w:t>
      </w:r>
      <w:r w:rsidRPr="00713A35">
        <w:rPr>
          <w:rFonts w:ascii="Cambria" w:eastAsia="MS Mincho" w:hAnsi="Cambria" w:cs="Times New Roman"/>
        </w:rPr>
        <w:t xml:space="preserve">ou les </w:t>
      </w:r>
      <w:r w:rsidRPr="00713A35">
        <w:rPr>
          <w:rFonts w:ascii="Cambria" w:eastAsia="MS Mincho" w:hAnsi="Cambria" w:cs="Times New Roman"/>
          <w:i/>
          <w:iCs/>
        </w:rPr>
        <w:t>Social Loan Principles</w:t>
      </w:r>
      <w:r w:rsidRPr="00713A35">
        <w:rPr>
          <w:rFonts w:ascii="Cambria" w:eastAsia="MS Mincho" w:hAnsi="Cambria" w:cs="Times New Roman"/>
        </w:rPr>
        <w:t xml:space="preserve">, et de s’inspirer des critères définis par la taxonomie européenne. Les projets éligibles couvrent un large spectre allant de la rénovation énergétique des bâtiments publics à la mobilité douce ou la prévention du risque d’inondations, en passant par l’accès aux services essentiels pour les publics fragilisés. L’élaboration d’un </w:t>
      </w:r>
      <w:r w:rsidRPr="00713A35">
        <w:rPr>
          <w:rFonts w:ascii="Cambria" w:eastAsia="MS Mincho" w:hAnsi="Cambria" w:cs="Times New Roman"/>
          <w:i/>
          <w:iCs/>
        </w:rPr>
        <w:t xml:space="preserve">cadre de financement durable </w:t>
      </w:r>
      <w:r w:rsidRPr="00713A35">
        <w:rPr>
          <w:rFonts w:ascii="Cambria" w:eastAsia="MS Mincho" w:hAnsi="Cambria" w:cs="Times New Roman"/>
        </w:rPr>
        <w:t xml:space="preserve">(Sustainable Financing Framework) peut constituer une première étape structurante en vue d’attirer des financements responsables, tout en assurant transparence, traçabilité et impact positif. À titre d’exemple, certaines communes ont d’ores et déjà structuré des lots distincts de projets "verts" ou "sociaux" dans leurs appels d’offres afin de garantir leur compatibilité avec ces référentiels et d’en maximiser le potentiel de financement. </w:t>
      </w:r>
    </w:p>
    <w:p w14:paraId="2F24540C" w14:textId="2A5EB093" w:rsidR="00713A35" w:rsidRDefault="00713A35" w:rsidP="00713A35">
      <w:pPr>
        <w:rPr>
          <w:rFonts w:ascii="Cambria" w:eastAsia="MS Mincho" w:hAnsi="Cambria" w:cs="Times New Roman"/>
        </w:rPr>
      </w:pPr>
      <w:r w:rsidRPr="00713A35">
        <w:rPr>
          <w:rFonts w:ascii="Cambria" w:eastAsia="MS Mincho" w:hAnsi="Cambria" w:cs="Times New Roman"/>
        </w:rPr>
        <w:lastRenderedPageBreak/>
        <w:t>La mise en oeuvre de ce type de méthodologie offre aux pouvoirs locaux des leviers supplémentaires dans la négociation de leurs emprunts. En effet, le secteur bancaire est lui-même soumis à des obligations en matière de durabilité, notamment en lien avec les normes d’émission, qui tiennent partiellement compte de la qualité environnementale et sociale des projets financés. Ainsi, le fait d’inscrire les projets communaux dans une démarche de financement durable peut renforcer leur attractivité auprès des institutions financières et permettre des conditions de crédit plus avantageuses.</w:t>
      </w:r>
    </w:p>
    <w:p w14:paraId="36471850" w14:textId="4A143874" w:rsidR="002F1781" w:rsidRDefault="000010C7" w:rsidP="000010C7">
      <w:pPr>
        <w:pStyle w:val="Titre2"/>
      </w:pPr>
      <w:bookmarkStart w:id="72" w:name="_Toc233626027"/>
      <w:r>
        <w:t>Urbanisme</w:t>
      </w:r>
      <w:bookmarkEnd w:id="72"/>
    </w:p>
    <w:p w14:paraId="1AFDE88C" w14:textId="77777777" w:rsidR="000010C7" w:rsidRPr="000010C7" w:rsidRDefault="000010C7" w:rsidP="000010C7">
      <w:pPr>
        <w:rPr>
          <w:rFonts w:ascii="Cambria" w:eastAsia="MS Mincho" w:hAnsi="Cambria" w:cs="Calibri Light"/>
          <w:color w:val="000000" w:themeColor="text1"/>
        </w:rPr>
      </w:pPr>
      <w:r w:rsidRPr="000010C7">
        <w:rPr>
          <w:rFonts w:ascii="Cambria" w:eastAsia="MS Mincho" w:hAnsi="Cambria" w:cs="Calibri Light"/>
          <w:b/>
          <w:bCs/>
          <w:i/>
          <w:iCs/>
          <w:color w:val="000000" w:themeColor="text1"/>
        </w:rPr>
        <w:t xml:space="preserve">Réforme des formulaires de demande de permis à partir du 1er octobre 2025 </w:t>
      </w:r>
    </w:p>
    <w:p w14:paraId="3303DBF8" w14:textId="7FCAA681" w:rsidR="000010C7" w:rsidRPr="000010C7" w:rsidRDefault="000010C7" w:rsidP="000010C7">
      <w:pPr>
        <w:rPr>
          <w:rFonts w:ascii="Cambria" w:eastAsia="MS Mincho" w:hAnsi="Cambria" w:cs="Calibri Light"/>
          <w:color w:val="000000" w:themeColor="text1"/>
        </w:rPr>
      </w:pPr>
      <w:r w:rsidRPr="000010C7">
        <w:rPr>
          <w:rFonts w:ascii="Cambria" w:eastAsia="MS Mincho" w:hAnsi="Cambria" w:cs="Calibri Light"/>
          <w:color w:val="000000" w:themeColor="text1"/>
        </w:rPr>
        <w:t xml:space="preserve">Dans un objectif de simplification administrative, le Gouvernement wallon a décidé de revoir en profondeur les formulaires relatifs aux demandes de permis d’urbanisme, de permis d’urbanisation et de certificat d’urbanisme n°2. Cette réforme, applicable au 1er octobre 2025, vise à réduire le nombre de formulaires existants et à alléger les informations demandées. </w:t>
      </w:r>
    </w:p>
    <w:p w14:paraId="31AF4D16" w14:textId="77777777" w:rsidR="000010C7" w:rsidRPr="000010C7" w:rsidRDefault="000010C7" w:rsidP="000010C7">
      <w:pPr>
        <w:rPr>
          <w:rFonts w:ascii="Cambria" w:eastAsia="MS Mincho" w:hAnsi="Cambria" w:cs="Calibri Light"/>
          <w:color w:val="000000" w:themeColor="text1"/>
        </w:rPr>
      </w:pPr>
      <w:r w:rsidRPr="000010C7">
        <w:rPr>
          <w:rFonts w:ascii="Cambria" w:eastAsia="MS Mincho" w:hAnsi="Cambria" w:cs="Calibri Light"/>
          <w:color w:val="000000" w:themeColor="text1"/>
        </w:rPr>
        <w:t xml:space="preserve">Conformément au principe « Only Once », les cadres « Antécédents de la demande » et « Situation juridique » seront supprimés, les données étant déjà disponibles au sein de l’administration. Cette mesure s’inscrit pleinement dans la volonté de la Déclaration de politique régionale 2024–2029 de rendre les démarches plus accessibles aux citoyens et aux entreprises. </w:t>
      </w:r>
    </w:p>
    <w:p w14:paraId="2D2D2115" w14:textId="77777777" w:rsidR="000010C7" w:rsidRPr="000010C7" w:rsidRDefault="000010C7" w:rsidP="000010C7">
      <w:pPr>
        <w:rPr>
          <w:rFonts w:ascii="Cambria" w:eastAsia="MS Mincho" w:hAnsi="Cambria" w:cs="Calibri Light"/>
          <w:color w:val="000000" w:themeColor="text1"/>
        </w:rPr>
      </w:pPr>
      <w:r w:rsidRPr="000010C7">
        <w:rPr>
          <w:rFonts w:ascii="Cambria" w:eastAsia="MS Mincho" w:hAnsi="Cambria" w:cs="Calibri Light"/>
          <w:b/>
          <w:bCs/>
          <w:i/>
          <w:iCs/>
          <w:color w:val="000000" w:themeColor="text1"/>
        </w:rPr>
        <w:t xml:space="preserve">2. Préparation à la dématérialisation des permis </w:t>
      </w:r>
    </w:p>
    <w:p w14:paraId="375ADF2C" w14:textId="77777777" w:rsidR="000010C7" w:rsidRPr="000010C7" w:rsidRDefault="000010C7" w:rsidP="000010C7">
      <w:pPr>
        <w:rPr>
          <w:rFonts w:ascii="Cambria" w:eastAsia="MS Mincho" w:hAnsi="Cambria" w:cs="Calibri Light"/>
          <w:color w:val="000000" w:themeColor="text1"/>
        </w:rPr>
      </w:pPr>
      <w:r w:rsidRPr="000010C7">
        <w:rPr>
          <w:rFonts w:ascii="Cambria" w:eastAsia="MS Mincho" w:hAnsi="Cambria" w:cs="Calibri Light"/>
          <w:color w:val="000000" w:themeColor="text1"/>
        </w:rPr>
        <w:t xml:space="preserve">Un programme progressif de dématérialisation des demandes de permis sera mis en oeuvre à l’échelle des communes, avec pour objectif une généralisation complète à l’horizon 2028. Pour les permis relevant du Fonctionnaire délégué, la dématérialisation complète est prévue en 2027. </w:t>
      </w:r>
    </w:p>
    <w:p w14:paraId="34306BD5" w14:textId="77777777" w:rsidR="000010C7" w:rsidRPr="000010C7" w:rsidRDefault="000010C7" w:rsidP="000010C7">
      <w:pPr>
        <w:rPr>
          <w:rFonts w:ascii="Cambria" w:eastAsia="MS Mincho" w:hAnsi="Cambria" w:cs="Calibri Light"/>
          <w:color w:val="000000" w:themeColor="text1"/>
        </w:rPr>
      </w:pPr>
      <w:r w:rsidRPr="000010C7">
        <w:rPr>
          <w:rFonts w:ascii="Cambria" w:eastAsia="MS Mincho" w:hAnsi="Cambria" w:cs="Calibri Light"/>
          <w:color w:val="000000" w:themeColor="text1"/>
        </w:rPr>
        <w:t xml:space="preserve">Sur la base de retours d’expérience en France, à Urban.Brussels et à la commune d’Ixelles, il est recommandé d’anticiper ces évolutions lors du renouvellement du matériel informatique communal. Les configurations techniques idéales sont les suivantes : </w:t>
      </w:r>
    </w:p>
    <w:p w14:paraId="0BB0A7E2" w14:textId="77777777" w:rsidR="00676DF9" w:rsidRDefault="000010C7">
      <w:pPr>
        <w:numPr>
          <w:ilvl w:val="0"/>
          <w:numId w:val="219"/>
        </w:numPr>
        <w:rPr>
          <w:rFonts w:ascii="Cambria" w:eastAsia="MS Mincho" w:hAnsi="Cambria" w:cs="Calibri Light"/>
          <w:color w:val="000000" w:themeColor="text1"/>
        </w:rPr>
      </w:pPr>
      <w:r w:rsidRPr="000010C7">
        <w:rPr>
          <w:rFonts w:ascii="Cambria" w:eastAsia="MS Mincho" w:hAnsi="Cambria" w:cs="Calibri Light"/>
          <w:color w:val="000000" w:themeColor="text1"/>
        </w:rPr>
        <w:t xml:space="preserve">Pour un technicien : deux écrans graphiques 27’’ (WQHD 2560 x 1440), ordinateur graphique avec processeur Intel Core i7 ou Ryzen 7, 32 Go de RAM, carte graphique dédiée, docking station ; </w:t>
      </w:r>
    </w:p>
    <w:p w14:paraId="01B6F532" w14:textId="1C97EECB" w:rsidR="00676DF9" w:rsidRPr="0012293F" w:rsidRDefault="00676DF9">
      <w:pPr>
        <w:numPr>
          <w:ilvl w:val="0"/>
          <w:numId w:val="219"/>
        </w:numPr>
        <w:rPr>
          <w:rFonts w:ascii="Cambria" w:eastAsia="MS Mincho" w:hAnsi="Cambria" w:cs="Calibri Light"/>
          <w:color w:val="000000" w:themeColor="text1"/>
        </w:rPr>
      </w:pPr>
      <w:r w:rsidRPr="00676DF9">
        <w:rPr>
          <w:rFonts w:ascii="Calibri" w:hAnsi="Calibri" w:cs="Calibri"/>
          <w:color w:val="000000"/>
          <w:sz w:val="23"/>
          <w:szCs w:val="23"/>
        </w:rPr>
        <w:t xml:space="preserve">Pour un agent administratif : un écran graphique 27’’ (WQHD 2560 x 1440), ordinateur avec processeur Intel Core i5 ou Ryzen 5, 32 Go de RAM, disque dur de 1 To, docking station. </w:t>
      </w:r>
    </w:p>
    <w:p w14:paraId="62E92D78" w14:textId="77777777" w:rsidR="00676DF9" w:rsidRDefault="00676DF9" w:rsidP="00676DF9">
      <w:pPr>
        <w:autoSpaceDE w:val="0"/>
        <w:autoSpaceDN w:val="0"/>
        <w:adjustRightInd w:val="0"/>
        <w:spacing w:after="0" w:line="240" w:lineRule="auto"/>
        <w:jc w:val="left"/>
        <w:rPr>
          <w:rFonts w:ascii="Calibri" w:hAnsi="Calibri" w:cs="Calibri"/>
          <w:color w:val="000000"/>
          <w:sz w:val="23"/>
          <w:szCs w:val="23"/>
        </w:rPr>
      </w:pPr>
      <w:r w:rsidRPr="00676DF9">
        <w:rPr>
          <w:rFonts w:ascii="Calibri" w:hAnsi="Calibri" w:cs="Calibri"/>
          <w:color w:val="000000"/>
          <w:sz w:val="23"/>
          <w:szCs w:val="23"/>
        </w:rPr>
        <w:t xml:space="preserve">Les communes sont invitées à tenir compte de ces recommandations dans leurs plans d’investissement. </w:t>
      </w:r>
    </w:p>
    <w:p w14:paraId="528DEFEB" w14:textId="77777777" w:rsidR="00676DF9" w:rsidRPr="00676DF9" w:rsidRDefault="00676DF9" w:rsidP="00676DF9">
      <w:pPr>
        <w:autoSpaceDE w:val="0"/>
        <w:autoSpaceDN w:val="0"/>
        <w:adjustRightInd w:val="0"/>
        <w:spacing w:after="0" w:line="240" w:lineRule="auto"/>
        <w:jc w:val="left"/>
        <w:rPr>
          <w:rFonts w:ascii="Calibri" w:hAnsi="Calibri" w:cs="Calibri"/>
          <w:color w:val="000000"/>
          <w:sz w:val="23"/>
          <w:szCs w:val="23"/>
        </w:rPr>
      </w:pPr>
    </w:p>
    <w:p w14:paraId="2682382D" w14:textId="77777777" w:rsidR="00676DF9" w:rsidRDefault="00676DF9" w:rsidP="00676DF9">
      <w:pPr>
        <w:autoSpaceDE w:val="0"/>
        <w:autoSpaceDN w:val="0"/>
        <w:adjustRightInd w:val="0"/>
        <w:spacing w:after="0" w:line="240" w:lineRule="auto"/>
        <w:jc w:val="left"/>
        <w:rPr>
          <w:rFonts w:ascii="Calibri" w:hAnsi="Calibri" w:cs="Calibri"/>
          <w:b/>
          <w:bCs/>
          <w:i/>
          <w:iCs/>
          <w:color w:val="000000"/>
          <w:sz w:val="23"/>
          <w:szCs w:val="23"/>
        </w:rPr>
      </w:pPr>
      <w:r w:rsidRPr="00676DF9">
        <w:rPr>
          <w:rFonts w:ascii="Calibri" w:hAnsi="Calibri" w:cs="Calibri"/>
          <w:b/>
          <w:bCs/>
          <w:i/>
          <w:iCs/>
          <w:color w:val="000000"/>
          <w:sz w:val="23"/>
          <w:szCs w:val="23"/>
        </w:rPr>
        <w:t xml:space="preserve">3. Taux de subvention en rénovation urbaine </w:t>
      </w:r>
    </w:p>
    <w:p w14:paraId="78B5EA05" w14:textId="77777777" w:rsidR="00676DF9" w:rsidRPr="00676DF9" w:rsidRDefault="00676DF9" w:rsidP="00676DF9">
      <w:pPr>
        <w:autoSpaceDE w:val="0"/>
        <w:autoSpaceDN w:val="0"/>
        <w:adjustRightInd w:val="0"/>
        <w:spacing w:after="0" w:line="240" w:lineRule="auto"/>
        <w:jc w:val="left"/>
        <w:rPr>
          <w:rFonts w:ascii="Calibri" w:hAnsi="Calibri" w:cs="Calibri"/>
          <w:color w:val="000000"/>
          <w:sz w:val="23"/>
          <w:szCs w:val="23"/>
        </w:rPr>
      </w:pPr>
    </w:p>
    <w:p w14:paraId="6CB1F02F" w14:textId="77777777" w:rsidR="00676DF9" w:rsidRPr="00676DF9" w:rsidRDefault="00676DF9" w:rsidP="00676DF9">
      <w:pPr>
        <w:autoSpaceDE w:val="0"/>
        <w:autoSpaceDN w:val="0"/>
        <w:adjustRightInd w:val="0"/>
        <w:spacing w:after="0" w:line="240" w:lineRule="auto"/>
        <w:jc w:val="left"/>
        <w:rPr>
          <w:rFonts w:ascii="Calibri" w:hAnsi="Calibri" w:cs="Calibri"/>
          <w:color w:val="000000"/>
          <w:sz w:val="23"/>
          <w:szCs w:val="23"/>
        </w:rPr>
      </w:pPr>
      <w:r w:rsidRPr="00676DF9">
        <w:rPr>
          <w:rFonts w:ascii="Calibri" w:hAnsi="Calibri" w:cs="Calibri"/>
          <w:color w:val="000000"/>
          <w:sz w:val="23"/>
          <w:szCs w:val="23"/>
        </w:rPr>
        <w:lastRenderedPageBreak/>
        <w:t xml:space="preserve">Le Gouvernement wallon prévoit une diminution progressive du taux de subventionnement applicable aux projets de rénovation urbaine, passant de 80 % à 50 %. </w:t>
      </w:r>
    </w:p>
    <w:p w14:paraId="0158331D" w14:textId="77777777" w:rsidR="00676DF9" w:rsidRDefault="00676DF9" w:rsidP="00676DF9">
      <w:pPr>
        <w:autoSpaceDE w:val="0"/>
        <w:autoSpaceDN w:val="0"/>
        <w:adjustRightInd w:val="0"/>
        <w:spacing w:after="0" w:line="240" w:lineRule="auto"/>
        <w:jc w:val="left"/>
        <w:rPr>
          <w:rFonts w:ascii="Calibri" w:hAnsi="Calibri" w:cs="Calibri"/>
          <w:color w:val="000000"/>
          <w:sz w:val="23"/>
          <w:szCs w:val="23"/>
        </w:rPr>
      </w:pPr>
      <w:r w:rsidRPr="00676DF9">
        <w:rPr>
          <w:rFonts w:ascii="Calibri" w:hAnsi="Calibri" w:cs="Calibri"/>
          <w:color w:val="000000"/>
          <w:sz w:val="23"/>
          <w:szCs w:val="23"/>
        </w:rPr>
        <w:t xml:space="preserve">Cette évolution vise, d’une part, à soutenir un plus grand nombre de projets à fort impact en raison de l’enveloppe disponible, et d’autre part, à renforcer la responsabilisation des communes urbaines dans le choix de leurs aménagements et de favoriser les PPP. </w:t>
      </w:r>
    </w:p>
    <w:p w14:paraId="34EA4B92" w14:textId="77777777" w:rsidR="00676DF9" w:rsidRPr="00676DF9" w:rsidRDefault="00676DF9" w:rsidP="00676DF9">
      <w:pPr>
        <w:autoSpaceDE w:val="0"/>
        <w:autoSpaceDN w:val="0"/>
        <w:adjustRightInd w:val="0"/>
        <w:spacing w:after="0" w:line="240" w:lineRule="auto"/>
        <w:jc w:val="left"/>
        <w:rPr>
          <w:rFonts w:ascii="Calibri" w:hAnsi="Calibri" w:cs="Calibri"/>
          <w:color w:val="000000"/>
          <w:sz w:val="23"/>
          <w:szCs w:val="23"/>
        </w:rPr>
      </w:pPr>
    </w:p>
    <w:p w14:paraId="2FAD92B6" w14:textId="77777777" w:rsidR="00676DF9" w:rsidRPr="00676DF9" w:rsidRDefault="00676DF9" w:rsidP="00676DF9">
      <w:pPr>
        <w:autoSpaceDE w:val="0"/>
        <w:autoSpaceDN w:val="0"/>
        <w:adjustRightInd w:val="0"/>
        <w:spacing w:after="0" w:line="240" w:lineRule="auto"/>
        <w:jc w:val="left"/>
        <w:rPr>
          <w:rFonts w:ascii="Calibri" w:hAnsi="Calibri" w:cs="Calibri"/>
          <w:color w:val="000000"/>
          <w:sz w:val="23"/>
          <w:szCs w:val="23"/>
        </w:rPr>
      </w:pPr>
      <w:r w:rsidRPr="00676DF9">
        <w:rPr>
          <w:rFonts w:ascii="Calibri" w:hAnsi="Calibri" w:cs="Calibri"/>
          <w:b/>
          <w:bCs/>
          <w:i/>
          <w:iCs/>
          <w:color w:val="000000"/>
          <w:sz w:val="23"/>
          <w:szCs w:val="23"/>
        </w:rPr>
        <w:t xml:space="preserve">4. Schémas de développement communal (SDC) </w:t>
      </w:r>
    </w:p>
    <w:p w14:paraId="30E22C48" w14:textId="77777777" w:rsidR="00676DF9" w:rsidRPr="00676DF9" w:rsidRDefault="00676DF9" w:rsidP="00676DF9">
      <w:pPr>
        <w:autoSpaceDE w:val="0"/>
        <w:autoSpaceDN w:val="0"/>
        <w:adjustRightInd w:val="0"/>
        <w:spacing w:after="0" w:line="240" w:lineRule="auto"/>
        <w:jc w:val="left"/>
        <w:rPr>
          <w:rFonts w:ascii="Calibri" w:hAnsi="Calibri" w:cs="Calibri"/>
          <w:color w:val="000000"/>
          <w:sz w:val="23"/>
          <w:szCs w:val="23"/>
        </w:rPr>
      </w:pPr>
      <w:r w:rsidRPr="00676DF9">
        <w:rPr>
          <w:rFonts w:ascii="Calibri" w:hAnsi="Calibri" w:cs="Calibri"/>
          <w:color w:val="000000"/>
          <w:sz w:val="23"/>
          <w:szCs w:val="23"/>
        </w:rPr>
        <w:t xml:space="preserve">Les diagnostics territoriaux réalisés par les agences de développement territorial doivent être transmis aux communes pour le 31 octobre 2025 au plus tard. </w:t>
      </w:r>
    </w:p>
    <w:p w14:paraId="489FFEDA" w14:textId="77777777" w:rsidR="00676DF9" w:rsidRDefault="00676DF9" w:rsidP="00676DF9">
      <w:pPr>
        <w:autoSpaceDE w:val="0"/>
        <w:autoSpaceDN w:val="0"/>
        <w:adjustRightInd w:val="0"/>
        <w:spacing w:after="0" w:line="240" w:lineRule="auto"/>
        <w:jc w:val="left"/>
        <w:rPr>
          <w:rFonts w:ascii="Calibri" w:hAnsi="Calibri" w:cs="Calibri"/>
          <w:color w:val="000000"/>
          <w:sz w:val="23"/>
          <w:szCs w:val="23"/>
        </w:rPr>
      </w:pPr>
      <w:r w:rsidRPr="00676DF9">
        <w:rPr>
          <w:rFonts w:ascii="Calibri" w:hAnsi="Calibri" w:cs="Calibri"/>
          <w:color w:val="000000"/>
          <w:sz w:val="23"/>
          <w:szCs w:val="23"/>
        </w:rPr>
        <w:t xml:space="preserve">Ces documents constituent une base utile pour les communes qui souhaitent entamer ou poursuivre l’élaboration ou la révision de leur Schéma de développement communal. Un cahier des charges type est disponible sur le site de l’Union des Villes et Communes de Wallonie. </w:t>
      </w:r>
    </w:p>
    <w:p w14:paraId="7F90A25D" w14:textId="77777777" w:rsidR="00676DF9" w:rsidRDefault="00676DF9" w:rsidP="00676DF9">
      <w:pPr>
        <w:autoSpaceDE w:val="0"/>
        <w:autoSpaceDN w:val="0"/>
        <w:adjustRightInd w:val="0"/>
        <w:spacing w:after="0" w:line="240" w:lineRule="auto"/>
        <w:jc w:val="left"/>
        <w:rPr>
          <w:rFonts w:ascii="Calibri" w:hAnsi="Calibri" w:cs="Calibri"/>
          <w:color w:val="000000"/>
          <w:sz w:val="23"/>
          <w:szCs w:val="23"/>
        </w:rPr>
      </w:pPr>
    </w:p>
    <w:p w14:paraId="2D8B6AAA" w14:textId="581382E0" w:rsidR="000010C7" w:rsidRPr="0012293F" w:rsidRDefault="00676DF9" w:rsidP="0012293F">
      <w:pPr>
        <w:autoSpaceDE w:val="0"/>
        <w:autoSpaceDN w:val="0"/>
        <w:adjustRightInd w:val="0"/>
        <w:spacing w:after="0" w:line="240" w:lineRule="auto"/>
        <w:jc w:val="left"/>
        <w:rPr>
          <w:rFonts w:ascii="Calibri" w:hAnsi="Calibri" w:cs="Calibri"/>
          <w:color w:val="000000"/>
          <w:sz w:val="23"/>
          <w:szCs w:val="23"/>
        </w:rPr>
      </w:pPr>
      <w:r w:rsidRPr="00676DF9">
        <w:rPr>
          <w:rFonts w:ascii="Calibri" w:hAnsi="Calibri" w:cs="Calibri"/>
          <w:color w:val="000000"/>
          <w:sz w:val="23"/>
          <w:szCs w:val="23"/>
        </w:rPr>
        <w:t>Il est recommandé aux communes concernées de prévoir, dans leur budget, les montants nécessaires à la désignation d’un auteur de projet. Pour rappel, la Région wallonne intervient à hauteur de 75 % du coût, avec un plafond de subvention fixé à 75 000 euros pour l’élaboration d’un SDC complet.</w:t>
      </w:r>
    </w:p>
    <w:p w14:paraId="0323E1FB" w14:textId="5F7C4FE4" w:rsidR="00AF2655" w:rsidRPr="00EE73D6" w:rsidRDefault="00AF2655" w:rsidP="354CA0A7">
      <w:pPr>
        <w:rPr>
          <w:rFonts w:ascii="Cambria" w:eastAsia="MS Mincho" w:hAnsi="Cambria" w:cs="Calibri Light"/>
          <w:color w:val="000000" w:themeColor="text1"/>
          <w:lang w:val="fr-FR"/>
        </w:rPr>
      </w:pPr>
    </w:p>
    <w:p w14:paraId="0587B3B1" w14:textId="77777777" w:rsidR="00891652" w:rsidRPr="00EE73D6" w:rsidRDefault="00891652" w:rsidP="00891652">
      <w:pPr>
        <w:rPr>
          <w:rFonts w:ascii="Cambria" w:eastAsia="MS Mincho" w:hAnsi="Cambria" w:cs="Calibri Light"/>
          <w:color w:val="000000" w:themeColor="text1"/>
          <w:lang w:val="fr-FR"/>
        </w:rPr>
      </w:pPr>
    </w:p>
    <w:p w14:paraId="36C2B11C" w14:textId="77777777" w:rsidR="001F5C19" w:rsidRDefault="001F5C19" w:rsidP="001A0C1C">
      <w:pPr>
        <w:spacing w:after="160" w:line="257" w:lineRule="auto"/>
        <w:rPr>
          <w:rFonts w:ascii="Cambria" w:eastAsia="MS Mincho" w:hAnsi="Cambria" w:cs="Times New Roman"/>
        </w:rPr>
      </w:pPr>
    </w:p>
    <w:p w14:paraId="72195E0B" w14:textId="77777777" w:rsidR="00542113" w:rsidRDefault="00542113">
      <w:pPr>
        <w:jc w:val="left"/>
        <w:rPr>
          <w:rFonts w:eastAsiaTheme="majorEastAsia" w:cstheme="majorBidi"/>
          <w:b/>
          <w:bCs/>
          <w:sz w:val="28"/>
          <w:szCs w:val="26"/>
        </w:rPr>
      </w:pPr>
      <w:r>
        <w:br w:type="page"/>
      </w:r>
    </w:p>
    <w:p w14:paraId="0E970392" w14:textId="77777777" w:rsidR="00EF77CE" w:rsidRDefault="00EF77CE" w:rsidP="001A0C1C">
      <w:pPr>
        <w:spacing w:after="160" w:line="257" w:lineRule="auto"/>
        <w:rPr>
          <w:rFonts w:ascii="Cambria" w:eastAsia="MS Mincho" w:hAnsi="Cambria" w:cs="Times New Roman"/>
        </w:rPr>
      </w:pPr>
    </w:p>
    <w:p w14:paraId="5395E75B" w14:textId="77777777" w:rsidR="00273ECB" w:rsidRDefault="00273ECB">
      <w:pPr>
        <w:jc w:val="left"/>
        <w:rPr>
          <w:rFonts w:eastAsiaTheme="majorEastAsia" w:cstheme="majorBidi"/>
          <w:b/>
          <w:bCs/>
          <w:sz w:val="32"/>
          <w:szCs w:val="28"/>
          <w:u w:val="single"/>
        </w:rPr>
      </w:pPr>
      <w:bookmarkStart w:id="73" w:name="_Toc225504103"/>
      <w:bookmarkStart w:id="74" w:name="_Toc225772192"/>
      <w:bookmarkStart w:id="75" w:name="_Toc226445247"/>
      <w:r>
        <w:br w:type="page"/>
      </w:r>
    </w:p>
    <w:p w14:paraId="4C660FF5" w14:textId="607069C0" w:rsidR="003960D9" w:rsidRPr="005C4637" w:rsidRDefault="003960D9" w:rsidP="003960D9">
      <w:pPr>
        <w:pStyle w:val="Titre1"/>
      </w:pPr>
      <w:bookmarkStart w:id="76" w:name="_Toc233626028"/>
      <w:r w:rsidRPr="005C4637">
        <w:lastRenderedPageBreak/>
        <w:t>Dispositions générales</w:t>
      </w:r>
      <w:bookmarkEnd w:id="73"/>
      <w:bookmarkEnd w:id="74"/>
      <w:bookmarkEnd w:id="75"/>
      <w:bookmarkEnd w:id="76"/>
      <w:r w:rsidRPr="005C4637">
        <w:t xml:space="preserve"> </w:t>
      </w:r>
    </w:p>
    <w:p w14:paraId="027F0D70" w14:textId="77777777" w:rsidR="003960D9" w:rsidRPr="00F907AC" w:rsidRDefault="003960D9">
      <w:pPr>
        <w:pStyle w:val="Titre2"/>
        <w:numPr>
          <w:ilvl w:val="0"/>
          <w:numId w:val="158"/>
        </w:numPr>
        <w:tabs>
          <w:tab w:val="num" w:pos="360"/>
        </w:tabs>
        <w:rPr>
          <w:caps/>
        </w:rPr>
      </w:pPr>
      <w:bookmarkStart w:id="77" w:name="_Toc208419880"/>
      <w:bookmarkStart w:id="78" w:name="_Toc225504104"/>
      <w:bookmarkStart w:id="79" w:name="_Toc225772193"/>
      <w:bookmarkStart w:id="80" w:name="_Toc226445248"/>
      <w:bookmarkStart w:id="81" w:name="_Toc233626029"/>
      <w:r w:rsidRPr="005C4637">
        <w:t>Calendrier légal</w:t>
      </w:r>
      <w:bookmarkEnd w:id="77"/>
      <w:bookmarkEnd w:id="78"/>
      <w:bookmarkEnd w:id="79"/>
      <w:bookmarkEnd w:id="80"/>
      <w:bookmarkEnd w:id="81"/>
    </w:p>
    <w:p w14:paraId="5F333696" w14:textId="5EE7BE83" w:rsidR="003960D9" w:rsidRPr="005C4637" w:rsidRDefault="003960D9">
      <w:pPr>
        <w:pStyle w:val="Titre3"/>
        <w:numPr>
          <w:ilvl w:val="0"/>
          <w:numId w:val="176"/>
        </w:numPr>
      </w:pPr>
      <w:bookmarkStart w:id="82" w:name="_Toc225504105"/>
      <w:bookmarkStart w:id="83" w:name="_Toc225772194"/>
      <w:bookmarkStart w:id="84" w:name="_Toc226445249"/>
      <w:bookmarkStart w:id="85" w:name="_Toc233626030"/>
      <w:r>
        <w:t>Quels sont les prescrits légaux concernant les dates de vote budgétaires et comptables (articles L1312-1 et L1312-2 du CDLD)</w:t>
      </w:r>
      <w:r w:rsidR="00A619EC">
        <w:t xml:space="preserve"> </w:t>
      </w:r>
      <w:r>
        <w:t>?</w:t>
      </w:r>
      <w:bookmarkEnd w:id="82"/>
      <w:bookmarkEnd w:id="83"/>
      <w:bookmarkEnd w:id="84"/>
      <w:bookmarkEnd w:id="85"/>
    </w:p>
    <w:p w14:paraId="4AC1FB79" w14:textId="77777777" w:rsidR="003960D9" w:rsidRPr="005C4637" w:rsidRDefault="003960D9" w:rsidP="003960D9">
      <w:pPr>
        <w:spacing w:before="120"/>
      </w:pPr>
    </w:p>
    <w:tbl>
      <w:tblPr>
        <w:tblStyle w:val="Grilledutableau"/>
        <w:tblW w:w="10136" w:type="dxa"/>
        <w:jc w:val="center"/>
        <w:tblLook w:val="04A0" w:firstRow="1" w:lastRow="0" w:firstColumn="1" w:lastColumn="0" w:noHBand="0" w:noVBand="1"/>
      </w:tblPr>
      <w:tblGrid>
        <w:gridCol w:w="2535"/>
        <w:gridCol w:w="2838"/>
        <w:gridCol w:w="2193"/>
        <w:gridCol w:w="2570"/>
      </w:tblGrid>
      <w:tr w:rsidR="003960D9" w:rsidRPr="005C4637" w14:paraId="3F708192" w14:textId="77777777" w:rsidTr="005560EF">
        <w:trPr>
          <w:trHeight w:val="98"/>
          <w:jc w:val="center"/>
        </w:trPr>
        <w:tc>
          <w:tcPr>
            <w:tcW w:w="10136" w:type="dxa"/>
            <w:gridSpan w:val="4"/>
          </w:tcPr>
          <w:p w14:paraId="0ED93FC8" w14:textId="77777777" w:rsidR="003960D9" w:rsidRPr="005C4637" w:rsidRDefault="003960D9" w:rsidP="005560EF">
            <w:pPr>
              <w:jc w:val="center"/>
              <w:rPr>
                <w:sz w:val="20"/>
                <w:szCs w:val="20"/>
              </w:rPr>
            </w:pPr>
            <w:r w:rsidRPr="005560EF">
              <w:rPr>
                <w:b/>
                <w:color w:val="1F497D" w:themeColor="text2"/>
                <w:sz w:val="20"/>
                <w:szCs w:val="20"/>
              </w:rPr>
              <w:t>Budget initial</w:t>
            </w:r>
          </w:p>
        </w:tc>
      </w:tr>
      <w:tr w:rsidR="003960D9" w:rsidRPr="005C4637" w14:paraId="411AC69C" w14:textId="77777777" w:rsidTr="005560EF">
        <w:trPr>
          <w:trHeight w:val="334"/>
          <w:jc w:val="center"/>
        </w:trPr>
        <w:tc>
          <w:tcPr>
            <w:tcW w:w="2535" w:type="dxa"/>
            <w:vAlign w:val="center"/>
          </w:tcPr>
          <w:p w14:paraId="5A27946E" w14:textId="77777777" w:rsidR="003960D9" w:rsidRPr="005C4637" w:rsidRDefault="003960D9" w:rsidP="005560EF">
            <w:pPr>
              <w:rPr>
                <w:b/>
                <w:sz w:val="20"/>
                <w:szCs w:val="20"/>
              </w:rPr>
            </w:pPr>
            <w:r w:rsidRPr="005C4637">
              <w:rPr>
                <w:b/>
                <w:sz w:val="20"/>
                <w:szCs w:val="20"/>
              </w:rPr>
              <w:t>Budget provisoire*</w:t>
            </w:r>
          </w:p>
        </w:tc>
        <w:tc>
          <w:tcPr>
            <w:tcW w:w="2838" w:type="dxa"/>
            <w:vAlign w:val="center"/>
          </w:tcPr>
          <w:p w14:paraId="3B762A5C" w14:textId="77777777" w:rsidR="003960D9" w:rsidRPr="005C4637" w:rsidRDefault="003960D9" w:rsidP="005560EF">
            <w:pPr>
              <w:rPr>
                <w:sz w:val="20"/>
                <w:szCs w:val="20"/>
              </w:rPr>
            </w:pPr>
            <w:r w:rsidRPr="005C4637">
              <w:rPr>
                <w:sz w:val="20"/>
                <w:szCs w:val="20"/>
              </w:rPr>
              <w:t xml:space="preserve">Arrêté par le Collège communal </w:t>
            </w:r>
            <w:r w:rsidRPr="51F4686F">
              <w:rPr>
                <w:sz w:val="20"/>
                <w:szCs w:val="20"/>
              </w:rPr>
              <w:t>et</w:t>
            </w:r>
            <w:r w:rsidRPr="005C4637">
              <w:rPr>
                <w:sz w:val="20"/>
                <w:szCs w:val="20"/>
              </w:rPr>
              <w:t xml:space="preserve"> transmis le 1</w:t>
            </w:r>
            <w:r w:rsidRPr="005C4637">
              <w:rPr>
                <w:sz w:val="20"/>
                <w:szCs w:val="20"/>
                <w:vertAlign w:val="superscript"/>
              </w:rPr>
              <w:t>er</w:t>
            </w:r>
            <w:r w:rsidRPr="005C4637">
              <w:rPr>
                <w:sz w:val="20"/>
                <w:szCs w:val="20"/>
              </w:rPr>
              <w:t xml:space="preserve"> octobre</w:t>
            </w:r>
            <w:r w:rsidRPr="51F4686F">
              <w:rPr>
                <w:sz w:val="20"/>
                <w:szCs w:val="20"/>
              </w:rPr>
              <w:t xml:space="preserve"> au plus tard.</w:t>
            </w:r>
          </w:p>
        </w:tc>
        <w:tc>
          <w:tcPr>
            <w:tcW w:w="2193" w:type="dxa"/>
            <w:vAlign w:val="center"/>
          </w:tcPr>
          <w:p w14:paraId="2A5791AB" w14:textId="6C9B5745" w:rsidR="003960D9" w:rsidRPr="005C4637" w:rsidRDefault="003960D9" w:rsidP="005560EF">
            <w:pPr>
              <w:rPr>
                <w:sz w:val="20"/>
                <w:szCs w:val="20"/>
              </w:rPr>
            </w:pPr>
            <w:r w:rsidRPr="005C4637">
              <w:rPr>
                <w:sz w:val="20"/>
                <w:szCs w:val="20"/>
              </w:rPr>
              <w:t>Fichier BP</w:t>
            </w:r>
            <w:r w:rsidR="004D03B8">
              <w:rPr>
                <w:sz w:val="20"/>
                <w:szCs w:val="20"/>
              </w:rPr>
              <w:t xml:space="preserve"> </w:t>
            </w:r>
            <w:r w:rsidRPr="005C4637">
              <w:rPr>
                <w:sz w:val="20"/>
                <w:szCs w:val="20"/>
              </w:rPr>
              <w:t>généré par eComptes.</w:t>
            </w:r>
          </w:p>
        </w:tc>
        <w:tc>
          <w:tcPr>
            <w:tcW w:w="2568" w:type="dxa"/>
            <w:vAlign w:val="center"/>
          </w:tcPr>
          <w:p w14:paraId="7C7C2169" w14:textId="77777777" w:rsidR="003960D9" w:rsidRPr="005C4637" w:rsidRDefault="003960D9" w:rsidP="005560EF">
            <w:pPr>
              <w:rPr>
                <w:rFonts w:ascii="Calibri" w:eastAsia="Calibri" w:hAnsi="Calibri" w:cs="Calibri"/>
                <w:sz w:val="20"/>
                <w:szCs w:val="20"/>
                <w:lang w:val="fr"/>
              </w:rPr>
            </w:pPr>
            <w:r w:rsidRPr="005C4637">
              <w:rPr>
                <w:sz w:val="20"/>
                <w:szCs w:val="20"/>
              </w:rPr>
              <w:t>Envoi automatique vers le SPW Intérieur et Action sociale dès la génération du fichier dans eComptes</w:t>
            </w:r>
            <w:r w:rsidRPr="51F4686F">
              <w:rPr>
                <w:rFonts w:ascii="Calibri" w:eastAsia="Calibri" w:hAnsi="Calibri" w:cs="Calibri"/>
                <w:sz w:val="20"/>
                <w:szCs w:val="20"/>
                <w:lang w:val="fr"/>
              </w:rPr>
              <w:t xml:space="preserve"> en cochant « Envoi   au SPW Intérieur Action sociale »</w:t>
            </w:r>
            <w:r w:rsidRPr="51F4686F">
              <w:rPr>
                <w:sz w:val="20"/>
                <w:szCs w:val="20"/>
              </w:rPr>
              <w:t>.</w:t>
            </w:r>
          </w:p>
        </w:tc>
      </w:tr>
      <w:tr w:rsidR="003960D9" w:rsidRPr="005C4637" w14:paraId="7CE3B72A" w14:textId="77777777" w:rsidTr="005560EF">
        <w:trPr>
          <w:trHeight w:val="393"/>
          <w:jc w:val="center"/>
        </w:trPr>
        <w:tc>
          <w:tcPr>
            <w:tcW w:w="2535" w:type="dxa"/>
            <w:vAlign w:val="center"/>
          </w:tcPr>
          <w:p w14:paraId="3B42261D" w14:textId="77777777" w:rsidR="003960D9" w:rsidRPr="005C4637" w:rsidRDefault="003960D9" w:rsidP="005560EF">
            <w:pPr>
              <w:rPr>
                <w:b/>
                <w:sz w:val="20"/>
                <w:szCs w:val="20"/>
              </w:rPr>
            </w:pPr>
            <w:r w:rsidRPr="005C4637">
              <w:rPr>
                <w:b/>
                <w:sz w:val="20"/>
                <w:szCs w:val="20"/>
              </w:rPr>
              <w:t>Budget définitif</w:t>
            </w:r>
          </w:p>
        </w:tc>
        <w:tc>
          <w:tcPr>
            <w:tcW w:w="2838" w:type="dxa"/>
            <w:vAlign w:val="center"/>
          </w:tcPr>
          <w:p w14:paraId="73BCFF66" w14:textId="77777777" w:rsidR="003960D9" w:rsidRPr="005C4637" w:rsidRDefault="003960D9" w:rsidP="005560EF">
            <w:pPr>
              <w:rPr>
                <w:sz w:val="20"/>
                <w:szCs w:val="20"/>
              </w:rPr>
            </w:pPr>
            <w:r w:rsidRPr="005C4637">
              <w:rPr>
                <w:sz w:val="20"/>
                <w:szCs w:val="20"/>
              </w:rPr>
              <w:t xml:space="preserve">Voté par le Conseil communal le 31 décembre au plus tard </w:t>
            </w:r>
            <w:r w:rsidRPr="27071968">
              <w:rPr>
                <w:sz w:val="20"/>
                <w:szCs w:val="20"/>
              </w:rPr>
              <w:t>et</w:t>
            </w:r>
            <w:r w:rsidRPr="005C4637">
              <w:rPr>
                <w:sz w:val="20"/>
                <w:szCs w:val="20"/>
              </w:rPr>
              <w:t xml:space="preserve"> transmis dans les 15 jours.</w:t>
            </w:r>
          </w:p>
        </w:tc>
        <w:tc>
          <w:tcPr>
            <w:tcW w:w="2193" w:type="dxa"/>
            <w:vAlign w:val="center"/>
          </w:tcPr>
          <w:p w14:paraId="349ED63B" w14:textId="77777777" w:rsidR="003960D9" w:rsidRPr="005C4637" w:rsidRDefault="003960D9">
            <w:pPr>
              <w:numPr>
                <w:ilvl w:val="0"/>
                <w:numId w:val="144"/>
              </w:numPr>
              <w:spacing w:after="120"/>
              <w:rPr>
                <w:sz w:val="20"/>
                <w:szCs w:val="20"/>
              </w:rPr>
            </w:pPr>
            <w:r w:rsidRPr="005C4637">
              <w:rPr>
                <w:sz w:val="20"/>
                <w:szCs w:val="20"/>
              </w:rPr>
              <w:t>Fichier SIC généré par eComptes.</w:t>
            </w:r>
          </w:p>
          <w:p w14:paraId="4C8D57BF" w14:textId="77777777" w:rsidR="003960D9" w:rsidRPr="005C4637" w:rsidRDefault="003960D9">
            <w:pPr>
              <w:numPr>
                <w:ilvl w:val="0"/>
                <w:numId w:val="144"/>
              </w:numPr>
              <w:spacing w:after="120"/>
              <w:rPr>
                <w:sz w:val="20"/>
                <w:szCs w:val="20"/>
              </w:rPr>
            </w:pPr>
            <w:r w:rsidRPr="005C4637">
              <w:rPr>
                <w:sz w:val="20"/>
                <w:szCs w:val="20"/>
              </w:rPr>
              <w:t>VersionWord conforme au fichier SIC.</w:t>
            </w:r>
          </w:p>
        </w:tc>
        <w:tc>
          <w:tcPr>
            <w:tcW w:w="2568" w:type="dxa"/>
            <w:vAlign w:val="center"/>
          </w:tcPr>
          <w:p w14:paraId="656C0AB5" w14:textId="77777777" w:rsidR="003960D9" w:rsidRPr="005C4637" w:rsidRDefault="003960D9" w:rsidP="005560EF">
            <w:pPr>
              <w:rPr>
                <w:sz w:val="20"/>
                <w:szCs w:val="20"/>
              </w:rPr>
            </w:pPr>
            <w:r w:rsidRPr="005C4637">
              <w:rPr>
                <w:sz w:val="20"/>
                <w:szCs w:val="20"/>
              </w:rPr>
              <w:t xml:space="preserve">Envoi automatique </w:t>
            </w:r>
            <w:r w:rsidRPr="51F4686F">
              <w:rPr>
                <w:rFonts w:ascii="Calibri" w:eastAsia="Calibri" w:hAnsi="Calibri" w:cs="Calibri"/>
                <w:sz w:val="20"/>
                <w:szCs w:val="20"/>
                <w:lang w:val="fr"/>
              </w:rPr>
              <w:t xml:space="preserve">vers le SPW Intérieur et Action sociale dès la génération du fichier dans eComptes </w:t>
            </w:r>
            <w:r w:rsidRPr="005C4637">
              <w:rPr>
                <w:sz w:val="20"/>
                <w:szCs w:val="20"/>
              </w:rPr>
              <w:t>en cochant « Envoi   au SPW Intérieur Action sociale ».</w:t>
            </w:r>
          </w:p>
        </w:tc>
      </w:tr>
      <w:tr w:rsidR="003960D9" w:rsidRPr="005C4637" w14:paraId="153F85B4" w14:textId="77777777" w:rsidTr="005560EF">
        <w:trPr>
          <w:trHeight w:val="405"/>
          <w:jc w:val="center"/>
        </w:trPr>
        <w:tc>
          <w:tcPr>
            <w:tcW w:w="2535" w:type="dxa"/>
            <w:tcBorders>
              <w:bottom w:val="single" w:sz="4" w:space="0" w:color="auto"/>
            </w:tcBorders>
            <w:vAlign w:val="center"/>
          </w:tcPr>
          <w:p w14:paraId="46F6B84C" w14:textId="77777777" w:rsidR="003960D9" w:rsidRPr="005C4637" w:rsidRDefault="003960D9" w:rsidP="005560EF">
            <w:pPr>
              <w:rPr>
                <w:b/>
                <w:sz w:val="20"/>
                <w:szCs w:val="20"/>
              </w:rPr>
            </w:pPr>
          </w:p>
        </w:tc>
        <w:tc>
          <w:tcPr>
            <w:tcW w:w="2838" w:type="dxa"/>
            <w:tcBorders>
              <w:bottom w:val="single" w:sz="4" w:space="0" w:color="auto"/>
            </w:tcBorders>
            <w:vAlign w:val="center"/>
          </w:tcPr>
          <w:p w14:paraId="02092723" w14:textId="77777777" w:rsidR="003960D9" w:rsidRPr="005C4637" w:rsidRDefault="003960D9" w:rsidP="005560EF">
            <w:pPr>
              <w:rPr>
                <w:sz w:val="20"/>
                <w:szCs w:val="20"/>
              </w:rPr>
            </w:pPr>
          </w:p>
        </w:tc>
        <w:tc>
          <w:tcPr>
            <w:tcW w:w="2193" w:type="dxa"/>
            <w:tcBorders>
              <w:bottom w:val="single" w:sz="4" w:space="0" w:color="auto"/>
            </w:tcBorders>
            <w:vAlign w:val="center"/>
          </w:tcPr>
          <w:p w14:paraId="342F0FEE" w14:textId="77777777" w:rsidR="003960D9" w:rsidRPr="005C4637" w:rsidRDefault="003960D9" w:rsidP="005560EF">
            <w:pPr>
              <w:rPr>
                <w:sz w:val="20"/>
                <w:szCs w:val="20"/>
              </w:rPr>
            </w:pPr>
          </w:p>
        </w:tc>
        <w:tc>
          <w:tcPr>
            <w:tcW w:w="2568" w:type="dxa"/>
            <w:tcBorders>
              <w:bottom w:val="single" w:sz="4" w:space="0" w:color="auto"/>
            </w:tcBorders>
            <w:vAlign w:val="center"/>
          </w:tcPr>
          <w:p w14:paraId="0C82E95E" w14:textId="77777777" w:rsidR="003960D9" w:rsidRPr="005C4637" w:rsidRDefault="003960D9" w:rsidP="005560EF">
            <w:pPr>
              <w:rPr>
                <w:sz w:val="20"/>
                <w:szCs w:val="20"/>
              </w:rPr>
            </w:pPr>
            <w:r w:rsidRPr="005C4637">
              <w:rPr>
                <w:sz w:val="20"/>
                <w:szCs w:val="20"/>
              </w:rPr>
              <w:t>Dépôt sur eGuichet à destination de la tutelle avec les pièces justificatives dans les 15 jours du vote.</w:t>
            </w:r>
          </w:p>
        </w:tc>
      </w:tr>
      <w:tr w:rsidR="003960D9" w:rsidRPr="005C4637" w14:paraId="2F65EED3" w14:textId="77777777" w:rsidTr="005560EF">
        <w:trPr>
          <w:trHeight w:val="98"/>
          <w:jc w:val="center"/>
        </w:trPr>
        <w:tc>
          <w:tcPr>
            <w:tcW w:w="10136" w:type="dxa"/>
            <w:gridSpan w:val="4"/>
            <w:vAlign w:val="center"/>
          </w:tcPr>
          <w:p w14:paraId="40F919F7" w14:textId="77777777" w:rsidR="003960D9" w:rsidRPr="005560EF" w:rsidRDefault="003960D9" w:rsidP="005560EF">
            <w:pPr>
              <w:jc w:val="center"/>
              <w:rPr>
                <w:color w:val="1F497D" w:themeColor="text2"/>
                <w:sz w:val="20"/>
                <w:szCs w:val="20"/>
              </w:rPr>
            </w:pPr>
            <w:r w:rsidRPr="005560EF">
              <w:rPr>
                <w:b/>
                <w:color w:val="1F497D" w:themeColor="text2"/>
                <w:sz w:val="20"/>
                <w:szCs w:val="20"/>
              </w:rPr>
              <w:t>Compte</w:t>
            </w:r>
          </w:p>
        </w:tc>
      </w:tr>
      <w:tr w:rsidR="003960D9" w:rsidRPr="005C4637" w14:paraId="3BB93299" w14:textId="77777777" w:rsidTr="005560EF">
        <w:trPr>
          <w:trHeight w:val="301"/>
          <w:jc w:val="center"/>
        </w:trPr>
        <w:tc>
          <w:tcPr>
            <w:tcW w:w="2535" w:type="dxa"/>
            <w:vAlign w:val="center"/>
          </w:tcPr>
          <w:p w14:paraId="7487E32D" w14:textId="77777777" w:rsidR="003960D9" w:rsidRPr="005C4637" w:rsidRDefault="003960D9" w:rsidP="005560EF">
            <w:pPr>
              <w:rPr>
                <w:b/>
                <w:sz w:val="20"/>
                <w:szCs w:val="20"/>
              </w:rPr>
            </w:pPr>
            <w:r w:rsidRPr="005C4637">
              <w:rPr>
                <w:b/>
                <w:sz w:val="20"/>
                <w:szCs w:val="20"/>
              </w:rPr>
              <w:t>Compte provisoire*</w:t>
            </w:r>
          </w:p>
        </w:tc>
        <w:tc>
          <w:tcPr>
            <w:tcW w:w="2838" w:type="dxa"/>
            <w:vAlign w:val="center"/>
          </w:tcPr>
          <w:p w14:paraId="1C231CFA" w14:textId="77777777" w:rsidR="003960D9" w:rsidRPr="005C4637" w:rsidRDefault="003960D9" w:rsidP="005560EF">
            <w:pPr>
              <w:rPr>
                <w:sz w:val="20"/>
                <w:szCs w:val="20"/>
              </w:rPr>
            </w:pPr>
            <w:r w:rsidRPr="005C4637">
              <w:rPr>
                <w:sz w:val="20"/>
                <w:szCs w:val="20"/>
              </w:rPr>
              <w:t xml:space="preserve">Arrêté par le Collège communal </w:t>
            </w:r>
            <w:r w:rsidRPr="51F4686F">
              <w:rPr>
                <w:sz w:val="20"/>
                <w:szCs w:val="20"/>
              </w:rPr>
              <w:t>et</w:t>
            </w:r>
            <w:r w:rsidRPr="005C4637">
              <w:rPr>
                <w:sz w:val="20"/>
                <w:szCs w:val="20"/>
              </w:rPr>
              <w:t xml:space="preserve"> transmis le 15 </w:t>
            </w:r>
            <w:r w:rsidRPr="51F4686F">
              <w:rPr>
                <w:sz w:val="20"/>
                <w:szCs w:val="20"/>
              </w:rPr>
              <w:t>février</w:t>
            </w:r>
          </w:p>
        </w:tc>
        <w:tc>
          <w:tcPr>
            <w:tcW w:w="2193" w:type="dxa"/>
            <w:vAlign w:val="center"/>
          </w:tcPr>
          <w:p w14:paraId="5700E550" w14:textId="13F41698" w:rsidR="003960D9" w:rsidRPr="005C4637" w:rsidRDefault="003960D9" w:rsidP="005560EF">
            <w:pPr>
              <w:rPr>
                <w:sz w:val="20"/>
                <w:szCs w:val="20"/>
              </w:rPr>
            </w:pPr>
            <w:r w:rsidRPr="005C4637">
              <w:rPr>
                <w:sz w:val="20"/>
                <w:szCs w:val="20"/>
              </w:rPr>
              <w:t>Fichier CP</w:t>
            </w:r>
            <w:r w:rsidR="004D03B8">
              <w:rPr>
                <w:sz w:val="20"/>
                <w:szCs w:val="20"/>
              </w:rPr>
              <w:t xml:space="preserve"> </w:t>
            </w:r>
            <w:r w:rsidRPr="005C4637">
              <w:rPr>
                <w:sz w:val="20"/>
                <w:szCs w:val="20"/>
              </w:rPr>
              <w:t>généré par eComptes</w:t>
            </w:r>
          </w:p>
        </w:tc>
        <w:tc>
          <w:tcPr>
            <w:tcW w:w="2568" w:type="dxa"/>
            <w:vAlign w:val="center"/>
          </w:tcPr>
          <w:p w14:paraId="586A16BC" w14:textId="768D75FC" w:rsidR="003960D9" w:rsidRPr="005C4637" w:rsidRDefault="003960D9" w:rsidP="005560EF">
            <w:pPr>
              <w:jc w:val="center"/>
              <w:rPr>
                <w:rFonts w:ascii="Calibri" w:eastAsia="Calibri" w:hAnsi="Calibri" w:cs="Calibri"/>
                <w:sz w:val="20"/>
                <w:szCs w:val="20"/>
                <w:lang w:val="fr"/>
              </w:rPr>
            </w:pPr>
            <w:r w:rsidRPr="005C4637">
              <w:rPr>
                <w:sz w:val="20"/>
                <w:szCs w:val="20"/>
              </w:rPr>
              <w:t xml:space="preserve">Envoi </w:t>
            </w:r>
            <w:r w:rsidR="004D03B8" w:rsidRPr="005C4637">
              <w:rPr>
                <w:sz w:val="20"/>
                <w:szCs w:val="20"/>
              </w:rPr>
              <w:t xml:space="preserve">automatique </w:t>
            </w:r>
            <w:r w:rsidR="004D03B8" w:rsidRPr="51F4686F">
              <w:rPr>
                <w:rFonts w:ascii="Calibri" w:eastAsia="Calibri" w:hAnsi="Calibri" w:cs="Calibri"/>
                <w:sz w:val="20"/>
                <w:szCs w:val="20"/>
                <w:lang w:val="fr"/>
              </w:rPr>
              <w:t>vers</w:t>
            </w:r>
            <w:r w:rsidRPr="51F4686F">
              <w:rPr>
                <w:rFonts w:ascii="Calibri" w:eastAsia="Calibri" w:hAnsi="Calibri" w:cs="Calibri"/>
                <w:sz w:val="20"/>
                <w:szCs w:val="20"/>
                <w:lang w:val="fr"/>
              </w:rPr>
              <w:t xml:space="preserve"> le SPW Intérieur et Action sociale dès la génération du fichier dans eComptes en cochant « Envoi   au SPW Intérieur Action sociale ».</w:t>
            </w:r>
          </w:p>
          <w:p w14:paraId="78F720FB" w14:textId="77777777" w:rsidR="003960D9" w:rsidRPr="005C4637" w:rsidRDefault="003960D9" w:rsidP="005560EF">
            <w:pPr>
              <w:rPr>
                <w:sz w:val="20"/>
                <w:szCs w:val="20"/>
              </w:rPr>
            </w:pPr>
          </w:p>
        </w:tc>
      </w:tr>
      <w:tr w:rsidR="003960D9" w:rsidRPr="005C4637" w14:paraId="57F3A394" w14:textId="77777777" w:rsidTr="005560EF">
        <w:trPr>
          <w:trHeight w:val="393"/>
          <w:jc w:val="center"/>
        </w:trPr>
        <w:tc>
          <w:tcPr>
            <w:tcW w:w="2535" w:type="dxa"/>
            <w:vAlign w:val="center"/>
          </w:tcPr>
          <w:p w14:paraId="4AD6E356" w14:textId="77777777" w:rsidR="003960D9" w:rsidRPr="005C4637" w:rsidRDefault="003960D9" w:rsidP="005560EF">
            <w:pPr>
              <w:rPr>
                <w:b/>
                <w:sz w:val="20"/>
                <w:szCs w:val="20"/>
              </w:rPr>
            </w:pPr>
            <w:r w:rsidRPr="005C4637">
              <w:rPr>
                <w:b/>
                <w:sz w:val="20"/>
                <w:szCs w:val="20"/>
              </w:rPr>
              <w:t>Compte définitif</w:t>
            </w:r>
          </w:p>
        </w:tc>
        <w:tc>
          <w:tcPr>
            <w:tcW w:w="2838" w:type="dxa"/>
            <w:vAlign w:val="center"/>
          </w:tcPr>
          <w:p w14:paraId="30DC2639" w14:textId="77777777" w:rsidR="003960D9" w:rsidRPr="005C4637" w:rsidRDefault="003960D9" w:rsidP="005560EF">
            <w:pPr>
              <w:rPr>
                <w:sz w:val="20"/>
                <w:szCs w:val="20"/>
              </w:rPr>
            </w:pPr>
            <w:r w:rsidRPr="005C4637">
              <w:rPr>
                <w:sz w:val="20"/>
                <w:szCs w:val="20"/>
              </w:rPr>
              <w:t xml:space="preserve">Voté par le Conseil communal le </w:t>
            </w:r>
            <w:r w:rsidRPr="51F4686F">
              <w:rPr>
                <w:sz w:val="20"/>
                <w:szCs w:val="20"/>
              </w:rPr>
              <w:t>31 mai</w:t>
            </w:r>
            <w:r w:rsidRPr="005C4637">
              <w:rPr>
                <w:sz w:val="20"/>
                <w:szCs w:val="20"/>
              </w:rPr>
              <w:t xml:space="preserve"> au plus tard </w:t>
            </w:r>
            <w:r w:rsidRPr="27071968">
              <w:rPr>
                <w:sz w:val="20"/>
                <w:szCs w:val="20"/>
              </w:rPr>
              <w:t xml:space="preserve">et </w:t>
            </w:r>
            <w:r w:rsidRPr="005C4637">
              <w:rPr>
                <w:sz w:val="20"/>
                <w:szCs w:val="20"/>
              </w:rPr>
              <w:t>transmis dans les 15 jours.</w:t>
            </w:r>
          </w:p>
        </w:tc>
        <w:tc>
          <w:tcPr>
            <w:tcW w:w="2193" w:type="dxa"/>
            <w:vAlign w:val="center"/>
          </w:tcPr>
          <w:p w14:paraId="08B3133B" w14:textId="77777777" w:rsidR="003960D9" w:rsidRPr="005C4637" w:rsidRDefault="003960D9">
            <w:pPr>
              <w:numPr>
                <w:ilvl w:val="0"/>
                <w:numId w:val="144"/>
              </w:numPr>
              <w:spacing w:after="120"/>
              <w:rPr>
                <w:sz w:val="20"/>
                <w:szCs w:val="20"/>
              </w:rPr>
            </w:pPr>
            <w:r w:rsidRPr="005C4637">
              <w:rPr>
                <w:sz w:val="20"/>
                <w:szCs w:val="20"/>
              </w:rPr>
              <w:t>Fichier SIC généré par eComptes.</w:t>
            </w:r>
          </w:p>
          <w:p w14:paraId="58F56C97" w14:textId="77777777" w:rsidR="003960D9" w:rsidRPr="005C4637" w:rsidRDefault="003960D9">
            <w:pPr>
              <w:numPr>
                <w:ilvl w:val="0"/>
                <w:numId w:val="144"/>
              </w:numPr>
              <w:spacing w:after="120"/>
              <w:rPr>
                <w:sz w:val="20"/>
                <w:szCs w:val="20"/>
              </w:rPr>
            </w:pPr>
            <w:r w:rsidRPr="005C4637">
              <w:rPr>
                <w:sz w:val="20"/>
                <w:szCs w:val="20"/>
              </w:rPr>
              <w:t>Version Word conforme au fichier SIC.</w:t>
            </w:r>
          </w:p>
        </w:tc>
        <w:tc>
          <w:tcPr>
            <w:tcW w:w="2568" w:type="dxa"/>
            <w:vAlign w:val="center"/>
          </w:tcPr>
          <w:p w14:paraId="5A53B27F" w14:textId="79717B3F" w:rsidR="003960D9" w:rsidRPr="005C4637" w:rsidRDefault="003960D9" w:rsidP="005560EF">
            <w:pPr>
              <w:rPr>
                <w:sz w:val="20"/>
                <w:szCs w:val="20"/>
              </w:rPr>
            </w:pPr>
            <w:r w:rsidRPr="005C4637">
              <w:rPr>
                <w:sz w:val="20"/>
                <w:szCs w:val="20"/>
              </w:rPr>
              <w:t xml:space="preserve">Envoi </w:t>
            </w:r>
            <w:r w:rsidR="004D03B8" w:rsidRPr="005C4637">
              <w:rPr>
                <w:sz w:val="20"/>
                <w:szCs w:val="20"/>
              </w:rPr>
              <w:t xml:space="preserve">automatique </w:t>
            </w:r>
            <w:r w:rsidR="004D03B8" w:rsidRPr="51F4686F">
              <w:rPr>
                <w:rFonts w:ascii="Calibri" w:eastAsia="Calibri" w:hAnsi="Calibri" w:cs="Calibri"/>
                <w:sz w:val="20"/>
                <w:szCs w:val="20"/>
                <w:lang w:val="fr"/>
              </w:rPr>
              <w:t>vers</w:t>
            </w:r>
            <w:r w:rsidRPr="51F4686F">
              <w:rPr>
                <w:rFonts w:ascii="Calibri" w:eastAsia="Calibri" w:hAnsi="Calibri" w:cs="Calibri"/>
                <w:sz w:val="20"/>
                <w:szCs w:val="20"/>
                <w:lang w:val="fr"/>
              </w:rPr>
              <w:t xml:space="preserve"> le SPW Intérieur et Action sociale dès la génération du fichier dans eComptes</w:t>
            </w:r>
            <w:r w:rsidRPr="51F4686F">
              <w:rPr>
                <w:sz w:val="20"/>
                <w:szCs w:val="20"/>
              </w:rPr>
              <w:t xml:space="preserve"> </w:t>
            </w:r>
            <w:r w:rsidRPr="005C4637">
              <w:rPr>
                <w:sz w:val="20"/>
                <w:szCs w:val="20"/>
              </w:rPr>
              <w:t>en cochant «Envoi au SPW Intérieur Action sociale».</w:t>
            </w:r>
          </w:p>
        </w:tc>
      </w:tr>
      <w:tr w:rsidR="003960D9" w:rsidRPr="005C4637" w14:paraId="58607721" w14:textId="77777777" w:rsidTr="005560EF">
        <w:trPr>
          <w:trHeight w:val="405"/>
          <w:jc w:val="center"/>
        </w:trPr>
        <w:tc>
          <w:tcPr>
            <w:tcW w:w="2535" w:type="dxa"/>
            <w:tcBorders>
              <w:bottom w:val="single" w:sz="4" w:space="0" w:color="auto"/>
            </w:tcBorders>
            <w:vAlign w:val="center"/>
          </w:tcPr>
          <w:p w14:paraId="38D73EC1" w14:textId="77777777" w:rsidR="003960D9" w:rsidRPr="005C4637" w:rsidRDefault="003960D9" w:rsidP="005560EF">
            <w:pPr>
              <w:rPr>
                <w:sz w:val="20"/>
                <w:szCs w:val="20"/>
              </w:rPr>
            </w:pPr>
          </w:p>
        </w:tc>
        <w:tc>
          <w:tcPr>
            <w:tcW w:w="2838" w:type="dxa"/>
            <w:tcBorders>
              <w:bottom w:val="single" w:sz="4" w:space="0" w:color="auto"/>
            </w:tcBorders>
            <w:vAlign w:val="center"/>
          </w:tcPr>
          <w:p w14:paraId="348F51B9" w14:textId="77777777" w:rsidR="003960D9" w:rsidRPr="005C4637" w:rsidRDefault="003960D9" w:rsidP="005560EF">
            <w:pPr>
              <w:rPr>
                <w:sz w:val="20"/>
                <w:szCs w:val="20"/>
              </w:rPr>
            </w:pPr>
          </w:p>
        </w:tc>
        <w:tc>
          <w:tcPr>
            <w:tcW w:w="2193" w:type="dxa"/>
            <w:tcBorders>
              <w:bottom w:val="single" w:sz="4" w:space="0" w:color="auto"/>
            </w:tcBorders>
            <w:vAlign w:val="center"/>
          </w:tcPr>
          <w:p w14:paraId="793EF75A" w14:textId="77777777" w:rsidR="003960D9" w:rsidRPr="005C4637" w:rsidRDefault="003960D9">
            <w:pPr>
              <w:numPr>
                <w:ilvl w:val="0"/>
                <w:numId w:val="144"/>
              </w:numPr>
              <w:spacing w:after="120"/>
              <w:rPr>
                <w:sz w:val="20"/>
                <w:szCs w:val="20"/>
              </w:rPr>
            </w:pPr>
          </w:p>
        </w:tc>
        <w:tc>
          <w:tcPr>
            <w:tcW w:w="2568" w:type="dxa"/>
            <w:tcBorders>
              <w:bottom w:val="single" w:sz="4" w:space="0" w:color="auto"/>
            </w:tcBorders>
            <w:vAlign w:val="center"/>
          </w:tcPr>
          <w:p w14:paraId="7FA42D08" w14:textId="77777777" w:rsidR="003960D9" w:rsidRPr="005C4637" w:rsidRDefault="003960D9" w:rsidP="005560EF">
            <w:pPr>
              <w:rPr>
                <w:sz w:val="20"/>
                <w:szCs w:val="20"/>
              </w:rPr>
            </w:pPr>
            <w:r w:rsidRPr="005C4637">
              <w:rPr>
                <w:sz w:val="20"/>
                <w:szCs w:val="20"/>
              </w:rPr>
              <w:t>Dépôt sur eGuichet à destination de la tutelle avec les pièces justificatives dans les 15 jours du vote.</w:t>
            </w:r>
          </w:p>
        </w:tc>
      </w:tr>
      <w:tr w:rsidR="003960D9" w:rsidRPr="005C4637" w14:paraId="78F64957" w14:textId="77777777" w:rsidTr="005560EF">
        <w:trPr>
          <w:trHeight w:val="98"/>
          <w:jc w:val="center"/>
        </w:trPr>
        <w:tc>
          <w:tcPr>
            <w:tcW w:w="10136" w:type="dxa"/>
            <w:gridSpan w:val="4"/>
            <w:vAlign w:val="center"/>
          </w:tcPr>
          <w:p w14:paraId="07C70422" w14:textId="77777777" w:rsidR="003960D9" w:rsidRPr="005C4637" w:rsidRDefault="003960D9" w:rsidP="005560EF">
            <w:pPr>
              <w:jc w:val="center"/>
              <w:rPr>
                <w:sz w:val="20"/>
                <w:szCs w:val="20"/>
              </w:rPr>
            </w:pPr>
            <w:r w:rsidRPr="005C4637">
              <w:rPr>
                <w:b/>
                <w:sz w:val="20"/>
                <w:szCs w:val="20"/>
              </w:rPr>
              <w:t>Modification budgétaire</w:t>
            </w:r>
          </w:p>
        </w:tc>
      </w:tr>
      <w:tr w:rsidR="003960D9" w:rsidRPr="005C4637" w14:paraId="61101CE5" w14:textId="77777777" w:rsidTr="005560EF">
        <w:trPr>
          <w:trHeight w:val="498"/>
          <w:jc w:val="center"/>
        </w:trPr>
        <w:tc>
          <w:tcPr>
            <w:tcW w:w="2535" w:type="dxa"/>
            <w:vAlign w:val="center"/>
          </w:tcPr>
          <w:p w14:paraId="1B688944" w14:textId="77777777" w:rsidR="003960D9" w:rsidRPr="005C4637" w:rsidRDefault="003960D9" w:rsidP="005560EF">
            <w:pPr>
              <w:rPr>
                <w:sz w:val="20"/>
                <w:szCs w:val="20"/>
              </w:rPr>
            </w:pPr>
          </w:p>
        </w:tc>
        <w:tc>
          <w:tcPr>
            <w:tcW w:w="2838" w:type="dxa"/>
            <w:vAlign w:val="center"/>
          </w:tcPr>
          <w:p w14:paraId="1466B685" w14:textId="77777777" w:rsidR="003960D9" w:rsidRPr="005C4637" w:rsidRDefault="003960D9" w:rsidP="005560EF">
            <w:pPr>
              <w:rPr>
                <w:sz w:val="20"/>
                <w:szCs w:val="20"/>
              </w:rPr>
            </w:pPr>
            <w:r w:rsidRPr="005C4637">
              <w:rPr>
                <w:sz w:val="20"/>
                <w:szCs w:val="20"/>
              </w:rPr>
              <w:t>Votée par le Conseil communal</w:t>
            </w:r>
            <w:r w:rsidRPr="16C441B9">
              <w:rPr>
                <w:sz w:val="20"/>
                <w:szCs w:val="20"/>
              </w:rPr>
              <w:t xml:space="preserve"> </w:t>
            </w:r>
            <w:r w:rsidRPr="27071968">
              <w:rPr>
                <w:sz w:val="20"/>
                <w:szCs w:val="20"/>
              </w:rPr>
              <w:t xml:space="preserve">et </w:t>
            </w:r>
            <w:r w:rsidRPr="005C4637">
              <w:rPr>
                <w:sz w:val="20"/>
                <w:szCs w:val="20"/>
              </w:rPr>
              <w:t>transmise dans les 15 jours.</w:t>
            </w:r>
          </w:p>
          <w:p w14:paraId="4374C45D" w14:textId="77777777" w:rsidR="003960D9" w:rsidRPr="005C4637" w:rsidRDefault="003960D9" w:rsidP="005560EF">
            <w:pPr>
              <w:rPr>
                <w:sz w:val="20"/>
                <w:szCs w:val="20"/>
              </w:rPr>
            </w:pPr>
          </w:p>
          <w:p w14:paraId="719DF887" w14:textId="77777777" w:rsidR="003960D9" w:rsidRPr="005C4637" w:rsidRDefault="003960D9" w:rsidP="005560EF">
            <w:pPr>
              <w:rPr>
                <w:sz w:val="20"/>
                <w:szCs w:val="20"/>
              </w:rPr>
            </w:pPr>
            <w:r w:rsidRPr="005C4637">
              <w:rPr>
                <w:sz w:val="20"/>
                <w:szCs w:val="20"/>
              </w:rPr>
              <w:t xml:space="preserve">Transmise avant le 15 novembre (sauf MB strictement indispensable au bon fonctionnement de la </w:t>
            </w:r>
            <w:r w:rsidRPr="005C4637">
              <w:rPr>
                <w:sz w:val="20"/>
                <w:szCs w:val="20"/>
              </w:rPr>
              <w:lastRenderedPageBreak/>
              <w:t>commune et dont il n’a pas été possible de tenir compte dans le budget avant cette date).</w:t>
            </w:r>
          </w:p>
        </w:tc>
        <w:tc>
          <w:tcPr>
            <w:tcW w:w="2193" w:type="dxa"/>
            <w:vAlign w:val="center"/>
          </w:tcPr>
          <w:p w14:paraId="54543D97" w14:textId="77777777" w:rsidR="003960D9" w:rsidRPr="005C4637" w:rsidRDefault="003960D9">
            <w:pPr>
              <w:numPr>
                <w:ilvl w:val="0"/>
                <w:numId w:val="144"/>
              </w:numPr>
              <w:spacing w:after="120"/>
              <w:rPr>
                <w:sz w:val="20"/>
                <w:szCs w:val="20"/>
              </w:rPr>
            </w:pPr>
            <w:r w:rsidRPr="005C4637">
              <w:rPr>
                <w:sz w:val="20"/>
                <w:szCs w:val="20"/>
              </w:rPr>
              <w:lastRenderedPageBreak/>
              <w:t>Fichier SIC généré par eComptes.</w:t>
            </w:r>
          </w:p>
          <w:p w14:paraId="3ECBAF16" w14:textId="77777777" w:rsidR="003960D9" w:rsidRPr="005C4637" w:rsidRDefault="003960D9">
            <w:pPr>
              <w:numPr>
                <w:ilvl w:val="0"/>
                <w:numId w:val="144"/>
              </w:numPr>
              <w:spacing w:after="120"/>
              <w:rPr>
                <w:sz w:val="20"/>
                <w:szCs w:val="20"/>
              </w:rPr>
            </w:pPr>
            <w:r w:rsidRPr="005C4637">
              <w:rPr>
                <w:sz w:val="20"/>
                <w:szCs w:val="20"/>
              </w:rPr>
              <w:t>Version Word conforme au fichier SIC.</w:t>
            </w:r>
          </w:p>
        </w:tc>
        <w:tc>
          <w:tcPr>
            <w:tcW w:w="2568" w:type="dxa"/>
            <w:vAlign w:val="center"/>
          </w:tcPr>
          <w:p w14:paraId="2708A1AE" w14:textId="77777777" w:rsidR="003960D9" w:rsidRPr="005C4637" w:rsidRDefault="003960D9" w:rsidP="005560EF">
            <w:pPr>
              <w:rPr>
                <w:sz w:val="20"/>
                <w:szCs w:val="20"/>
              </w:rPr>
            </w:pPr>
            <w:r w:rsidRPr="005C4637">
              <w:rPr>
                <w:sz w:val="20"/>
                <w:szCs w:val="20"/>
              </w:rPr>
              <w:t xml:space="preserve">Envoi automatique </w:t>
            </w:r>
            <w:r w:rsidRPr="51F4686F">
              <w:rPr>
                <w:rFonts w:ascii="Calibri" w:eastAsia="Calibri" w:hAnsi="Calibri" w:cs="Calibri"/>
                <w:sz w:val="20"/>
                <w:szCs w:val="20"/>
                <w:lang w:val="fr"/>
              </w:rPr>
              <w:t xml:space="preserve">vers le SPW Intérieur et Action sociale dès la génération du fichier dans eComptes </w:t>
            </w:r>
            <w:r w:rsidRPr="005C4637">
              <w:rPr>
                <w:sz w:val="20"/>
                <w:szCs w:val="20"/>
              </w:rPr>
              <w:t>en cochant « Envoi au SPW Intérieur Action sociale ».</w:t>
            </w:r>
          </w:p>
          <w:p w14:paraId="112F5D04" w14:textId="77777777" w:rsidR="003960D9" w:rsidRPr="005C4637" w:rsidRDefault="003960D9" w:rsidP="005560EF">
            <w:pPr>
              <w:rPr>
                <w:sz w:val="20"/>
                <w:szCs w:val="20"/>
              </w:rPr>
            </w:pPr>
          </w:p>
        </w:tc>
      </w:tr>
      <w:tr w:rsidR="003960D9" w:rsidRPr="005C4637" w14:paraId="2C483883" w14:textId="77777777" w:rsidTr="005560EF">
        <w:trPr>
          <w:trHeight w:val="1065"/>
          <w:jc w:val="center"/>
        </w:trPr>
        <w:tc>
          <w:tcPr>
            <w:tcW w:w="2535" w:type="dxa"/>
            <w:vAlign w:val="center"/>
          </w:tcPr>
          <w:p w14:paraId="4231711B" w14:textId="77777777" w:rsidR="003960D9" w:rsidRPr="005C4637" w:rsidRDefault="003960D9" w:rsidP="005560EF">
            <w:pPr>
              <w:rPr>
                <w:sz w:val="20"/>
                <w:szCs w:val="20"/>
              </w:rPr>
            </w:pPr>
          </w:p>
        </w:tc>
        <w:tc>
          <w:tcPr>
            <w:tcW w:w="2838" w:type="dxa"/>
            <w:vAlign w:val="center"/>
          </w:tcPr>
          <w:p w14:paraId="7DCCF292" w14:textId="77777777" w:rsidR="003960D9" w:rsidRPr="005C4637" w:rsidRDefault="003960D9" w:rsidP="005560EF">
            <w:pPr>
              <w:rPr>
                <w:sz w:val="20"/>
                <w:szCs w:val="20"/>
              </w:rPr>
            </w:pPr>
          </w:p>
        </w:tc>
        <w:tc>
          <w:tcPr>
            <w:tcW w:w="2193" w:type="dxa"/>
            <w:vAlign w:val="center"/>
          </w:tcPr>
          <w:p w14:paraId="3A82BC1B" w14:textId="77777777" w:rsidR="003960D9" w:rsidRPr="005C4637" w:rsidRDefault="003960D9" w:rsidP="005560EF">
            <w:pPr>
              <w:spacing w:after="120"/>
              <w:ind w:left="360"/>
              <w:rPr>
                <w:sz w:val="20"/>
                <w:szCs w:val="20"/>
              </w:rPr>
            </w:pPr>
          </w:p>
        </w:tc>
        <w:tc>
          <w:tcPr>
            <w:tcW w:w="2568" w:type="dxa"/>
            <w:vAlign w:val="center"/>
          </w:tcPr>
          <w:p w14:paraId="44773565" w14:textId="77777777" w:rsidR="003960D9" w:rsidRPr="005C4637" w:rsidRDefault="003960D9" w:rsidP="005560EF">
            <w:pPr>
              <w:rPr>
                <w:sz w:val="20"/>
                <w:szCs w:val="20"/>
              </w:rPr>
            </w:pPr>
            <w:r w:rsidRPr="005C4637">
              <w:rPr>
                <w:sz w:val="20"/>
                <w:szCs w:val="20"/>
              </w:rPr>
              <w:t>Dépôt sur eGuichet à destination de la tutelle avec les pièces justificatives dans les 15 jours du vote.</w:t>
            </w:r>
          </w:p>
        </w:tc>
      </w:tr>
    </w:tbl>
    <w:p w14:paraId="69ACC4BE" w14:textId="77777777" w:rsidR="003960D9" w:rsidRPr="005C4637" w:rsidRDefault="003960D9" w:rsidP="003960D9"/>
    <w:p w14:paraId="24048DFC" w14:textId="77777777" w:rsidR="003960D9" w:rsidRPr="005C4637" w:rsidRDefault="003960D9" w:rsidP="003960D9">
      <w:pPr>
        <w:rPr>
          <w:sz w:val="20"/>
          <w:szCs w:val="20"/>
        </w:rPr>
      </w:pPr>
      <w:r w:rsidRPr="005C4637">
        <w:rPr>
          <w:sz w:val="20"/>
          <w:szCs w:val="20"/>
        </w:rPr>
        <w:t>*=non soumis à tutelle, les budgets provisoires et comptes provisoires servent uniquement à l’Institut des Comptes Nationaux à des fins statistiques.</w:t>
      </w:r>
    </w:p>
    <w:p w14:paraId="213C9345" w14:textId="10BDD8D4" w:rsidR="004D03B8" w:rsidRPr="004D03B8" w:rsidRDefault="003960D9" w:rsidP="004D03B8">
      <w:pPr>
        <w:pStyle w:val="Titre3"/>
      </w:pPr>
      <w:bookmarkStart w:id="86" w:name="_Toc225504106"/>
      <w:bookmarkStart w:id="87" w:name="_Toc225772195"/>
      <w:bookmarkStart w:id="88" w:name="_Toc226445250"/>
      <w:bookmarkStart w:id="89" w:name="_Toc233626031"/>
      <w:r>
        <w:t>Quels sont</w:t>
      </w:r>
      <w:r w:rsidRPr="005C4637">
        <w:t xml:space="preserve"> les prescrits légaux concernant les dates de vote budgétaires et comptables en ce qui concerne les régies ordinaires (articles 11 et 30 de l’arrêté du Régent du 18 juin 1946 et L3132-1 du CDLD) </w:t>
      </w:r>
      <w:r>
        <w:t>?</w:t>
      </w:r>
      <w:bookmarkEnd w:id="86"/>
      <w:bookmarkEnd w:id="87"/>
      <w:bookmarkEnd w:id="88"/>
      <w:bookmarkEnd w:id="89"/>
    </w:p>
    <w:tbl>
      <w:tblPr>
        <w:tblStyle w:val="Grilledutableau"/>
        <w:tblW w:w="8630" w:type="dxa"/>
        <w:tblInd w:w="-5" w:type="dxa"/>
        <w:tblLook w:val="04A0" w:firstRow="1" w:lastRow="0" w:firstColumn="1" w:lastColumn="0" w:noHBand="0" w:noVBand="1"/>
      </w:tblPr>
      <w:tblGrid>
        <w:gridCol w:w="2876"/>
        <w:gridCol w:w="2877"/>
        <w:gridCol w:w="2877"/>
      </w:tblGrid>
      <w:tr w:rsidR="003960D9" w14:paraId="5857CA7B" w14:textId="77777777" w:rsidTr="004D03B8">
        <w:trPr>
          <w:trHeight w:val="300"/>
        </w:trPr>
        <w:tc>
          <w:tcPr>
            <w:tcW w:w="2876" w:type="dxa"/>
            <w:tcBorders>
              <w:top w:val="single" w:sz="8" w:space="0" w:color="auto"/>
              <w:left w:val="single" w:sz="8" w:space="0" w:color="auto"/>
              <w:bottom w:val="single" w:sz="8" w:space="0" w:color="auto"/>
              <w:right w:val="single" w:sz="8" w:space="0" w:color="auto"/>
            </w:tcBorders>
          </w:tcPr>
          <w:p w14:paraId="06D03165" w14:textId="77777777" w:rsidR="003960D9" w:rsidRDefault="003960D9" w:rsidP="005560EF">
            <w:pPr>
              <w:jc w:val="center"/>
              <w:rPr>
                <w:rFonts w:ascii="Calibri" w:eastAsia="Calibri" w:hAnsi="Calibri" w:cs="Calibri"/>
                <w:b/>
                <w:bCs/>
                <w:sz w:val="20"/>
                <w:szCs w:val="20"/>
                <w:lang w:val="fr"/>
              </w:rPr>
            </w:pPr>
          </w:p>
        </w:tc>
        <w:tc>
          <w:tcPr>
            <w:tcW w:w="2877" w:type="dxa"/>
            <w:tcBorders>
              <w:top w:val="single" w:sz="8" w:space="0" w:color="auto"/>
              <w:left w:val="single" w:sz="8" w:space="0" w:color="auto"/>
              <w:bottom w:val="single" w:sz="8" w:space="0" w:color="auto"/>
              <w:right w:val="single" w:sz="8" w:space="0" w:color="auto"/>
            </w:tcBorders>
          </w:tcPr>
          <w:p w14:paraId="7C03B273" w14:textId="77777777" w:rsidR="003960D9" w:rsidRDefault="003960D9" w:rsidP="005560EF">
            <w:pPr>
              <w:jc w:val="center"/>
              <w:rPr>
                <w:rFonts w:ascii="Calibri" w:eastAsia="Calibri" w:hAnsi="Calibri" w:cs="Calibri"/>
                <w:b/>
                <w:bCs/>
                <w:sz w:val="20"/>
                <w:szCs w:val="20"/>
                <w:lang w:val="fr"/>
              </w:rPr>
            </w:pPr>
            <w:r w:rsidRPr="51F4686F">
              <w:rPr>
                <w:rFonts w:ascii="Calibri" w:eastAsia="Calibri" w:hAnsi="Calibri" w:cs="Calibri"/>
                <w:b/>
                <w:bCs/>
                <w:sz w:val="20"/>
                <w:szCs w:val="20"/>
                <w:lang w:val="fr"/>
              </w:rPr>
              <w:t>Date vote et transmission</w:t>
            </w:r>
          </w:p>
        </w:tc>
        <w:tc>
          <w:tcPr>
            <w:tcW w:w="2877" w:type="dxa"/>
            <w:tcBorders>
              <w:top w:val="single" w:sz="8" w:space="0" w:color="auto"/>
              <w:left w:val="single" w:sz="8" w:space="0" w:color="auto"/>
              <w:bottom w:val="single" w:sz="8" w:space="0" w:color="auto"/>
              <w:right w:val="single" w:sz="8" w:space="0" w:color="auto"/>
            </w:tcBorders>
          </w:tcPr>
          <w:p w14:paraId="34E1DFE9" w14:textId="77777777" w:rsidR="003960D9" w:rsidRDefault="003960D9" w:rsidP="005560EF">
            <w:pPr>
              <w:jc w:val="center"/>
              <w:rPr>
                <w:rFonts w:ascii="Calibri" w:eastAsia="Calibri" w:hAnsi="Calibri" w:cs="Calibri"/>
                <w:b/>
                <w:bCs/>
                <w:sz w:val="20"/>
                <w:szCs w:val="20"/>
                <w:lang w:val="fr"/>
              </w:rPr>
            </w:pPr>
            <w:r w:rsidRPr="51F4686F">
              <w:rPr>
                <w:rFonts w:ascii="Calibri" w:eastAsia="Calibri" w:hAnsi="Calibri" w:cs="Calibri"/>
                <w:b/>
                <w:bCs/>
                <w:sz w:val="20"/>
                <w:szCs w:val="20"/>
                <w:lang w:val="fr"/>
              </w:rPr>
              <w:t>Canal de transmission</w:t>
            </w:r>
          </w:p>
        </w:tc>
      </w:tr>
      <w:tr w:rsidR="003960D9" w14:paraId="4D244988" w14:textId="77777777" w:rsidTr="004D03B8">
        <w:trPr>
          <w:trHeight w:val="300"/>
        </w:trPr>
        <w:tc>
          <w:tcPr>
            <w:tcW w:w="2876" w:type="dxa"/>
            <w:tcBorders>
              <w:top w:val="single" w:sz="8" w:space="0" w:color="auto"/>
              <w:left w:val="single" w:sz="8" w:space="0" w:color="auto"/>
              <w:bottom w:val="single" w:sz="8" w:space="0" w:color="auto"/>
              <w:right w:val="single" w:sz="8" w:space="0" w:color="auto"/>
            </w:tcBorders>
          </w:tcPr>
          <w:p w14:paraId="3AFFAC8C" w14:textId="77777777" w:rsidR="003960D9" w:rsidRDefault="003960D9" w:rsidP="005560EF">
            <w:pPr>
              <w:jc w:val="center"/>
              <w:rPr>
                <w:rFonts w:ascii="Calibri" w:eastAsia="Calibri" w:hAnsi="Calibri" w:cs="Calibri"/>
                <w:b/>
                <w:bCs/>
                <w:sz w:val="20"/>
                <w:szCs w:val="20"/>
                <w:lang w:val="fr"/>
              </w:rPr>
            </w:pPr>
            <w:r w:rsidRPr="51F4686F">
              <w:rPr>
                <w:rFonts w:ascii="Calibri" w:eastAsia="Calibri" w:hAnsi="Calibri" w:cs="Calibri"/>
                <w:b/>
                <w:bCs/>
                <w:sz w:val="20"/>
                <w:szCs w:val="20"/>
                <w:lang w:val="fr"/>
              </w:rPr>
              <w:t>Budget</w:t>
            </w:r>
          </w:p>
        </w:tc>
        <w:tc>
          <w:tcPr>
            <w:tcW w:w="2877" w:type="dxa"/>
            <w:tcBorders>
              <w:top w:val="single" w:sz="8" w:space="0" w:color="auto"/>
              <w:left w:val="single" w:sz="8" w:space="0" w:color="auto"/>
              <w:bottom w:val="single" w:sz="8" w:space="0" w:color="auto"/>
              <w:right w:val="single" w:sz="8" w:space="0" w:color="auto"/>
            </w:tcBorders>
          </w:tcPr>
          <w:p w14:paraId="7D8B44DB" w14:textId="77777777" w:rsidR="003960D9" w:rsidRDefault="003960D9" w:rsidP="005560EF">
            <w:pPr>
              <w:jc w:val="center"/>
              <w:rPr>
                <w:rFonts w:ascii="Calibri" w:eastAsia="Calibri" w:hAnsi="Calibri" w:cs="Calibri"/>
                <w:sz w:val="20"/>
                <w:szCs w:val="20"/>
              </w:rPr>
            </w:pPr>
            <w:r w:rsidRPr="51F4686F">
              <w:rPr>
                <w:rFonts w:ascii="Calibri" w:eastAsia="Calibri" w:hAnsi="Calibri" w:cs="Calibri"/>
                <w:sz w:val="20"/>
                <w:szCs w:val="20"/>
                <w:lang w:val="fr"/>
              </w:rPr>
              <w:t>Vote dans la première quinzaine du mois de septembre et</w:t>
            </w:r>
            <w:r w:rsidRPr="51F4686F">
              <w:rPr>
                <w:rFonts w:ascii="Calibri" w:eastAsia="Calibri" w:hAnsi="Calibri" w:cs="Calibri"/>
                <w:sz w:val="20"/>
                <w:szCs w:val="20"/>
              </w:rPr>
              <w:t xml:space="preserve"> transmission dans les 15 jours.</w:t>
            </w:r>
          </w:p>
        </w:tc>
        <w:tc>
          <w:tcPr>
            <w:tcW w:w="2877" w:type="dxa"/>
            <w:vMerge w:val="restart"/>
            <w:tcBorders>
              <w:top w:val="single" w:sz="8" w:space="0" w:color="auto"/>
              <w:left w:val="single" w:sz="8" w:space="0" w:color="auto"/>
              <w:bottom w:val="single" w:sz="8" w:space="0" w:color="auto"/>
              <w:right w:val="single" w:sz="8" w:space="0" w:color="auto"/>
            </w:tcBorders>
          </w:tcPr>
          <w:p w14:paraId="62DD8922" w14:textId="77777777" w:rsidR="003960D9" w:rsidRDefault="003960D9" w:rsidP="005560EF">
            <w:pPr>
              <w:rPr>
                <w:rFonts w:ascii="Calibri" w:eastAsia="Calibri" w:hAnsi="Calibri" w:cs="Calibri"/>
                <w:sz w:val="20"/>
                <w:szCs w:val="20"/>
                <w:lang w:val="fr"/>
              </w:rPr>
            </w:pPr>
            <w:r w:rsidRPr="51F4686F">
              <w:rPr>
                <w:rFonts w:ascii="Calibri" w:eastAsia="Calibri" w:hAnsi="Calibri" w:cs="Calibri"/>
                <w:sz w:val="20"/>
                <w:szCs w:val="20"/>
                <w:lang w:val="fr"/>
              </w:rPr>
              <w:t xml:space="preserve"> </w:t>
            </w:r>
          </w:p>
          <w:p w14:paraId="67E2B5B1" w14:textId="77777777" w:rsidR="003960D9" w:rsidRDefault="003960D9" w:rsidP="005560EF">
            <w:pPr>
              <w:rPr>
                <w:rFonts w:ascii="Calibri" w:eastAsia="Calibri" w:hAnsi="Calibri" w:cs="Calibri"/>
                <w:sz w:val="20"/>
                <w:szCs w:val="20"/>
                <w:lang w:val="fr"/>
              </w:rPr>
            </w:pPr>
            <w:r w:rsidRPr="51F4686F">
              <w:rPr>
                <w:rFonts w:ascii="Calibri" w:eastAsia="Calibri" w:hAnsi="Calibri" w:cs="Calibri"/>
                <w:sz w:val="20"/>
                <w:szCs w:val="20"/>
                <w:lang w:val="fr"/>
              </w:rPr>
              <w:t xml:space="preserve"> </w:t>
            </w:r>
          </w:p>
          <w:p w14:paraId="7F61270E" w14:textId="77777777" w:rsidR="003960D9" w:rsidRDefault="003960D9" w:rsidP="005560EF">
            <w:pPr>
              <w:jc w:val="center"/>
              <w:rPr>
                <w:rFonts w:ascii="Calibri" w:eastAsia="Calibri" w:hAnsi="Calibri" w:cs="Calibri"/>
                <w:sz w:val="20"/>
                <w:szCs w:val="20"/>
                <w:lang w:val="fr-FR"/>
              </w:rPr>
            </w:pPr>
            <w:r w:rsidRPr="51F4686F">
              <w:rPr>
                <w:rFonts w:ascii="Calibri" w:eastAsia="Calibri" w:hAnsi="Calibri" w:cs="Calibri"/>
                <w:sz w:val="20"/>
                <w:szCs w:val="20"/>
                <w:lang w:val="fr-FR"/>
              </w:rPr>
              <w:t>Dépôt sur eGuichet à destination de la tutelle avec les pièces justificatives.</w:t>
            </w:r>
          </w:p>
        </w:tc>
      </w:tr>
      <w:tr w:rsidR="003960D9" w14:paraId="23F10925" w14:textId="77777777" w:rsidTr="004D03B8">
        <w:trPr>
          <w:trHeight w:val="300"/>
        </w:trPr>
        <w:tc>
          <w:tcPr>
            <w:tcW w:w="2876" w:type="dxa"/>
            <w:tcBorders>
              <w:top w:val="single" w:sz="8" w:space="0" w:color="auto"/>
              <w:left w:val="single" w:sz="8" w:space="0" w:color="auto"/>
              <w:bottom w:val="single" w:sz="8" w:space="0" w:color="auto"/>
              <w:right w:val="single" w:sz="8" w:space="0" w:color="auto"/>
            </w:tcBorders>
          </w:tcPr>
          <w:p w14:paraId="0425D395" w14:textId="77777777" w:rsidR="003960D9" w:rsidRDefault="003960D9" w:rsidP="005560EF">
            <w:pPr>
              <w:jc w:val="center"/>
              <w:rPr>
                <w:rFonts w:ascii="Calibri" w:eastAsia="Calibri" w:hAnsi="Calibri" w:cs="Calibri"/>
                <w:b/>
                <w:bCs/>
                <w:sz w:val="20"/>
                <w:szCs w:val="20"/>
                <w:lang w:val="fr"/>
              </w:rPr>
            </w:pPr>
            <w:r w:rsidRPr="51F4686F">
              <w:rPr>
                <w:rFonts w:ascii="Calibri" w:eastAsia="Calibri" w:hAnsi="Calibri" w:cs="Calibri"/>
                <w:b/>
                <w:bCs/>
                <w:sz w:val="20"/>
                <w:szCs w:val="20"/>
                <w:lang w:val="fr"/>
              </w:rPr>
              <w:t>Modification budgétaire</w:t>
            </w:r>
          </w:p>
        </w:tc>
        <w:tc>
          <w:tcPr>
            <w:tcW w:w="2877" w:type="dxa"/>
            <w:tcBorders>
              <w:top w:val="single" w:sz="8" w:space="0" w:color="auto"/>
              <w:left w:val="single" w:sz="8" w:space="0" w:color="auto"/>
              <w:bottom w:val="single" w:sz="8" w:space="0" w:color="auto"/>
              <w:right w:val="single" w:sz="8" w:space="0" w:color="auto"/>
            </w:tcBorders>
          </w:tcPr>
          <w:p w14:paraId="3A32A131" w14:textId="77777777" w:rsidR="003960D9" w:rsidRDefault="003960D9" w:rsidP="005560EF">
            <w:pPr>
              <w:rPr>
                <w:rFonts w:ascii="Calibri" w:eastAsia="Calibri" w:hAnsi="Calibri" w:cs="Calibri"/>
                <w:sz w:val="20"/>
                <w:szCs w:val="20"/>
              </w:rPr>
            </w:pPr>
            <w:r w:rsidRPr="51F4686F">
              <w:rPr>
                <w:rFonts w:ascii="Calibri" w:eastAsia="Calibri" w:hAnsi="Calibri" w:cs="Calibri"/>
                <w:sz w:val="20"/>
                <w:szCs w:val="20"/>
              </w:rPr>
              <w:t xml:space="preserve"> </w:t>
            </w:r>
          </w:p>
        </w:tc>
        <w:tc>
          <w:tcPr>
            <w:tcW w:w="2877" w:type="dxa"/>
            <w:vMerge/>
            <w:tcBorders>
              <w:left w:val="single" w:sz="0" w:space="0" w:color="auto"/>
              <w:right w:val="single" w:sz="0" w:space="0" w:color="auto"/>
            </w:tcBorders>
            <w:vAlign w:val="center"/>
          </w:tcPr>
          <w:p w14:paraId="435EB921" w14:textId="77777777" w:rsidR="003960D9" w:rsidRDefault="003960D9" w:rsidP="005560EF"/>
        </w:tc>
      </w:tr>
      <w:tr w:rsidR="003960D9" w14:paraId="33A8A9BC" w14:textId="77777777" w:rsidTr="004D03B8">
        <w:trPr>
          <w:trHeight w:val="300"/>
        </w:trPr>
        <w:tc>
          <w:tcPr>
            <w:tcW w:w="2876" w:type="dxa"/>
            <w:tcBorders>
              <w:top w:val="single" w:sz="8" w:space="0" w:color="auto"/>
              <w:left w:val="single" w:sz="8" w:space="0" w:color="auto"/>
              <w:bottom w:val="single" w:sz="8" w:space="0" w:color="auto"/>
              <w:right w:val="single" w:sz="8" w:space="0" w:color="auto"/>
            </w:tcBorders>
          </w:tcPr>
          <w:p w14:paraId="70F8A854" w14:textId="77777777" w:rsidR="003960D9" w:rsidRDefault="003960D9" w:rsidP="005560EF">
            <w:pPr>
              <w:jc w:val="center"/>
              <w:rPr>
                <w:rFonts w:ascii="Calibri" w:eastAsia="Calibri" w:hAnsi="Calibri" w:cs="Calibri"/>
                <w:b/>
                <w:bCs/>
                <w:sz w:val="20"/>
                <w:szCs w:val="20"/>
                <w:lang w:val="fr"/>
              </w:rPr>
            </w:pPr>
            <w:r w:rsidRPr="51F4686F">
              <w:rPr>
                <w:rFonts w:ascii="Calibri" w:eastAsia="Calibri" w:hAnsi="Calibri" w:cs="Calibri"/>
                <w:b/>
                <w:bCs/>
                <w:sz w:val="20"/>
                <w:szCs w:val="20"/>
                <w:lang w:val="fr"/>
              </w:rPr>
              <w:t>Compte</w:t>
            </w:r>
          </w:p>
        </w:tc>
        <w:tc>
          <w:tcPr>
            <w:tcW w:w="2877" w:type="dxa"/>
            <w:tcBorders>
              <w:top w:val="single" w:sz="8" w:space="0" w:color="auto"/>
              <w:left w:val="single" w:sz="8" w:space="0" w:color="auto"/>
              <w:bottom w:val="single" w:sz="8" w:space="0" w:color="auto"/>
              <w:right w:val="single" w:sz="8" w:space="0" w:color="auto"/>
            </w:tcBorders>
          </w:tcPr>
          <w:p w14:paraId="0E5EA132" w14:textId="77777777" w:rsidR="003960D9" w:rsidRDefault="003960D9" w:rsidP="005560EF">
            <w:pPr>
              <w:jc w:val="center"/>
              <w:rPr>
                <w:rFonts w:ascii="Calibri" w:eastAsia="Calibri" w:hAnsi="Calibri" w:cs="Calibri"/>
                <w:sz w:val="20"/>
                <w:szCs w:val="20"/>
              </w:rPr>
            </w:pPr>
            <w:r w:rsidRPr="51F4686F">
              <w:rPr>
                <w:rFonts w:ascii="Calibri" w:eastAsia="Calibri" w:hAnsi="Calibri" w:cs="Calibri"/>
                <w:sz w:val="20"/>
                <w:szCs w:val="20"/>
                <w:lang w:val="fr"/>
              </w:rPr>
              <w:t>Vote dans la première quinzaine du mois de mars et</w:t>
            </w:r>
            <w:r w:rsidRPr="51F4686F">
              <w:rPr>
                <w:rFonts w:ascii="Calibri" w:eastAsia="Calibri" w:hAnsi="Calibri" w:cs="Calibri"/>
                <w:sz w:val="20"/>
                <w:szCs w:val="20"/>
              </w:rPr>
              <w:t xml:space="preserve"> transmission dans les 15 jours.</w:t>
            </w:r>
          </w:p>
        </w:tc>
        <w:tc>
          <w:tcPr>
            <w:tcW w:w="2877" w:type="dxa"/>
            <w:vMerge/>
            <w:tcBorders>
              <w:top w:val="single" w:sz="0" w:space="0" w:color="auto"/>
              <w:left w:val="single" w:sz="0" w:space="0" w:color="auto"/>
              <w:bottom w:val="single" w:sz="0" w:space="0" w:color="auto"/>
              <w:right w:val="single" w:sz="0" w:space="0" w:color="auto"/>
            </w:tcBorders>
            <w:vAlign w:val="center"/>
          </w:tcPr>
          <w:p w14:paraId="5F5AA63F" w14:textId="77777777" w:rsidR="003960D9" w:rsidRDefault="003960D9" w:rsidP="005560EF"/>
        </w:tc>
      </w:tr>
    </w:tbl>
    <w:p w14:paraId="3B2BAE18" w14:textId="77777777" w:rsidR="003960D9" w:rsidRPr="005C4637" w:rsidRDefault="003960D9" w:rsidP="003960D9">
      <w:pPr>
        <w:spacing w:before="120"/>
      </w:pPr>
    </w:p>
    <w:p w14:paraId="15C2A544" w14:textId="77777777" w:rsidR="003960D9" w:rsidRDefault="003960D9" w:rsidP="003960D9">
      <w:pPr>
        <w:pStyle w:val="Titre3"/>
      </w:pPr>
      <w:bookmarkStart w:id="90" w:name="_Toc225504107"/>
      <w:bookmarkStart w:id="91" w:name="_Toc225772196"/>
      <w:bookmarkStart w:id="92" w:name="_Toc226445251"/>
      <w:bookmarkStart w:id="93" w:name="_Toc233626032"/>
      <w:r>
        <w:t>Quelles sont les obligations en matière de dialogue social et de transmission des documents budgétaires aux organisations syndicales représentatives</w:t>
      </w:r>
      <w:bookmarkEnd w:id="90"/>
      <w:bookmarkEnd w:id="91"/>
      <w:bookmarkEnd w:id="92"/>
      <w:bookmarkEnd w:id="93"/>
    </w:p>
    <w:p w14:paraId="674ACD4F" w14:textId="77777777" w:rsidR="003960D9" w:rsidRDefault="003960D9" w:rsidP="003960D9">
      <w:r>
        <w:t>Cf article L1122-23 du CDLD</w:t>
      </w:r>
    </w:p>
    <w:p w14:paraId="3BB344F6" w14:textId="77777777" w:rsidR="003960D9" w:rsidRPr="005C4637" w:rsidRDefault="003960D9" w:rsidP="003960D9">
      <w:pPr>
        <w:pStyle w:val="Titre3"/>
      </w:pPr>
      <w:bookmarkStart w:id="94" w:name="_Toc225504108"/>
      <w:bookmarkStart w:id="95" w:name="_Toc225772197"/>
      <w:bookmarkStart w:id="96" w:name="_Toc226445252"/>
      <w:bookmarkStart w:id="97" w:name="_Toc233626033"/>
      <w:r>
        <w:t>Quelles sont les règles de publication des budget, modifications budgétaires et comptes ?</w:t>
      </w:r>
      <w:bookmarkEnd w:id="94"/>
      <w:bookmarkEnd w:id="95"/>
      <w:bookmarkEnd w:id="96"/>
      <w:bookmarkEnd w:id="97"/>
    </w:p>
    <w:p w14:paraId="67697578" w14:textId="77777777" w:rsidR="003960D9" w:rsidRPr="005C4637" w:rsidRDefault="003960D9" w:rsidP="003960D9">
      <w:r>
        <w:t xml:space="preserve">Cf. article L1313-1 du CDLD </w:t>
      </w:r>
    </w:p>
    <w:p w14:paraId="53CC7035" w14:textId="77777777" w:rsidR="003960D9" w:rsidRDefault="003960D9" w:rsidP="003960D9">
      <w:pPr>
        <w:pStyle w:val="Titre3"/>
      </w:pPr>
      <w:bookmarkStart w:id="98" w:name="_Toc225504109"/>
      <w:bookmarkStart w:id="99" w:name="_Toc225772198"/>
      <w:bookmarkStart w:id="100" w:name="_Toc226445253"/>
      <w:bookmarkStart w:id="101" w:name="_Toc233626034"/>
      <w:r>
        <w:t>Quelles sont les limites du vote séparé d’articles budgétaires ?</w:t>
      </w:r>
      <w:bookmarkEnd w:id="98"/>
      <w:bookmarkEnd w:id="99"/>
      <w:bookmarkEnd w:id="100"/>
      <w:bookmarkEnd w:id="101"/>
    </w:p>
    <w:p w14:paraId="64F98582" w14:textId="77777777" w:rsidR="003960D9" w:rsidRPr="005C4637" w:rsidRDefault="003960D9" w:rsidP="003960D9">
      <w:pPr>
        <w:spacing w:before="120"/>
      </w:pPr>
      <w:r>
        <w:t xml:space="preserve"> La</w:t>
      </w:r>
      <w:r w:rsidRPr="005C4637">
        <w:t xml:space="preserve"> possibilité visant le vote séparé d'un article, groupe d'articles ou postes spécifiques (article L1122-26 du CDLD), ne peut en aucun cas aboutir à une demande de vote séparé sur tous les articles du budget ou du compte, ce qui dénaturerait la faculté offerte par cet article.</w:t>
      </w:r>
    </w:p>
    <w:p w14:paraId="5383A76A" w14:textId="77777777" w:rsidR="003960D9" w:rsidRPr="005C4637" w:rsidRDefault="003960D9" w:rsidP="003960D9">
      <w:pPr>
        <w:pStyle w:val="Titre2"/>
      </w:pPr>
      <w:bookmarkStart w:id="102" w:name="_Toc225504110"/>
      <w:bookmarkStart w:id="103" w:name="_Toc225772199"/>
      <w:bookmarkStart w:id="104" w:name="_Toc226445254"/>
      <w:bookmarkStart w:id="105" w:name="_Toc233626035"/>
      <w:r w:rsidRPr="005C4637">
        <w:t>Règles de fond et de forme</w:t>
      </w:r>
      <w:bookmarkEnd w:id="102"/>
      <w:bookmarkEnd w:id="103"/>
      <w:bookmarkEnd w:id="104"/>
      <w:bookmarkEnd w:id="105"/>
      <w:r w:rsidRPr="005C4637">
        <w:t xml:space="preserve"> </w:t>
      </w:r>
    </w:p>
    <w:p w14:paraId="7CBA6984" w14:textId="77777777" w:rsidR="003960D9" w:rsidRPr="005C4637" w:rsidRDefault="003960D9">
      <w:pPr>
        <w:pStyle w:val="Titre3"/>
        <w:numPr>
          <w:ilvl w:val="0"/>
          <w:numId w:val="177"/>
        </w:numPr>
      </w:pPr>
      <w:bookmarkStart w:id="106" w:name="_Toc225504111"/>
      <w:bookmarkStart w:id="107" w:name="_Toc225772200"/>
      <w:bookmarkStart w:id="108" w:name="_Toc226445255"/>
      <w:bookmarkStart w:id="109" w:name="_Toc233626036"/>
      <w:r w:rsidRPr="005C4637">
        <w:t>Qu’entend-on par «</w:t>
      </w:r>
      <w:r>
        <w:t> équilibre</w:t>
      </w:r>
      <w:r w:rsidRPr="005C4637">
        <w:t xml:space="preserve"> </w:t>
      </w:r>
      <w:r>
        <w:t>budgétaire </w:t>
      </w:r>
      <w:r w:rsidRPr="005C4637">
        <w:t xml:space="preserve">» au niveau </w:t>
      </w:r>
      <w:r>
        <w:t>communal </w:t>
      </w:r>
      <w:r w:rsidRPr="005C4637">
        <w:t>?</w:t>
      </w:r>
      <w:bookmarkEnd w:id="106"/>
      <w:bookmarkEnd w:id="107"/>
      <w:bookmarkEnd w:id="108"/>
      <w:bookmarkEnd w:id="109"/>
    </w:p>
    <w:p w14:paraId="5D9C8F92" w14:textId="77777777" w:rsidR="004A7B35" w:rsidRDefault="003960D9" w:rsidP="004D03B8">
      <w:pPr>
        <w:spacing w:before="120"/>
      </w:pPr>
      <w:r w:rsidRPr="005C4637">
        <w:t>L’équilibre budgétaire correspond à l’équilibre global au service ordinaire et au service extraordinaire. En outre, les communes doivent atteindre l’équilibre à l’exercice propre du service ordinaire.</w:t>
      </w:r>
      <w:bookmarkStart w:id="110" w:name="_Toc225504112"/>
      <w:bookmarkStart w:id="111" w:name="_Toc225772201"/>
      <w:bookmarkStart w:id="112" w:name="_Toc226445256"/>
      <w:r w:rsidR="004D03B8">
        <w:t xml:space="preserve"> </w:t>
      </w:r>
    </w:p>
    <w:p w14:paraId="166EEF42" w14:textId="001FC386" w:rsidR="003960D9" w:rsidRPr="005C4637" w:rsidRDefault="003960D9">
      <w:pPr>
        <w:pStyle w:val="Titre3"/>
        <w:numPr>
          <w:ilvl w:val="0"/>
          <w:numId w:val="177"/>
        </w:numPr>
      </w:pPr>
      <w:bookmarkStart w:id="113" w:name="_Toc233626037"/>
      <w:r w:rsidRPr="005C4637">
        <w:lastRenderedPageBreak/>
        <w:t xml:space="preserve">Qui doit présenter un Plan de convergence et dans quel </w:t>
      </w:r>
      <w:r>
        <w:t>délai </w:t>
      </w:r>
      <w:r w:rsidRPr="005C4637">
        <w:t>?</w:t>
      </w:r>
      <w:bookmarkEnd w:id="110"/>
      <w:bookmarkEnd w:id="111"/>
      <w:bookmarkEnd w:id="112"/>
      <w:bookmarkEnd w:id="113"/>
    </w:p>
    <w:p w14:paraId="5E893A55" w14:textId="77777777" w:rsidR="00A2760F" w:rsidRDefault="003960D9" w:rsidP="004D03B8">
      <w:pPr>
        <w:spacing w:before="120"/>
      </w:pPr>
      <w:r w:rsidRPr="005C4637">
        <w:t xml:space="preserve">Toute commune qui n’atteint pas l’équilibre à l’exercice propre du service ordinaire au budget initial </w:t>
      </w:r>
      <w:r>
        <w:t>2027</w:t>
      </w:r>
      <w:r w:rsidRPr="005C4637">
        <w:t xml:space="preserve"> doit transmettre à l’autorité de tutelle, dans les trois mois suivant l’arrêté qui la soumet au plan, un Plan de convergence. Ce plan, élaboré en pleine autonomie, précise les mesures de gestion, la date de retour à l’équilibre au plus tard pour le budget initial N+3 et s’inscrit dans une trajectoire quinquennale. La circulaire dédiée au Plan de convergence fixe les modalités pratiques.</w:t>
      </w:r>
      <w:bookmarkStart w:id="114" w:name="_Toc225504113"/>
      <w:bookmarkStart w:id="115" w:name="_Toc225772202"/>
      <w:bookmarkStart w:id="116" w:name="_Toc226445257"/>
      <w:r w:rsidR="00A2760F">
        <w:t xml:space="preserve"> </w:t>
      </w:r>
    </w:p>
    <w:p w14:paraId="38DD65A8" w14:textId="4DCD7834" w:rsidR="003960D9" w:rsidRPr="005C4637" w:rsidRDefault="003960D9">
      <w:pPr>
        <w:pStyle w:val="Titre3"/>
        <w:numPr>
          <w:ilvl w:val="0"/>
          <w:numId w:val="177"/>
        </w:numPr>
      </w:pPr>
      <w:bookmarkStart w:id="117" w:name="_Toc233626038"/>
      <w:r w:rsidRPr="005C4637">
        <w:t xml:space="preserve">L’approbation d’un crédit budgétaire suffit-elle pour réaliser une </w:t>
      </w:r>
      <w:r>
        <w:t>opération </w:t>
      </w:r>
      <w:r w:rsidRPr="005C4637">
        <w:t>?</w:t>
      </w:r>
      <w:bookmarkEnd w:id="114"/>
      <w:bookmarkEnd w:id="115"/>
      <w:bookmarkEnd w:id="116"/>
      <w:bookmarkEnd w:id="117"/>
    </w:p>
    <w:p w14:paraId="2091BE17" w14:textId="77777777" w:rsidR="003960D9" w:rsidRPr="005C4637" w:rsidRDefault="003960D9" w:rsidP="003960D9">
      <w:r w:rsidRPr="005C4637">
        <w:t>Non. L’approbation d’un crédit budgétaire n’exonère pas l’autorité communale du respect des législations et réglementations applicables à l’opération, notamment la réglementation des marchés publics. Par ailleurs, aucun crédit budgétaire ne peut être présenté en négatif. La diminution d’un crédit reporté de dépenses ne peut se faire qu’en compte.</w:t>
      </w:r>
    </w:p>
    <w:p w14:paraId="12364CF4" w14:textId="77777777" w:rsidR="003960D9" w:rsidRPr="005C4637" w:rsidRDefault="003960D9" w:rsidP="003960D9">
      <w:pPr>
        <w:pStyle w:val="Titre3"/>
      </w:pPr>
      <w:bookmarkStart w:id="118" w:name="_Toc225504114"/>
      <w:bookmarkStart w:id="119" w:name="_Toc225772203"/>
      <w:bookmarkStart w:id="120" w:name="_Toc226445258"/>
      <w:bookmarkStart w:id="121" w:name="_Toc233626039"/>
      <w:r w:rsidRPr="005C4637">
        <w:t xml:space="preserve">Qu’exige la classification fonctionnelle et </w:t>
      </w:r>
      <w:r>
        <w:t>économique </w:t>
      </w:r>
      <w:r w:rsidRPr="005C4637">
        <w:t>?</w:t>
      </w:r>
      <w:bookmarkEnd w:id="118"/>
      <w:bookmarkEnd w:id="119"/>
      <w:bookmarkEnd w:id="120"/>
      <w:bookmarkEnd w:id="121"/>
    </w:p>
    <w:p w14:paraId="4832E2E3" w14:textId="77777777" w:rsidR="003960D9" w:rsidRPr="005C4637" w:rsidRDefault="003960D9" w:rsidP="003960D9">
      <w:r w:rsidRPr="005C4637">
        <w:t>La rigueur formelle impose la stricte conformité aux classifications fonctionnelle et économique normalisées, ainsi qu’aux classifications normalisées des comptes généraux et particuliers. Les modèles de documents comptables définis par l’arrêté ministériel du 23 septembre 1991 sont de stricte application. La règle de forme devient ici aussi une règle de fond.</w:t>
      </w:r>
    </w:p>
    <w:p w14:paraId="63370BC9" w14:textId="77777777" w:rsidR="003960D9" w:rsidRPr="005C4637" w:rsidRDefault="003960D9" w:rsidP="003960D9">
      <w:pPr>
        <w:pStyle w:val="Titre3"/>
      </w:pPr>
      <w:bookmarkStart w:id="122" w:name="_Toc225504115"/>
      <w:bookmarkStart w:id="123" w:name="_Toc225772204"/>
      <w:bookmarkStart w:id="124" w:name="_Toc226445259"/>
      <w:bookmarkStart w:id="125" w:name="_Toc233626040"/>
      <w:r w:rsidRPr="005C4637">
        <w:t xml:space="preserve">Qu’est-ce que le rapport de synergie commune–CPAS et est-il toujours </w:t>
      </w:r>
      <w:r>
        <w:t>obligatoire </w:t>
      </w:r>
      <w:r w:rsidRPr="005C4637">
        <w:t>?</w:t>
      </w:r>
      <w:bookmarkEnd w:id="122"/>
      <w:bookmarkEnd w:id="123"/>
      <w:bookmarkEnd w:id="124"/>
      <w:bookmarkEnd w:id="125"/>
    </w:p>
    <w:p w14:paraId="51CBF862" w14:textId="0E577234" w:rsidR="003960D9" w:rsidRPr="005C4637" w:rsidRDefault="003960D9" w:rsidP="003960D9">
      <w:r w:rsidRPr="0059384D">
        <w:t>Le rapport visé à l’article L1122 11 du CDLD, dont le projet était établi conjointement par le directeur général communal et le directeur général du CPAS, est devenu facultatif dans une optique de simplification administrative suite à la publication du décret programme du 2</w:t>
      </w:r>
      <w:r>
        <w:t>6</w:t>
      </w:r>
      <w:r w:rsidRPr="0059384D">
        <w:t xml:space="preserve"> </w:t>
      </w:r>
      <w:r>
        <w:t>mars</w:t>
      </w:r>
      <w:r w:rsidRPr="0059384D">
        <w:t xml:space="preserve"> 2026</w:t>
      </w:r>
      <w:r>
        <w:rPr>
          <w:rStyle w:val="Appelnotedebasdep"/>
        </w:rPr>
        <w:footnoteReference w:id="1"/>
      </w:r>
      <w:r w:rsidRPr="0059384D">
        <w:t>.</w:t>
      </w:r>
    </w:p>
    <w:p w14:paraId="1904A3B1" w14:textId="77777777" w:rsidR="003960D9" w:rsidRPr="005C4637" w:rsidRDefault="003960D9" w:rsidP="003960D9">
      <w:pPr>
        <w:pStyle w:val="Titre3"/>
      </w:pPr>
      <w:bookmarkStart w:id="126" w:name="_Toc225504116"/>
      <w:bookmarkStart w:id="127" w:name="_Toc225772205"/>
      <w:bookmarkStart w:id="128" w:name="_Toc226445260"/>
      <w:bookmarkStart w:id="129" w:name="_Toc233626041"/>
      <w:r w:rsidRPr="005C4637">
        <w:t>À quoi sert la commission</w:t>
      </w:r>
      <w:r>
        <w:t xml:space="preserve"> </w:t>
      </w:r>
      <w:r w:rsidRPr="005C4637">
        <w:t xml:space="preserve">article 12 (RGCC) et qui la </w:t>
      </w:r>
      <w:r>
        <w:t>compose </w:t>
      </w:r>
      <w:r w:rsidRPr="005C4637">
        <w:t>?</w:t>
      </w:r>
      <w:bookmarkEnd w:id="126"/>
      <w:bookmarkEnd w:id="127"/>
      <w:bookmarkEnd w:id="128"/>
      <w:bookmarkEnd w:id="129"/>
    </w:p>
    <w:p w14:paraId="620879D7" w14:textId="77777777" w:rsidR="003960D9" w:rsidRPr="005C4637" w:rsidRDefault="003960D9" w:rsidP="003960D9">
      <w:r>
        <w:t xml:space="preserve">L’avis de la commission (distinct du rapport synthétisant le budget et du rapport du comité de direction) porte sur la légalité et les implications financières prévisibles du projet de budget en ce compris la projection pluriannuelle de l’impact au service ordinaire des investissements significatifs, conformément à l’article 12 du RGCC. </w:t>
      </w:r>
      <w:r w:rsidRPr="0426393E">
        <w:rPr>
          <w:rFonts w:ascii="Poppins" w:eastAsia="Poppins" w:hAnsi="Poppins" w:cs="Poppins"/>
          <w:color w:val="333333"/>
          <w:sz w:val="21"/>
          <w:szCs w:val="21"/>
        </w:rPr>
        <w:t>L</w:t>
      </w:r>
      <w:r w:rsidRPr="005560EF">
        <w:t xml:space="preserve">’avis de la commission joint au projet de budget comporte la liste des investissements prévus par la commune. Pour chaque projet d’investissement, la liste mentionne le descriptif de chaque projet et le montant total envisagé. </w:t>
      </w:r>
      <w:r>
        <w:t xml:space="preserve">La commission réunit au minimum un membre du collège, le directeur financier et le directeur général. L’avis doit être suffisamment étayé, signé par chaque membre (manuscrit ou électronique) et peut inclure les remarques individuelles. L’absence de cet avis empêche le délai de tutelle de débuter et conduit à la non-approbation du budget (ou de la modification budgétaire). </w:t>
      </w:r>
    </w:p>
    <w:p w14:paraId="7A372450" w14:textId="77777777" w:rsidR="003960D9" w:rsidRPr="005C4637" w:rsidRDefault="003960D9" w:rsidP="003960D9">
      <w:pPr>
        <w:pStyle w:val="Titre3"/>
      </w:pPr>
      <w:bookmarkStart w:id="130" w:name="_Toc225504117"/>
      <w:bookmarkStart w:id="131" w:name="_Toc225772206"/>
      <w:bookmarkStart w:id="132" w:name="_Toc226445261"/>
      <w:bookmarkStart w:id="133" w:name="_Toc233626042"/>
      <w:r w:rsidRPr="005C4637">
        <w:lastRenderedPageBreak/>
        <w:t>Quel est le contenu du rapport synthétisant le projet de budget (art. L1122-23 CDLD)</w:t>
      </w:r>
      <w:r>
        <w:t> </w:t>
      </w:r>
      <w:r w:rsidRPr="005C4637">
        <w:t>?</w:t>
      </w:r>
      <w:bookmarkEnd w:id="130"/>
      <w:bookmarkEnd w:id="131"/>
      <w:bookmarkEnd w:id="132"/>
      <w:bookmarkEnd w:id="133"/>
    </w:p>
    <w:p w14:paraId="307910E4" w14:textId="77777777" w:rsidR="003960D9" w:rsidRPr="005C4637" w:rsidRDefault="003960D9" w:rsidP="003960D9">
      <w:r w:rsidRPr="005C4637">
        <w:t xml:space="preserve">Après l’avis de la commission, le Collège établit le projet de budget accompagné d’un rapport portant sur le même exercice (et non l’année précédente) et signé par son </w:t>
      </w:r>
      <w:r>
        <w:t>auteur.</w:t>
      </w:r>
      <w:r w:rsidRPr="005C4637">
        <w:t xml:space="preserve"> Le budget comprend obligatoirement l’ensemble des prévisions de recettes et de dépenses, les annexes et le rapport définissant la politique générale et financière de la commune. Le rapport doit être circonstancié pour offrir une vision claire et transparente.</w:t>
      </w:r>
    </w:p>
    <w:p w14:paraId="2F89D02C" w14:textId="77777777" w:rsidR="003960D9" w:rsidRPr="005C4637" w:rsidRDefault="003960D9" w:rsidP="003960D9">
      <w:r>
        <w:t>Le rapport comprend : (1) un tableau exposant la situation nette de chaque fonction budgétaire ; (2) un tableau de ventilation des recettes et dépenses par groupe économique. Un document de base issu d’eComptes fournit des tableaux et données chiffrées ; il convient de le compléter par la politique générale et financière, la synthèse de la situation de l’administration et des affaires de la commune, ainsi que les changements et décisions majeurs utiles à la lecture du budget. Il s’agit du rapport relatif à l’exercice présenté et non d’un rapport d’activités de l’exercice passé.</w:t>
      </w:r>
    </w:p>
    <w:p w14:paraId="5503FD8D" w14:textId="77777777" w:rsidR="003960D9" w:rsidRPr="005C4637" w:rsidRDefault="003960D9" w:rsidP="003960D9">
      <w:pPr>
        <w:pStyle w:val="Titre3"/>
      </w:pPr>
      <w:bookmarkStart w:id="134" w:name="_Toc225504118"/>
      <w:bookmarkStart w:id="135" w:name="_Toc225772207"/>
      <w:bookmarkStart w:id="136" w:name="_Toc226445262"/>
      <w:bookmarkStart w:id="137" w:name="_Toc233626043"/>
      <w:r w:rsidRPr="005C4637">
        <w:t xml:space="preserve">Comment fonctionne le numéro de projet extraordinaire et que prévoir en cas </w:t>
      </w:r>
      <w:r>
        <w:t>d’ajustements </w:t>
      </w:r>
      <w:r w:rsidRPr="005C4637">
        <w:t>?</w:t>
      </w:r>
      <w:bookmarkEnd w:id="134"/>
      <w:bookmarkEnd w:id="135"/>
      <w:bookmarkEnd w:id="136"/>
      <w:bookmarkEnd w:id="137"/>
    </w:p>
    <w:p w14:paraId="1522F4B3" w14:textId="77777777" w:rsidR="003960D9" w:rsidRPr="005C4637" w:rsidRDefault="003960D9" w:rsidP="003960D9">
      <w:r w:rsidRPr="005C4637">
        <w:t>Chaque projet extraordinaire d’investissements est référencé par une codification à 8 chiffres : 4 pour l’exercice d’origine et 4 pour le numéro d’ordre. Exemples : si un projet est engagé en 202</w:t>
      </w:r>
      <w:r>
        <w:t>7</w:t>
      </w:r>
      <w:r w:rsidRPr="005C4637">
        <w:t>, il porte un numéro 202</w:t>
      </w:r>
      <w:r>
        <w:t>7</w:t>
      </w:r>
      <w:r w:rsidRPr="005C4637">
        <w:t>xxxx et tout ce qui s’y rattache conserve ce numéro. Si un projet a été prévu en 202</w:t>
      </w:r>
      <w:r>
        <w:t>6</w:t>
      </w:r>
      <w:r w:rsidRPr="005C4637">
        <w:t xml:space="preserve"> (202</w:t>
      </w:r>
      <w:r>
        <w:t>6</w:t>
      </w:r>
      <w:r w:rsidRPr="005C4637">
        <w:t>xxxx) mais attribué en 202</w:t>
      </w:r>
      <w:r>
        <w:t>7</w:t>
      </w:r>
      <w:r w:rsidRPr="005C4637">
        <w:t xml:space="preserve"> : sans engagement, il tombe en </w:t>
      </w:r>
      <w:r>
        <w:t>2026</w:t>
      </w:r>
      <w:r w:rsidRPr="005C4637">
        <w:t xml:space="preserve"> et doit être réinscrit à l’exercice propre 202</w:t>
      </w:r>
      <w:r>
        <w:t>7</w:t>
      </w:r>
      <w:r w:rsidRPr="005C4637">
        <w:t xml:space="preserve"> avec un numéro 202</w:t>
      </w:r>
      <w:r>
        <w:t>7</w:t>
      </w:r>
      <w:r w:rsidRPr="005C4637">
        <w:t>xxxx ; avec engagement ou droits constatés (p. ex. honoraires d’architecte), on conserve 202</w:t>
      </w:r>
      <w:r>
        <w:t>6</w:t>
      </w:r>
      <w:r w:rsidRPr="005C4637">
        <w:t>xxxx pour garder la vue d’ensemble des dépenses.</w:t>
      </w:r>
    </w:p>
    <w:p w14:paraId="79122EC5" w14:textId="77777777" w:rsidR="003960D9" w:rsidRPr="005C4637" w:rsidRDefault="003960D9" w:rsidP="003960D9">
      <w:r w:rsidRPr="005C4637">
        <w:t>Un article peut être ventilé en plusieurs numéros de projet : ne pas inscrire deux fois les montants (ni sous le code global, ni sous les codes individualisés) et prévoir une décision du conseil communal pour transférer les crédits sur le projet ad hoc ; idem pour la réaffectation du financement.</w:t>
      </w:r>
    </w:p>
    <w:p w14:paraId="4999412A" w14:textId="77777777" w:rsidR="003960D9" w:rsidRPr="005C4637" w:rsidRDefault="003960D9" w:rsidP="003960D9">
      <w:r w:rsidRPr="005C4637">
        <w:t xml:space="preserve">Le projet extraordinaire doit rester en équilibre budgétaire ; des rééquilibrages s’imposent tout au long de sa vie (notamment lors de l’introduction du résultat du compte et au terme du projet) via modification budgétaire. Aucun ajustement interne entre projets d’un même article n’est autorisé sans modification budgétaire, conformément au RGCC (art. 1, 3°, 7 et 15) et au CDLD (art. L1314-1). Les ajustements internes ne sont admis qu’aux comptes, avec délibération spécifique du conseil </w:t>
      </w:r>
      <w:r>
        <w:t xml:space="preserve">sur ces ajustements </w:t>
      </w:r>
      <w:r w:rsidRPr="005C4637">
        <w:t xml:space="preserve">et </w:t>
      </w:r>
      <w:r>
        <w:t>leur</w:t>
      </w:r>
      <w:r w:rsidRPr="005C4637">
        <w:t xml:space="preserve"> financement.</w:t>
      </w:r>
    </w:p>
    <w:p w14:paraId="1765BD01" w14:textId="77777777" w:rsidR="003960D9" w:rsidRPr="005C4637" w:rsidRDefault="003960D9" w:rsidP="003960D9"/>
    <w:p w14:paraId="3510938D" w14:textId="77777777" w:rsidR="003960D9" w:rsidRPr="005C4637" w:rsidRDefault="003960D9" w:rsidP="003960D9">
      <w:pPr>
        <w:pStyle w:val="Titre2"/>
      </w:pPr>
      <w:bookmarkStart w:id="138" w:name="_Toc225504119"/>
      <w:bookmarkStart w:id="139" w:name="_Toc225772208"/>
      <w:bookmarkStart w:id="140" w:name="_Toc226445263"/>
      <w:bookmarkStart w:id="141" w:name="_Toc233626044"/>
      <w:r w:rsidRPr="005C4637">
        <w:t>Présentation budgétaire</w:t>
      </w:r>
      <w:bookmarkEnd w:id="138"/>
      <w:bookmarkEnd w:id="139"/>
      <w:bookmarkEnd w:id="140"/>
      <w:bookmarkEnd w:id="141"/>
    </w:p>
    <w:p w14:paraId="57F946F0" w14:textId="77777777" w:rsidR="003960D9" w:rsidRPr="005C4637" w:rsidRDefault="003960D9">
      <w:pPr>
        <w:pStyle w:val="Titre3"/>
        <w:numPr>
          <w:ilvl w:val="0"/>
          <w:numId w:val="178"/>
        </w:numPr>
      </w:pPr>
      <w:bookmarkStart w:id="142" w:name="_Toc225504120"/>
      <w:bookmarkStart w:id="143" w:name="_Toc225772209"/>
      <w:bookmarkStart w:id="144" w:name="_Toc226445264"/>
      <w:bookmarkStart w:id="145" w:name="_Toc233626045"/>
      <w:r w:rsidRPr="005C4637">
        <w:t>Forme</w:t>
      </w:r>
      <w:bookmarkEnd w:id="142"/>
      <w:bookmarkEnd w:id="143"/>
      <w:bookmarkEnd w:id="144"/>
      <w:bookmarkEnd w:id="145"/>
    </w:p>
    <w:p w14:paraId="1123404E" w14:textId="77777777" w:rsidR="003960D9" w:rsidRPr="005C4637" w:rsidRDefault="003960D9">
      <w:pPr>
        <w:pStyle w:val="Titre4"/>
        <w:numPr>
          <w:ilvl w:val="0"/>
          <w:numId w:val="159"/>
        </w:numPr>
        <w:tabs>
          <w:tab w:val="num" w:pos="360"/>
        </w:tabs>
        <w:ind w:left="0" w:firstLine="0"/>
      </w:pPr>
      <w:r w:rsidRPr="005C4637">
        <w:t>Comment présenter les budgets ordinaire et extraordinaire ?</w:t>
      </w:r>
    </w:p>
    <w:p w14:paraId="10669F05" w14:textId="77777777" w:rsidR="003960D9" w:rsidRPr="005C4637" w:rsidRDefault="003960D9" w:rsidP="003960D9">
      <w:r w:rsidRPr="005C4637">
        <w:t>Ils doivent être présentés en deux livrets distincts pour assurer une bonne lisibilité.</w:t>
      </w:r>
    </w:p>
    <w:p w14:paraId="4BEF3C83" w14:textId="77777777" w:rsidR="003960D9" w:rsidRPr="005C4637" w:rsidRDefault="003960D9">
      <w:pPr>
        <w:pStyle w:val="Titre4"/>
        <w:numPr>
          <w:ilvl w:val="0"/>
          <w:numId w:val="159"/>
        </w:numPr>
        <w:tabs>
          <w:tab w:val="num" w:pos="360"/>
        </w:tabs>
        <w:ind w:left="0" w:firstLine="0"/>
      </w:pPr>
      <w:r w:rsidRPr="005C4637">
        <w:lastRenderedPageBreak/>
        <w:t>Comment structurer les dépenses et les recettes ?</w:t>
      </w:r>
    </w:p>
    <w:p w14:paraId="33F1422F"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Deux options : soit sous la forme d’une liste continue (les dépenses précédant les recettes), soit en regard les unes des autres. Dans ce second cas, les dépenses figurent à gauche et les recettes à droite.</w:t>
      </w:r>
    </w:p>
    <w:p w14:paraId="4984E1AF" w14:textId="77777777" w:rsidR="003960D9" w:rsidRPr="005C4637" w:rsidRDefault="003960D9">
      <w:pPr>
        <w:pStyle w:val="Titre4"/>
        <w:numPr>
          <w:ilvl w:val="0"/>
          <w:numId w:val="159"/>
        </w:numPr>
        <w:tabs>
          <w:tab w:val="num" w:pos="360"/>
        </w:tabs>
        <w:ind w:left="0" w:firstLine="0"/>
      </w:pPr>
      <w:r w:rsidRPr="005C4637">
        <w:t>Que faire en cas de modification de classification ?</w:t>
      </w:r>
    </w:p>
    <w:p w14:paraId="09D2E3E6"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Toute modification dans la classification des recettes ou des dépenses qui rend la comparaison avec les exercices antérieurs inopérante doit être explicitement mentionnée dans une annexe aux documents budgétaires.</w:t>
      </w:r>
    </w:p>
    <w:p w14:paraId="7A7DA28D" w14:textId="77777777" w:rsidR="003960D9" w:rsidRPr="005C4637" w:rsidRDefault="003960D9">
      <w:pPr>
        <w:pStyle w:val="Titre4"/>
        <w:numPr>
          <w:ilvl w:val="0"/>
          <w:numId w:val="159"/>
        </w:numPr>
        <w:tabs>
          <w:tab w:val="num" w:pos="360"/>
        </w:tabs>
        <w:ind w:left="0" w:firstLine="0"/>
      </w:pPr>
      <w:r w:rsidRPr="005C4637">
        <w:t>Quelles règles respecter pour la transmission électronique et le plan comptable ?</w:t>
      </w:r>
    </w:p>
    <w:p w14:paraId="40D1FDAC"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Afin de permettre la lecture de tous les documents, il convient de respecter strictement le plan comptable et d’éviter de créer de nouveaux numéros d’article ou d’y ajouter des lettres ou des caractères spéciaux. Cette exigence vaut particulièrement pour les transmissions électroniques des budgets et des modifications budgétaires.</w:t>
      </w:r>
    </w:p>
    <w:p w14:paraId="52FD9277" w14:textId="77777777" w:rsidR="003960D9" w:rsidRPr="005C4637" w:rsidRDefault="003960D9" w:rsidP="003960D9">
      <w:pPr>
        <w:pStyle w:val="Titre3"/>
      </w:pPr>
      <w:bookmarkStart w:id="146" w:name="_Toc225504121"/>
      <w:bookmarkStart w:id="147" w:name="_Toc225772210"/>
      <w:bookmarkStart w:id="148" w:name="_Toc226445265"/>
      <w:bookmarkStart w:id="149" w:name="_Toc233626046"/>
      <w:r w:rsidRPr="005C4637">
        <w:t>Tableau de synthèse</w:t>
      </w:r>
      <w:bookmarkEnd w:id="146"/>
      <w:bookmarkEnd w:id="147"/>
      <w:bookmarkEnd w:id="148"/>
      <w:bookmarkEnd w:id="149"/>
    </w:p>
    <w:p w14:paraId="64E8B70B" w14:textId="77777777" w:rsidR="003960D9" w:rsidRPr="005C4637" w:rsidRDefault="003960D9" w:rsidP="003960D9">
      <w:pPr>
        <w:pStyle w:val="Titre4"/>
        <w:numPr>
          <w:ilvl w:val="0"/>
          <w:numId w:val="13"/>
        </w:numPr>
        <w:ind w:left="567" w:hanging="567"/>
      </w:pPr>
      <w:r w:rsidRPr="005C4637">
        <w:t>Pourquoi le tableau de synthèse est-il fondamental ?</w:t>
      </w:r>
    </w:p>
    <w:p w14:paraId="4EC31CB4"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Il permet d’inscrire aux exercices antérieurs du budget le résultat escompté de l’exercice précédent. Les données doivent être dûment justifiées et représenter une estimation suffisamment précise. Il ne s’agit pas d’une simple annexe, mais d’un élément indissociable du budget.</w:t>
      </w:r>
    </w:p>
    <w:p w14:paraId="2E30FAF6"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Les articles relatifs à la reprise des résultats présumés (000/951-01, 000/952-51, 000/991-01, 000/992-51) doivent figurer distinctement au corps du budget, aux exercices antérieurs.</w:t>
      </w:r>
    </w:p>
    <w:p w14:paraId="2818737B" w14:textId="77777777" w:rsidR="003960D9" w:rsidRPr="005C4637" w:rsidRDefault="003960D9" w:rsidP="003960D9">
      <w:pPr>
        <w:pStyle w:val="Titre4"/>
        <w:numPr>
          <w:ilvl w:val="0"/>
          <w:numId w:val="13"/>
        </w:numPr>
        <w:ind w:left="567" w:hanging="567"/>
      </w:pPr>
      <w:r w:rsidRPr="005C4637">
        <w:t>Quelle vue des résultats le tableau présente-t-il ?</w:t>
      </w:r>
    </w:p>
    <w:p w14:paraId="1E986483" w14:textId="77777777" w:rsidR="00D30D8C" w:rsidRDefault="003960D9">
      <w:pPr>
        <w:pStyle w:val="Paragraphedeliste"/>
        <w:numPr>
          <w:ilvl w:val="0"/>
          <w:numId w:val="179"/>
        </w:numPr>
        <w:rPr>
          <w:rFonts w:ascii="Cambria" w:eastAsia="MS Mincho" w:hAnsi="Cambria" w:cs="Times New Roman"/>
        </w:rPr>
      </w:pPr>
      <w:r w:rsidRPr="00D30D8C">
        <w:rPr>
          <w:rFonts w:ascii="Cambria" w:eastAsia="MS Mincho" w:hAnsi="Cambria" w:cs="Times New Roman"/>
        </w:rPr>
        <w:t>Réels pour l’année pénultième (résultat budgétaire du compte) ;</w:t>
      </w:r>
    </w:p>
    <w:p w14:paraId="4CB3F89E" w14:textId="77777777" w:rsidR="00D30D8C" w:rsidRDefault="003960D9">
      <w:pPr>
        <w:pStyle w:val="Paragraphedeliste"/>
        <w:numPr>
          <w:ilvl w:val="0"/>
          <w:numId w:val="179"/>
        </w:numPr>
        <w:rPr>
          <w:rFonts w:ascii="Cambria" w:eastAsia="MS Mincho" w:hAnsi="Cambria" w:cs="Times New Roman"/>
        </w:rPr>
      </w:pPr>
      <w:r w:rsidRPr="00D30D8C">
        <w:rPr>
          <w:rFonts w:ascii="Cambria" w:eastAsia="MS Mincho" w:hAnsi="Cambria" w:cs="Times New Roman"/>
        </w:rPr>
        <w:t>Présumés pour l’année précédente (budget avec les dernières modifications budgétaires et adaptations) ;</w:t>
      </w:r>
    </w:p>
    <w:p w14:paraId="4D12ED6E" w14:textId="2F55AE73" w:rsidR="003960D9" w:rsidRPr="00D30D8C" w:rsidRDefault="003960D9">
      <w:pPr>
        <w:pStyle w:val="Paragraphedeliste"/>
        <w:numPr>
          <w:ilvl w:val="0"/>
          <w:numId w:val="179"/>
        </w:numPr>
        <w:rPr>
          <w:rFonts w:ascii="Cambria" w:eastAsia="MS Mincho" w:hAnsi="Cambria" w:cs="Times New Roman"/>
        </w:rPr>
      </w:pPr>
      <w:r w:rsidRPr="00D30D8C">
        <w:rPr>
          <w:rFonts w:ascii="Cambria" w:eastAsia="MS Mincho" w:hAnsi="Cambria" w:cs="Times New Roman"/>
        </w:rPr>
        <w:t>Budgétisés pour l’année en cours.</w:t>
      </w:r>
    </w:p>
    <w:p w14:paraId="6A2B7431"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Ces trois parties sont indépendantes : les résultats ne doivent pas être additionnés, puisqu’ils figurent déjà dans les reports.</w:t>
      </w:r>
    </w:p>
    <w:p w14:paraId="201576D6" w14:textId="77777777" w:rsidR="003960D9" w:rsidRPr="005C4637" w:rsidRDefault="003960D9" w:rsidP="003960D9">
      <w:pPr>
        <w:pStyle w:val="Titre4"/>
        <w:numPr>
          <w:ilvl w:val="0"/>
          <w:numId w:val="13"/>
        </w:numPr>
        <w:ind w:left="567" w:hanging="567"/>
        <w:rPr>
          <w:rFonts w:ascii="Cambria" w:eastAsia="MS Mincho" w:hAnsi="Cambria" w:cs="Times New Roman"/>
        </w:rPr>
      </w:pPr>
      <w:r w:rsidRPr="005C4637">
        <w:t>Que contient la partie "année N-1" du tableau ?</w:t>
      </w:r>
    </w:p>
    <w:p w14:paraId="727CACF5"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Elle comprend trois sous-parties :</w:t>
      </w:r>
    </w:p>
    <w:p w14:paraId="34041C34"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b/>
        </w:rPr>
        <w:t xml:space="preserve">— Après la dernière modification budgétaire N-1 : </w:t>
      </w:r>
      <w:r w:rsidRPr="005C4637">
        <w:rPr>
          <w:rFonts w:ascii="Cambria" w:eastAsia="MS Mincho" w:hAnsi="Cambria" w:cs="Times New Roman"/>
        </w:rPr>
        <w:t>prévisions de recettes et de dépenses telles qu’approuvées par la tutelle.</w:t>
      </w:r>
    </w:p>
    <w:p w14:paraId="1CBAD1A2"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b/>
        </w:rPr>
        <w:t xml:space="preserve">— Adaptations (optionnelles) : </w:t>
      </w:r>
      <w:r w:rsidRPr="005C4637">
        <w:rPr>
          <w:rFonts w:ascii="Cambria" w:eastAsia="MS Mincho" w:hAnsi="Cambria" w:cs="Times New Roman"/>
        </w:rPr>
        <w:t xml:space="preserve">constats de droits et de dépenses en plus ou en moins intervenus en fin d’exercice N-1 après la dernière modification budgétaire. Ces adaptations anticipent des éléments qui seront repris aux comptes de N-1 pour affiner la situation </w:t>
      </w:r>
      <w:r w:rsidRPr="005C4637">
        <w:rPr>
          <w:rFonts w:ascii="Cambria" w:eastAsia="MS Mincho" w:hAnsi="Cambria" w:cs="Times New Roman"/>
        </w:rPr>
        <w:lastRenderedPageBreak/>
        <w:t>présumée au 31/12 de N-1. Elles ne valent pas approbation automatique au moment du vote du budget N (validation ultérieure lors de l’examen des comptes).</w:t>
      </w:r>
    </w:p>
    <w:p w14:paraId="4608E60E"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b/>
        </w:rPr>
        <w:t xml:space="preserve">— Après adaptations : </w:t>
      </w:r>
      <w:r w:rsidRPr="005C4637">
        <w:rPr>
          <w:rFonts w:ascii="Cambria" w:eastAsia="MS Mincho" w:hAnsi="Cambria" w:cs="Times New Roman"/>
        </w:rPr>
        <w:t>total des deux sous-parties précédentes.</w:t>
      </w:r>
    </w:p>
    <w:p w14:paraId="5E6E7562" w14:textId="77777777" w:rsidR="003960D9" w:rsidRPr="005C4637" w:rsidRDefault="003960D9" w:rsidP="003960D9">
      <w:pPr>
        <w:pStyle w:val="Titre4"/>
        <w:numPr>
          <w:ilvl w:val="0"/>
          <w:numId w:val="13"/>
        </w:numPr>
        <w:ind w:left="567" w:hanging="567"/>
      </w:pPr>
      <w:r w:rsidRPr="005C4637">
        <w:t>Quelles limites s’appliquent aux "adaptations" ?</w:t>
      </w:r>
    </w:p>
    <w:p w14:paraId="4E9A29AF"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Elles ne peuvent reprendre que des enregistrements de droits constatés en plus ou en moins, ou des annulations de dépenses portées en compte après les dernières MB de N-1. Pas d’augmentations de dépenses assimilables à des dépassements de crédits, sauf prélèvements d’office.</w:t>
      </w:r>
    </w:p>
    <w:p w14:paraId="0B3E0CCC"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 xml:space="preserve">Les adaptations sont détaillées dans un état récapitulatif signé et daté par le directeur </w:t>
      </w:r>
      <w:r w:rsidRPr="01C1E901">
        <w:rPr>
          <w:rFonts w:ascii="Cambria" w:eastAsia="MS Mincho" w:hAnsi="Cambria" w:cs="Times New Roman"/>
        </w:rPr>
        <w:t>financier.</w:t>
      </w:r>
      <w:r w:rsidRPr="005C4637">
        <w:rPr>
          <w:rFonts w:ascii="Cambria" w:eastAsia="MS Mincho" w:hAnsi="Cambria" w:cs="Times New Roman"/>
        </w:rPr>
        <w:t xml:space="preserve"> Le Collège et le directeur financier tiennent compte des ajustements repris en annexe pour éviter d’engager, imputer et payer au-delà des nouveaux crédits.</w:t>
      </w:r>
    </w:p>
    <w:p w14:paraId="667DA900"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Les adaptations ne modifient pas automatiquement les crédits dans les logiciels budgétaires, puisqu’il ne s’agit pas de modifications budgétaires mais d’anticipations comptables qui figureront aux comptes de N-1.</w:t>
      </w:r>
    </w:p>
    <w:p w14:paraId="7DC95C5B" w14:textId="77777777" w:rsidR="003960D9" w:rsidRPr="005C4637" w:rsidRDefault="003960D9" w:rsidP="003960D9">
      <w:pPr>
        <w:pStyle w:val="Titre4"/>
        <w:numPr>
          <w:ilvl w:val="0"/>
          <w:numId w:val="13"/>
        </w:numPr>
        <w:ind w:left="567" w:hanging="567"/>
      </w:pPr>
      <w:r>
        <w:t>Quelles règles de périmètre s’appliquent aux éléments figurant au tableau de synthèse N ?</w:t>
      </w:r>
    </w:p>
    <w:p w14:paraId="30E91CD3"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 xml:space="preserve">Ne peuvent y figurer que des éléments relatifs aux crédits du budget de N-1 (exercice précédent), et non des crédits reportés d’un budget </w:t>
      </w:r>
      <w:r w:rsidRPr="01C1E901">
        <w:rPr>
          <w:rFonts w:ascii="Cambria" w:eastAsia="MS Mincho" w:hAnsi="Cambria" w:cs="Times New Roman"/>
        </w:rPr>
        <w:t>antérieur.</w:t>
      </w:r>
      <w:r w:rsidRPr="005C4637">
        <w:rPr>
          <w:rFonts w:ascii="Cambria" w:eastAsia="MS Mincho" w:hAnsi="Cambria" w:cs="Times New Roman"/>
        </w:rPr>
        <w:t xml:space="preserve"> Les crédits reportés de N-1 ne peuvent pas être modifiés via le tableau de synthèse de N.</w:t>
      </w:r>
    </w:p>
    <w:p w14:paraId="7A03979A" w14:textId="77777777" w:rsidR="003960D9" w:rsidRPr="005C4637" w:rsidRDefault="003960D9" w:rsidP="003960D9">
      <w:pPr>
        <w:pStyle w:val="Titre4"/>
        <w:numPr>
          <w:ilvl w:val="0"/>
          <w:numId w:val="13"/>
        </w:numPr>
        <w:ind w:left="567" w:hanging="567"/>
        <w:rPr>
          <w:rFonts w:ascii="Cambria" w:eastAsia="MS Mincho" w:hAnsi="Cambria" w:cs="Times New Roman"/>
        </w:rPr>
      </w:pPr>
      <w:r w:rsidRPr="005C4637">
        <w:t>Comment traiter le "crédit spécial de recettes" et la réestimation IPP ?</w:t>
      </w:r>
    </w:p>
    <w:p w14:paraId="76DBDDB0"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Le crédit spécial de recettes 00010/106-01 inscrit au budget N-1 doit être réduit progressivement à chaque modification budgétaire et supprimé au tableau de synthèse du budget N</w:t>
      </w:r>
      <w:r w:rsidRPr="01C1E901">
        <w:rPr>
          <w:rFonts w:ascii="Cambria" w:eastAsia="MS Mincho" w:hAnsi="Cambria" w:cs="Times New Roman"/>
        </w:rPr>
        <w:t>.</w:t>
      </w:r>
    </w:p>
    <w:p w14:paraId="6BD494C2"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La réestimation IPP de N-1 doit être intégrée au tableau de synthèse de N si elle n’a pas été prise en compte lors des dernières modifications budgétaires de N-1.</w:t>
      </w:r>
    </w:p>
    <w:p w14:paraId="555BBF00" w14:textId="77777777" w:rsidR="003960D9" w:rsidRPr="005C4637" w:rsidRDefault="003960D9" w:rsidP="003960D9">
      <w:pPr>
        <w:pStyle w:val="Titre4"/>
        <w:numPr>
          <w:ilvl w:val="0"/>
          <w:numId w:val="13"/>
        </w:numPr>
        <w:ind w:left="567" w:hanging="567"/>
      </w:pPr>
      <w:r w:rsidRPr="005C4637">
        <w:t>Que contient la partie du tableau réservée au budget de l’exercice N ?</w:t>
      </w:r>
    </w:p>
    <w:p w14:paraId="3BBB4BD3"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Elle reprend les prévisions de recettes et de dépenses de l’exercice. Leur différence donne le résultat budgétaire présumé au 31 décembre de l’année N.</w:t>
      </w:r>
    </w:p>
    <w:p w14:paraId="1B58BBEA" w14:textId="77777777" w:rsidR="003960D9" w:rsidRPr="005C4637" w:rsidRDefault="003960D9" w:rsidP="003960D9">
      <w:pPr>
        <w:pStyle w:val="Titre2"/>
      </w:pPr>
      <w:bookmarkStart w:id="150" w:name="_Toc225504122"/>
      <w:bookmarkStart w:id="151" w:name="_Toc225772211"/>
      <w:bookmarkStart w:id="152" w:name="_Toc226445266"/>
      <w:bookmarkStart w:id="153" w:name="_Toc233626047"/>
      <w:r w:rsidRPr="005C4637">
        <w:t>Annexes et pièces justificatives</w:t>
      </w:r>
      <w:bookmarkEnd w:id="150"/>
      <w:bookmarkEnd w:id="151"/>
      <w:bookmarkEnd w:id="152"/>
      <w:bookmarkEnd w:id="153"/>
      <w:r w:rsidRPr="005C4637">
        <w:t xml:space="preserve"> </w:t>
      </w:r>
    </w:p>
    <w:p w14:paraId="362DC6D1" w14:textId="77777777" w:rsidR="003960D9" w:rsidRPr="005C4637" w:rsidRDefault="003960D9" w:rsidP="003960D9">
      <w:pPr>
        <w:spacing w:before="120"/>
      </w:pPr>
      <w:r>
        <w:t>Le</w:t>
      </w:r>
      <w:r w:rsidRPr="005C4637">
        <w:t xml:space="preserve"> point de départ du délai de tutelle est la date de réception de l'ensemble des pièces justificatives. </w:t>
      </w:r>
    </w:p>
    <w:p w14:paraId="15310C5B" w14:textId="77777777" w:rsidR="003960D9" w:rsidRDefault="003960D9" w:rsidP="003960D9">
      <w:pPr>
        <w:spacing w:before="120"/>
      </w:pPr>
      <w:r>
        <w:t xml:space="preserve"> La</w:t>
      </w:r>
      <w:r w:rsidRPr="005C4637">
        <w:t xml:space="preserve"> liste des pièces justificatives obligatoires pour les budgets et modifications budgétaires des communes et de leurs régies</w:t>
      </w:r>
      <w:r>
        <w:t xml:space="preserve"> est la suivante : </w:t>
      </w:r>
    </w:p>
    <w:p w14:paraId="2AF15477" w14:textId="77777777" w:rsidR="00173CE1" w:rsidRPr="005C4637" w:rsidRDefault="00173CE1" w:rsidP="003960D9">
      <w:pPr>
        <w:spacing w:before="120"/>
      </w:pPr>
    </w:p>
    <w:p w14:paraId="15B3BD07" w14:textId="77777777" w:rsidR="003960D9" w:rsidRPr="005C4637" w:rsidRDefault="003960D9" w:rsidP="003960D9">
      <w:pPr>
        <w:pStyle w:val="Sam2"/>
        <w:numPr>
          <w:ilvl w:val="0"/>
          <w:numId w:val="0"/>
        </w:numPr>
        <w:spacing w:before="0" w:after="0"/>
      </w:pPr>
      <w:bookmarkStart w:id="154" w:name="_Hlk143780441"/>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9469"/>
      </w:tblGrid>
      <w:tr w:rsidR="003960D9" w:rsidRPr="005C4637" w14:paraId="06D19CAB" w14:textId="77777777" w:rsidTr="005560EF">
        <w:trPr>
          <w:jc w:val="center"/>
        </w:trPr>
        <w:tc>
          <w:tcPr>
            <w:tcW w:w="10173" w:type="dxa"/>
            <w:gridSpan w:val="2"/>
            <w:shd w:val="clear" w:color="auto" w:fill="D9D9D9" w:themeFill="background1" w:themeFillShade="D9"/>
          </w:tcPr>
          <w:p w14:paraId="2B677156" w14:textId="77777777" w:rsidR="003960D9" w:rsidRPr="005C4637" w:rsidRDefault="003960D9" w:rsidP="005560EF">
            <w:pPr>
              <w:spacing w:after="0"/>
              <w:jc w:val="center"/>
              <w:rPr>
                <w:b/>
              </w:rPr>
            </w:pPr>
            <w:r w:rsidRPr="005C4637">
              <w:rPr>
                <w:b/>
              </w:rPr>
              <w:t xml:space="preserve">BUDGET INITIAL COMMUNAL </w:t>
            </w:r>
          </w:p>
          <w:p w14:paraId="3A73C822" w14:textId="77777777" w:rsidR="003960D9" w:rsidRPr="005C4637" w:rsidRDefault="003960D9" w:rsidP="005560EF">
            <w:pPr>
              <w:spacing w:after="0"/>
              <w:jc w:val="center"/>
              <w:rPr>
                <w:b/>
              </w:rPr>
            </w:pPr>
            <w:r w:rsidRPr="005C4637">
              <w:rPr>
                <w:b/>
              </w:rPr>
              <w:t>LISTE DES PIECES JUSTIFICATIVES OBLIGATOIRES</w:t>
            </w:r>
          </w:p>
        </w:tc>
      </w:tr>
      <w:tr w:rsidR="003960D9" w:rsidRPr="005C4637" w14:paraId="07F4DD41" w14:textId="77777777" w:rsidTr="005560EF">
        <w:trPr>
          <w:jc w:val="center"/>
        </w:trPr>
        <w:tc>
          <w:tcPr>
            <w:tcW w:w="704" w:type="dxa"/>
          </w:tcPr>
          <w:p w14:paraId="3273F735" w14:textId="77777777" w:rsidR="003960D9" w:rsidRPr="005C4637" w:rsidRDefault="003960D9" w:rsidP="005560EF">
            <w:pPr>
              <w:jc w:val="center"/>
            </w:pPr>
            <w:r w:rsidRPr="005C4637">
              <w:t>1</w:t>
            </w:r>
          </w:p>
        </w:tc>
        <w:tc>
          <w:tcPr>
            <w:tcW w:w="9469" w:type="dxa"/>
          </w:tcPr>
          <w:p w14:paraId="25DF70BE" w14:textId="77777777" w:rsidR="003960D9" w:rsidRPr="005C4637" w:rsidRDefault="003960D9" w:rsidP="005560EF">
            <w:r w:rsidRPr="005C4637">
              <w:t xml:space="preserve">La délibération in extenso du Conseil communal - Modèle disponible sur le portail des pouvoirs locaux ou à générer au moyen de l’application eComptes. </w:t>
            </w:r>
          </w:p>
        </w:tc>
      </w:tr>
      <w:tr w:rsidR="003960D9" w:rsidRPr="005C4637" w14:paraId="28B4AC21" w14:textId="77777777" w:rsidTr="005560EF">
        <w:trPr>
          <w:jc w:val="center"/>
        </w:trPr>
        <w:tc>
          <w:tcPr>
            <w:tcW w:w="704" w:type="dxa"/>
          </w:tcPr>
          <w:p w14:paraId="57D8AAE1" w14:textId="77777777" w:rsidR="003960D9" w:rsidRPr="005C4637" w:rsidRDefault="003960D9" w:rsidP="005560EF">
            <w:pPr>
              <w:jc w:val="center"/>
            </w:pPr>
            <w:r w:rsidRPr="005C4637">
              <w:t>2</w:t>
            </w:r>
          </w:p>
        </w:tc>
        <w:tc>
          <w:tcPr>
            <w:tcW w:w="9469" w:type="dxa"/>
          </w:tcPr>
          <w:p w14:paraId="2E205048" w14:textId="77777777" w:rsidR="003960D9" w:rsidRPr="005C4637" w:rsidRDefault="003960D9" w:rsidP="005560EF">
            <w:r w:rsidRPr="005C4637">
              <w:t>Le fichier SIC généré par l’application eComptes.</w:t>
            </w:r>
          </w:p>
        </w:tc>
      </w:tr>
      <w:tr w:rsidR="003960D9" w:rsidRPr="005C4637" w14:paraId="4334124A" w14:textId="77777777" w:rsidTr="005560EF">
        <w:trPr>
          <w:jc w:val="center"/>
        </w:trPr>
        <w:tc>
          <w:tcPr>
            <w:tcW w:w="704" w:type="dxa"/>
          </w:tcPr>
          <w:p w14:paraId="363C3CE4" w14:textId="77777777" w:rsidR="003960D9" w:rsidRPr="005C4637" w:rsidRDefault="003960D9" w:rsidP="005560EF">
            <w:pPr>
              <w:jc w:val="center"/>
            </w:pPr>
            <w:r w:rsidRPr="005C4637">
              <w:t>3</w:t>
            </w:r>
          </w:p>
        </w:tc>
        <w:tc>
          <w:tcPr>
            <w:tcW w:w="9469" w:type="dxa"/>
          </w:tcPr>
          <w:p w14:paraId="3FF8B492" w14:textId="77777777" w:rsidR="003960D9" w:rsidRPr="005C4637" w:rsidRDefault="003960D9" w:rsidP="005560EF">
            <w:r w:rsidRPr="005C4637">
              <w:t>La version Word du budget.</w:t>
            </w:r>
          </w:p>
        </w:tc>
      </w:tr>
      <w:tr w:rsidR="003960D9" w:rsidRPr="005C4637" w14:paraId="33AFFBEE" w14:textId="77777777" w:rsidTr="005560EF">
        <w:trPr>
          <w:jc w:val="center"/>
        </w:trPr>
        <w:tc>
          <w:tcPr>
            <w:tcW w:w="704" w:type="dxa"/>
          </w:tcPr>
          <w:p w14:paraId="3FAE8523" w14:textId="77777777" w:rsidR="003960D9" w:rsidRPr="005C4637" w:rsidRDefault="003960D9" w:rsidP="005560EF">
            <w:pPr>
              <w:jc w:val="center"/>
            </w:pPr>
            <w:r w:rsidRPr="005C4637">
              <w:t>4</w:t>
            </w:r>
          </w:p>
        </w:tc>
        <w:tc>
          <w:tcPr>
            <w:tcW w:w="9469" w:type="dxa"/>
          </w:tcPr>
          <w:p w14:paraId="25366AE8" w14:textId="77777777" w:rsidR="003960D9" w:rsidRPr="005C4637" w:rsidRDefault="003960D9" w:rsidP="005560EF">
            <w:r w:rsidRPr="005C4637">
              <w:t>Le rapport commenté du budget de l’exercice N, tel que prévu par l’article L1122-23 du CDLD – Modèle à générer au moyen de l’application eComptes</w:t>
            </w:r>
            <w:r>
              <w:t>.</w:t>
            </w:r>
          </w:p>
        </w:tc>
      </w:tr>
      <w:tr w:rsidR="003960D9" w:rsidRPr="005C4637" w14:paraId="2647C246" w14:textId="77777777" w:rsidTr="005560EF">
        <w:trPr>
          <w:jc w:val="center"/>
        </w:trPr>
        <w:tc>
          <w:tcPr>
            <w:tcW w:w="704" w:type="dxa"/>
          </w:tcPr>
          <w:p w14:paraId="0160B567" w14:textId="77777777" w:rsidR="003960D9" w:rsidRPr="005C4637" w:rsidRDefault="003960D9" w:rsidP="005560EF">
            <w:pPr>
              <w:jc w:val="center"/>
            </w:pPr>
            <w:r w:rsidRPr="005C4637">
              <w:t>5</w:t>
            </w:r>
          </w:p>
        </w:tc>
        <w:tc>
          <w:tcPr>
            <w:tcW w:w="9469" w:type="dxa"/>
          </w:tcPr>
          <w:p w14:paraId="761BDF05" w14:textId="77777777" w:rsidR="003960D9" w:rsidRPr="005C4637" w:rsidRDefault="003960D9" w:rsidP="005560EF">
            <w:r w:rsidRPr="005C4637">
              <w:t xml:space="preserve">L’avis de la commission article 12 du Règlement général de la comptabilité communale – Modèles disponible sur le portail des pouvoirs locaux ou à générer au moyen de l’application eComptes. </w:t>
            </w:r>
          </w:p>
        </w:tc>
      </w:tr>
      <w:tr w:rsidR="003960D9" w:rsidRPr="005C4637" w14:paraId="42B5EDB9" w14:textId="77777777" w:rsidTr="005560EF">
        <w:trPr>
          <w:jc w:val="center"/>
        </w:trPr>
        <w:tc>
          <w:tcPr>
            <w:tcW w:w="704" w:type="dxa"/>
          </w:tcPr>
          <w:p w14:paraId="29F4B566" w14:textId="77777777" w:rsidR="003960D9" w:rsidRPr="005C4637" w:rsidRDefault="003960D9" w:rsidP="005560EF">
            <w:pPr>
              <w:jc w:val="center"/>
            </w:pPr>
            <w:r w:rsidRPr="005C4637">
              <w:t>6</w:t>
            </w:r>
          </w:p>
        </w:tc>
        <w:tc>
          <w:tcPr>
            <w:tcW w:w="9469" w:type="dxa"/>
          </w:tcPr>
          <w:p w14:paraId="2BDFC5D9" w14:textId="77777777" w:rsidR="003960D9" w:rsidRPr="005C4637" w:rsidRDefault="003960D9" w:rsidP="005560EF">
            <w:r w:rsidRPr="005C4637">
              <w:t xml:space="preserve">Les tableaux de synthèse ordinaire et extraordinaire et leurs adaptations dûment datées et signées par le directeur </w:t>
            </w:r>
            <w:r>
              <w:t>financier.</w:t>
            </w:r>
          </w:p>
        </w:tc>
      </w:tr>
      <w:tr w:rsidR="003960D9" w:rsidRPr="005C4637" w14:paraId="0BFD24B1" w14:textId="77777777" w:rsidTr="005560EF">
        <w:trPr>
          <w:jc w:val="center"/>
        </w:trPr>
        <w:tc>
          <w:tcPr>
            <w:tcW w:w="704" w:type="dxa"/>
          </w:tcPr>
          <w:p w14:paraId="586DAE84" w14:textId="77777777" w:rsidR="003960D9" w:rsidRPr="005C4637" w:rsidRDefault="003960D9" w:rsidP="005560EF">
            <w:pPr>
              <w:jc w:val="center"/>
            </w:pPr>
            <w:r w:rsidRPr="005C4637">
              <w:t>7</w:t>
            </w:r>
          </w:p>
        </w:tc>
        <w:tc>
          <w:tcPr>
            <w:tcW w:w="9469" w:type="dxa"/>
          </w:tcPr>
          <w:p w14:paraId="02CCF5C4" w14:textId="77777777" w:rsidR="003960D9" w:rsidRPr="005C4637" w:rsidRDefault="003960D9" w:rsidP="005560EF">
            <w:r w:rsidRPr="005C4637">
              <w:t xml:space="preserve">Le tableau des voies et moyens issu du système informatique trié par numéros de projets ventilés par articles budgétaires, tableau intitulé : « tableau budgétaire récapitulatif des projets extraordinaires et leur voies et moyens </w:t>
            </w:r>
            <w:r>
              <w:t>».</w:t>
            </w:r>
          </w:p>
        </w:tc>
      </w:tr>
      <w:tr w:rsidR="003960D9" w:rsidRPr="005C4637" w14:paraId="1A05C858" w14:textId="77777777" w:rsidTr="005560EF">
        <w:trPr>
          <w:jc w:val="center"/>
        </w:trPr>
        <w:tc>
          <w:tcPr>
            <w:tcW w:w="704" w:type="dxa"/>
          </w:tcPr>
          <w:p w14:paraId="09754E88" w14:textId="77777777" w:rsidR="003960D9" w:rsidRPr="005C4637" w:rsidRDefault="003960D9" w:rsidP="005560EF">
            <w:pPr>
              <w:jc w:val="center"/>
            </w:pPr>
            <w:r w:rsidRPr="005C4637">
              <w:t>8</w:t>
            </w:r>
          </w:p>
        </w:tc>
        <w:tc>
          <w:tcPr>
            <w:tcW w:w="9469" w:type="dxa"/>
          </w:tcPr>
          <w:p w14:paraId="745272AA" w14:textId="77777777" w:rsidR="003960D9" w:rsidRPr="005C4637" w:rsidRDefault="003960D9" w:rsidP="005560EF">
            <w:r w:rsidRPr="005C4637">
              <w:t>Le/Les tableau(x) des emprunts communaux contractés et à contracter présenté(s) par emprunt avec récapitulation. Tableaux des différents organismes bancaires et tableau récapitulatif en Excel comprenant notamment les emprunts à contracter (avec durée et taux présumé</w:t>
            </w:r>
            <w:r>
              <w:t>).</w:t>
            </w:r>
          </w:p>
        </w:tc>
      </w:tr>
      <w:tr w:rsidR="003960D9" w:rsidRPr="005C4637" w14:paraId="5E49EF86" w14:textId="77777777" w:rsidTr="005560EF">
        <w:trPr>
          <w:jc w:val="center"/>
        </w:trPr>
        <w:tc>
          <w:tcPr>
            <w:tcW w:w="704" w:type="dxa"/>
          </w:tcPr>
          <w:p w14:paraId="6AE389CB" w14:textId="77777777" w:rsidR="003960D9" w:rsidRPr="005C4637" w:rsidRDefault="003960D9" w:rsidP="005560EF">
            <w:pPr>
              <w:jc w:val="center"/>
            </w:pPr>
            <w:r w:rsidRPr="005C4637">
              <w:t>9</w:t>
            </w:r>
          </w:p>
        </w:tc>
        <w:tc>
          <w:tcPr>
            <w:tcW w:w="9469" w:type="dxa"/>
          </w:tcPr>
          <w:p w14:paraId="362A28EF" w14:textId="77777777" w:rsidR="003960D9" w:rsidRPr="005C4637" w:rsidRDefault="003960D9" w:rsidP="005560EF">
            <w:r w:rsidRPr="005C4637">
              <w:t xml:space="preserve">Stabilité de la charge de la dette : </w:t>
            </w:r>
          </w:p>
          <w:p w14:paraId="0A7119CA" w14:textId="77777777" w:rsidR="003960D9" w:rsidRPr="005C4637" w:rsidRDefault="003960D9" w:rsidP="005560EF">
            <w:r w:rsidRPr="005C4637">
              <w:t>1° Un tableau justificatif doit démontrer la stabilité de la charge de la dette. Il appartient à la commune d’y faire figurer :</w:t>
            </w:r>
          </w:p>
          <w:p w14:paraId="2FF7205E" w14:textId="77777777" w:rsidR="003960D9" w:rsidRPr="005C4637" w:rsidRDefault="003960D9">
            <w:pPr>
              <w:numPr>
                <w:ilvl w:val="0"/>
                <w:numId w:val="136"/>
              </w:numPr>
              <w:spacing w:after="120" w:line="240" w:lineRule="auto"/>
            </w:pPr>
            <w:r w:rsidRPr="005C4637">
              <w:t>La charge de la dette échue au cours des cinq dernières années ;</w:t>
            </w:r>
          </w:p>
          <w:p w14:paraId="36A182A7" w14:textId="77777777" w:rsidR="003960D9" w:rsidRPr="005C4637" w:rsidRDefault="003960D9">
            <w:pPr>
              <w:numPr>
                <w:ilvl w:val="0"/>
                <w:numId w:val="136"/>
              </w:numPr>
              <w:spacing w:after="120" w:line="240" w:lineRule="auto"/>
            </w:pPr>
            <w:r w:rsidRPr="005C4637">
              <w:t>La charge de la dette à échoir au cours des cinq prochaines années ;</w:t>
            </w:r>
          </w:p>
          <w:p w14:paraId="6D1E0599" w14:textId="77777777" w:rsidR="003960D9" w:rsidRPr="005C4637" w:rsidRDefault="003960D9">
            <w:pPr>
              <w:numPr>
                <w:ilvl w:val="0"/>
                <w:numId w:val="136"/>
              </w:numPr>
              <w:spacing w:after="120" w:line="240" w:lineRule="auto"/>
            </w:pPr>
            <w:r w:rsidRPr="005C4637">
              <w:t>La nouvelle charge de dette envisagée, accompagnée de l'estimation de ses effets financiers sur les cinq prochaines années.</w:t>
            </w:r>
          </w:p>
          <w:p w14:paraId="33C9C2FB" w14:textId="77777777" w:rsidR="003960D9" w:rsidRPr="005C4637" w:rsidRDefault="003960D9" w:rsidP="005560EF">
            <w:r w:rsidRPr="005C4637">
              <w:t>2° Un tableau reprenant, par exercice, les montants qui ont servi à l'autofinancement du service extraordinaire ainsi que les montants affectés à des remboursements anticipés d'emprunts (soit sur boni extraordinaire, soit par transfert direct de service, soit par prélèvement via un fonds de réserve) - Modèle disponible sur le portail des pouvoirs locaux ou à générer au moyen de l’application eComptes.</w:t>
            </w:r>
          </w:p>
        </w:tc>
      </w:tr>
      <w:tr w:rsidR="003960D9" w:rsidRPr="005C4637" w14:paraId="1FE75CAA" w14:textId="77777777" w:rsidTr="005560EF">
        <w:trPr>
          <w:jc w:val="center"/>
        </w:trPr>
        <w:tc>
          <w:tcPr>
            <w:tcW w:w="704" w:type="dxa"/>
          </w:tcPr>
          <w:p w14:paraId="5576C770" w14:textId="77777777" w:rsidR="003960D9" w:rsidRPr="005C4637" w:rsidRDefault="003960D9" w:rsidP="005560EF">
            <w:pPr>
              <w:jc w:val="center"/>
            </w:pPr>
            <w:r w:rsidRPr="005C4637">
              <w:t>10</w:t>
            </w:r>
          </w:p>
        </w:tc>
        <w:tc>
          <w:tcPr>
            <w:tcW w:w="9469" w:type="dxa"/>
          </w:tcPr>
          <w:p w14:paraId="48CDF2C5" w14:textId="77777777" w:rsidR="003960D9" w:rsidRPr="005C4637" w:rsidRDefault="003960D9" w:rsidP="005560EF">
            <w:r w:rsidRPr="005C4637">
              <w:t xml:space="preserve">La liste des participations à libérer au cours de l’année pour la SPGE/AIDE – Modèle disponible sur le portail des pouvoirs locaux. </w:t>
            </w:r>
          </w:p>
        </w:tc>
      </w:tr>
      <w:tr w:rsidR="003960D9" w:rsidRPr="005C4637" w14:paraId="03284A71" w14:textId="77777777" w:rsidTr="005560EF">
        <w:trPr>
          <w:jc w:val="center"/>
        </w:trPr>
        <w:tc>
          <w:tcPr>
            <w:tcW w:w="704" w:type="dxa"/>
          </w:tcPr>
          <w:p w14:paraId="09DAAB38" w14:textId="77777777" w:rsidR="003960D9" w:rsidRPr="005C4637" w:rsidRDefault="003960D9" w:rsidP="005560EF">
            <w:pPr>
              <w:jc w:val="center"/>
            </w:pPr>
            <w:r w:rsidRPr="005C4637">
              <w:lastRenderedPageBreak/>
              <w:t>11</w:t>
            </w:r>
          </w:p>
        </w:tc>
        <w:tc>
          <w:tcPr>
            <w:tcW w:w="9469" w:type="dxa"/>
          </w:tcPr>
          <w:p w14:paraId="24E7456F" w14:textId="77777777" w:rsidR="003960D9" w:rsidRPr="005C4637" w:rsidRDefault="003960D9" w:rsidP="005560EF">
            <w:pPr>
              <w:spacing w:line="273" w:lineRule="exact"/>
              <w:textAlignment w:val="baseline"/>
            </w:pPr>
            <w:r w:rsidRPr="005C4637">
              <w:t>Les mouvements des réserves et provisions selon le modèle disponible sur le portail des pouvoirs locaux ou à générer au moyen de l’application eComptes.</w:t>
            </w:r>
          </w:p>
          <w:p w14:paraId="575F6EBE" w14:textId="77777777" w:rsidR="003960D9" w:rsidRPr="005C4637" w:rsidRDefault="003960D9" w:rsidP="005560EF">
            <w:r>
              <w:t>Les provisions devant être ventilées en fonction de leur objet.</w:t>
            </w:r>
          </w:p>
        </w:tc>
      </w:tr>
      <w:tr w:rsidR="003960D9" w:rsidRPr="005C4637" w14:paraId="0E4CFB2E" w14:textId="77777777" w:rsidTr="005560EF">
        <w:trPr>
          <w:jc w:val="center"/>
        </w:trPr>
        <w:tc>
          <w:tcPr>
            <w:tcW w:w="704" w:type="dxa"/>
          </w:tcPr>
          <w:p w14:paraId="3BBC753E" w14:textId="77777777" w:rsidR="003960D9" w:rsidRPr="005C4637" w:rsidRDefault="003960D9" w:rsidP="005560EF">
            <w:pPr>
              <w:jc w:val="center"/>
            </w:pPr>
            <w:r w:rsidRPr="005C4637">
              <w:t>12</w:t>
            </w:r>
          </w:p>
        </w:tc>
        <w:tc>
          <w:tcPr>
            <w:tcW w:w="9469" w:type="dxa"/>
          </w:tcPr>
          <w:p w14:paraId="47EA9B19" w14:textId="77777777" w:rsidR="003960D9" w:rsidRPr="005C4637" w:rsidRDefault="003960D9" w:rsidP="005560EF">
            <w:r w:rsidRPr="005C4637">
              <w:t xml:space="preserve">La liste des garanties de bonne fin accordées par la commune à des tiers – Modèle disponible sur le portail des pouvoirs locaux. </w:t>
            </w:r>
          </w:p>
        </w:tc>
      </w:tr>
      <w:tr w:rsidR="003960D9" w:rsidRPr="005C4637" w14:paraId="39FEA752" w14:textId="77777777" w:rsidTr="005560EF">
        <w:trPr>
          <w:jc w:val="center"/>
        </w:trPr>
        <w:tc>
          <w:tcPr>
            <w:tcW w:w="704" w:type="dxa"/>
          </w:tcPr>
          <w:p w14:paraId="3A4CD92C" w14:textId="77777777" w:rsidR="003960D9" w:rsidRPr="005C4637" w:rsidRDefault="003960D9" w:rsidP="005560EF">
            <w:pPr>
              <w:jc w:val="center"/>
            </w:pPr>
            <w:r w:rsidRPr="005C4637">
              <w:t>13</w:t>
            </w:r>
          </w:p>
        </w:tc>
        <w:tc>
          <w:tcPr>
            <w:tcW w:w="9469" w:type="dxa"/>
          </w:tcPr>
          <w:p w14:paraId="31342F13" w14:textId="77777777" w:rsidR="003960D9" w:rsidRPr="005C4637" w:rsidRDefault="003960D9" w:rsidP="005560EF">
            <w:r w:rsidRPr="005C4637">
              <w:t xml:space="preserve">Le tableau du personnel communal comprenant tous les éléments chiffrés de la rémunération ; il convient de reprendre, par fonction, le nombre d’agents, leur grade, leur régime par semaine, leur traitement (le but étant de pouvoir vérifier que la somme de tous les traitements des agents d’une fonction est bien </w:t>
            </w:r>
            <w:r>
              <w:t>reprise</w:t>
            </w:r>
            <w:r w:rsidRPr="005C4637">
              <w:t xml:space="preserve"> au budget).</w:t>
            </w:r>
          </w:p>
        </w:tc>
      </w:tr>
      <w:tr w:rsidR="003960D9" w:rsidRPr="005C4637" w14:paraId="2B365610" w14:textId="77777777" w:rsidTr="005560EF">
        <w:trPr>
          <w:jc w:val="center"/>
        </w:trPr>
        <w:tc>
          <w:tcPr>
            <w:tcW w:w="704" w:type="dxa"/>
          </w:tcPr>
          <w:p w14:paraId="7965D033" w14:textId="77777777" w:rsidR="003960D9" w:rsidRPr="005C4637" w:rsidRDefault="003960D9" w:rsidP="005560EF">
            <w:pPr>
              <w:jc w:val="center"/>
            </w:pPr>
            <w:r w:rsidRPr="005C4637">
              <w:t>14</w:t>
            </w:r>
          </w:p>
        </w:tc>
        <w:tc>
          <w:tcPr>
            <w:tcW w:w="9469" w:type="dxa"/>
          </w:tcPr>
          <w:p w14:paraId="51F12572" w14:textId="77777777" w:rsidR="003960D9" w:rsidRPr="005C4637" w:rsidRDefault="003960D9" w:rsidP="005560EF">
            <w:r w:rsidRPr="005C4637">
              <w:t>La note concernant le plan de mouvement du personnel et d’embauche sur minimum 2 ans comportant des prévisions chiffrées permettant de mesurer l’impact financier des mouvements de personnel planifiés - Modèle disponible sur le portail des pouvoirs locaux.</w:t>
            </w:r>
          </w:p>
        </w:tc>
      </w:tr>
      <w:tr w:rsidR="003960D9" w:rsidRPr="005C4637" w14:paraId="4A78494B" w14:textId="77777777" w:rsidTr="005560EF">
        <w:trPr>
          <w:jc w:val="center"/>
        </w:trPr>
        <w:tc>
          <w:tcPr>
            <w:tcW w:w="704" w:type="dxa"/>
          </w:tcPr>
          <w:p w14:paraId="5E9080DF" w14:textId="77777777" w:rsidR="003960D9" w:rsidRPr="005C4637" w:rsidRDefault="003960D9" w:rsidP="005560EF">
            <w:pPr>
              <w:jc w:val="center"/>
            </w:pPr>
            <w:r w:rsidRPr="005C4637">
              <w:t>15</w:t>
            </w:r>
          </w:p>
        </w:tc>
        <w:tc>
          <w:tcPr>
            <w:tcW w:w="9469" w:type="dxa"/>
          </w:tcPr>
          <w:p w14:paraId="68ACDBC7" w14:textId="77777777" w:rsidR="003960D9" w:rsidRPr="005C4637" w:rsidRDefault="003960D9" w:rsidP="005560EF">
            <w:r w:rsidRPr="005C4637">
              <w:t xml:space="preserve">Le tableau figurant normalement en tête du budget et portant les renseignements généraux sur la commune - Modèle disponible sur le portail des pouvoirs locaux. </w:t>
            </w:r>
          </w:p>
        </w:tc>
      </w:tr>
      <w:tr w:rsidR="003960D9" w:rsidRPr="005C4637" w14:paraId="7D162995" w14:textId="77777777" w:rsidTr="005560EF">
        <w:trPr>
          <w:jc w:val="center"/>
        </w:trPr>
        <w:tc>
          <w:tcPr>
            <w:tcW w:w="704" w:type="dxa"/>
          </w:tcPr>
          <w:p w14:paraId="03A0A096" w14:textId="77777777" w:rsidR="003960D9" w:rsidRPr="005C4637" w:rsidRDefault="003960D9" w:rsidP="005560EF">
            <w:pPr>
              <w:jc w:val="center"/>
            </w:pPr>
            <w:r w:rsidRPr="005C4637">
              <w:t>16</w:t>
            </w:r>
          </w:p>
        </w:tc>
        <w:tc>
          <w:tcPr>
            <w:tcW w:w="9469" w:type="dxa"/>
          </w:tcPr>
          <w:p w14:paraId="443D41E8" w14:textId="77777777" w:rsidR="003960D9" w:rsidRPr="005C4637" w:rsidRDefault="003960D9" w:rsidP="005560EF">
            <w:r w:rsidRPr="005C4637">
              <w:t>La copie des documents en provenance des intercommunales déterminant les dividendes à inscrire au budget de l'exercice, dans toute la mesure décomposée par type de recette (dividende normal - redevance).</w:t>
            </w:r>
          </w:p>
        </w:tc>
      </w:tr>
      <w:tr w:rsidR="003960D9" w:rsidRPr="005C4637" w14:paraId="50984BC2" w14:textId="77777777" w:rsidTr="005560EF">
        <w:trPr>
          <w:jc w:val="center"/>
        </w:trPr>
        <w:tc>
          <w:tcPr>
            <w:tcW w:w="704" w:type="dxa"/>
          </w:tcPr>
          <w:p w14:paraId="56464432" w14:textId="77777777" w:rsidR="003960D9" w:rsidRPr="005C4637" w:rsidRDefault="003960D9" w:rsidP="005560EF">
            <w:pPr>
              <w:jc w:val="center"/>
            </w:pPr>
            <w:r w:rsidRPr="005C4637">
              <w:t>17</w:t>
            </w:r>
          </w:p>
        </w:tc>
        <w:tc>
          <w:tcPr>
            <w:tcW w:w="9469" w:type="dxa"/>
          </w:tcPr>
          <w:p w14:paraId="60B310CC" w14:textId="77777777" w:rsidR="003960D9" w:rsidRPr="005C4637" w:rsidRDefault="003960D9" w:rsidP="005560EF">
            <w:r>
              <w:t xml:space="preserve">L’annexe relative au calcul des ratios d’investissements - Modèle disponible sur le portail des pouvoirs locaux (Modèle disponible sur le portail des pouvoirs locaux).  </w:t>
            </w:r>
          </w:p>
        </w:tc>
      </w:tr>
      <w:tr w:rsidR="003960D9" w:rsidRPr="005C4637" w14:paraId="5D2B5A21" w14:textId="77777777" w:rsidTr="005560EF">
        <w:trPr>
          <w:jc w:val="center"/>
        </w:trPr>
        <w:tc>
          <w:tcPr>
            <w:tcW w:w="704" w:type="dxa"/>
          </w:tcPr>
          <w:p w14:paraId="7D9F2FA8" w14:textId="77777777" w:rsidR="003960D9" w:rsidRPr="005C4637" w:rsidRDefault="003960D9" w:rsidP="005560EF">
            <w:pPr>
              <w:jc w:val="center"/>
            </w:pPr>
            <w:r w:rsidRPr="005C4637">
              <w:t>18</w:t>
            </w:r>
          </w:p>
        </w:tc>
        <w:tc>
          <w:tcPr>
            <w:tcW w:w="9469" w:type="dxa"/>
          </w:tcPr>
          <w:p w14:paraId="5EF44C98" w14:textId="77777777" w:rsidR="003960D9" w:rsidRPr="005C4637" w:rsidRDefault="003960D9" w:rsidP="005560EF">
            <w:pPr>
              <w:tabs>
                <w:tab w:val="left" w:pos="1515"/>
              </w:tabs>
            </w:pPr>
            <w:r w:rsidRPr="005C4637">
              <w:t xml:space="preserve">L’état des lieux mensuel de l’ensemble des comptes courants des comptes financiers ainsi que les placements ouverts au nom de la commune sur l’année écoulée. Une attention particulière doit être portée aux opérations relatives aux bons de trésorerie, qu’ils soient émis ou acquis par la commune. </w:t>
            </w:r>
          </w:p>
        </w:tc>
      </w:tr>
      <w:tr w:rsidR="003960D9" w:rsidRPr="005C4637" w14:paraId="64C50E3A" w14:textId="77777777" w:rsidTr="005560EF">
        <w:trPr>
          <w:trHeight w:val="704"/>
          <w:jc w:val="center"/>
        </w:trPr>
        <w:tc>
          <w:tcPr>
            <w:tcW w:w="10173" w:type="dxa"/>
            <w:gridSpan w:val="2"/>
            <w:shd w:val="clear" w:color="auto" w:fill="D9D9D9" w:themeFill="background1" w:themeFillShade="D9"/>
          </w:tcPr>
          <w:p w14:paraId="632D87F1" w14:textId="77777777" w:rsidR="003960D9" w:rsidRPr="005C4637" w:rsidRDefault="003960D9" w:rsidP="005560EF">
            <w:pPr>
              <w:spacing w:line="274" w:lineRule="exact"/>
              <w:textAlignment w:val="baseline"/>
              <w:rPr>
                <w:b/>
                <w:spacing w:val="7"/>
              </w:rPr>
            </w:pPr>
            <w:r w:rsidRPr="005C4637">
              <w:rPr>
                <w:b/>
                <w:spacing w:val="7"/>
              </w:rPr>
              <w:t xml:space="preserve">Si vous n'utilisez pas le modèle de délibération </w:t>
            </w:r>
            <w:r w:rsidRPr="005C4637">
              <w:rPr>
                <w:b/>
              </w:rPr>
              <w:t>in extenso du Conseil communal</w:t>
            </w:r>
            <w:r w:rsidRPr="005C4637">
              <w:t xml:space="preserve"> </w:t>
            </w:r>
            <w:r w:rsidRPr="005C4637">
              <w:rPr>
                <w:b/>
                <w:spacing w:val="7"/>
              </w:rPr>
              <w:t>vous êtes tenus d'envoyer à la tutelle les pièces justificatives complémentaires suivantes :</w:t>
            </w:r>
          </w:p>
        </w:tc>
      </w:tr>
      <w:tr w:rsidR="003960D9" w:rsidRPr="005C4637" w14:paraId="6969E7AA" w14:textId="77777777" w:rsidTr="005560EF">
        <w:trPr>
          <w:trHeight w:val="391"/>
          <w:jc w:val="center"/>
        </w:trPr>
        <w:tc>
          <w:tcPr>
            <w:tcW w:w="704" w:type="dxa"/>
          </w:tcPr>
          <w:p w14:paraId="76BFB390" w14:textId="77777777" w:rsidR="003960D9" w:rsidRPr="005C4637" w:rsidRDefault="003960D9" w:rsidP="005560EF">
            <w:pPr>
              <w:spacing w:after="240" w:line="273" w:lineRule="exact"/>
              <w:jc w:val="center"/>
              <w:textAlignment w:val="baseline"/>
            </w:pPr>
            <w:r w:rsidRPr="005C4637">
              <w:t>1</w:t>
            </w:r>
          </w:p>
        </w:tc>
        <w:tc>
          <w:tcPr>
            <w:tcW w:w="9469" w:type="dxa"/>
            <w:vAlign w:val="center"/>
          </w:tcPr>
          <w:p w14:paraId="33589C1E" w14:textId="77777777" w:rsidR="003960D9" w:rsidRPr="005C4637" w:rsidRDefault="003960D9" w:rsidP="005560EF">
            <w:pPr>
              <w:spacing w:after="240" w:line="273" w:lineRule="exact"/>
              <w:textAlignment w:val="baseline"/>
            </w:pPr>
            <w:r w:rsidRPr="005C4637">
              <w:t xml:space="preserve">L’avis de publication. </w:t>
            </w:r>
          </w:p>
        </w:tc>
      </w:tr>
      <w:tr w:rsidR="003960D9" w:rsidRPr="005C4637" w14:paraId="7D106C9D" w14:textId="77777777" w:rsidTr="005560EF">
        <w:trPr>
          <w:jc w:val="center"/>
        </w:trPr>
        <w:tc>
          <w:tcPr>
            <w:tcW w:w="704" w:type="dxa"/>
          </w:tcPr>
          <w:p w14:paraId="1EE94A83" w14:textId="77777777" w:rsidR="003960D9" w:rsidRPr="005C4637" w:rsidRDefault="003960D9" w:rsidP="005560EF">
            <w:pPr>
              <w:spacing w:after="240" w:line="273" w:lineRule="exact"/>
              <w:jc w:val="center"/>
              <w:textAlignment w:val="baseline"/>
            </w:pPr>
            <w:r w:rsidRPr="005C4637">
              <w:t>2</w:t>
            </w:r>
          </w:p>
        </w:tc>
        <w:tc>
          <w:tcPr>
            <w:tcW w:w="9469" w:type="dxa"/>
          </w:tcPr>
          <w:p w14:paraId="76DC50B0" w14:textId="77777777" w:rsidR="003960D9" w:rsidRPr="005C4637" w:rsidRDefault="003960D9" w:rsidP="005560EF">
            <w:pPr>
              <w:tabs>
                <w:tab w:val="left" w:pos="720"/>
                <w:tab w:val="left" w:pos="864"/>
              </w:tabs>
              <w:spacing w:before="10" w:line="274" w:lineRule="exact"/>
              <w:textAlignment w:val="baseline"/>
            </w:pPr>
            <w:r w:rsidRPr="005C4637">
              <w:t>La preuve de la communication aux organisations syndicales des documents budgétaires et la certification que, si ces organisations en ont fait la demande, une réunion d'information sera tenue.</w:t>
            </w:r>
          </w:p>
        </w:tc>
      </w:tr>
      <w:tr w:rsidR="003960D9" w:rsidRPr="005C4637" w14:paraId="21C7B2B9" w14:textId="77777777" w:rsidTr="005560EF">
        <w:trPr>
          <w:jc w:val="center"/>
        </w:trPr>
        <w:tc>
          <w:tcPr>
            <w:tcW w:w="704" w:type="dxa"/>
          </w:tcPr>
          <w:p w14:paraId="7A23CCD3" w14:textId="77777777" w:rsidR="003960D9" w:rsidRPr="005C4637" w:rsidRDefault="003960D9" w:rsidP="005560EF">
            <w:pPr>
              <w:spacing w:after="240" w:line="273" w:lineRule="exact"/>
              <w:jc w:val="center"/>
              <w:textAlignment w:val="baseline"/>
            </w:pPr>
            <w:r w:rsidRPr="005C4637">
              <w:t>3</w:t>
            </w:r>
          </w:p>
        </w:tc>
        <w:tc>
          <w:tcPr>
            <w:tcW w:w="9469" w:type="dxa"/>
          </w:tcPr>
          <w:p w14:paraId="4A75BC5A" w14:textId="77777777" w:rsidR="003960D9" w:rsidRPr="005C4637" w:rsidRDefault="003960D9" w:rsidP="005560EF">
            <w:pPr>
              <w:tabs>
                <w:tab w:val="left" w:pos="720"/>
                <w:tab w:val="left" w:pos="864"/>
              </w:tabs>
              <w:spacing w:before="16" w:line="268" w:lineRule="exact"/>
              <w:textAlignment w:val="baseline"/>
            </w:pPr>
            <w:r w:rsidRPr="005C4637">
              <w:t>La copie de la page du budget du CPAS ou la délibération du comité de concertation portant sur les montants de la dotation communale.</w:t>
            </w:r>
          </w:p>
        </w:tc>
      </w:tr>
      <w:tr w:rsidR="003960D9" w:rsidRPr="005C4637" w14:paraId="231058FD" w14:textId="77777777" w:rsidTr="005560EF">
        <w:trPr>
          <w:jc w:val="center"/>
        </w:trPr>
        <w:tc>
          <w:tcPr>
            <w:tcW w:w="704" w:type="dxa"/>
          </w:tcPr>
          <w:p w14:paraId="0C0AD741" w14:textId="77777777" w:rsidR="003960D9" w:rsidRPr="005C4637" w:rsidRDefault="003960D9" w:rsidP="005560EF">
            <w:pPr>
              <w:spacing w:after="240" w:line="273" w:lineRule="exact"/>
              <w:jc w:val="center"/>
              <w:textAlignment w:val="baseline"/>
            </w:pPr>
            <w:r w:rsidRPr="005C4637">
              <w:t>5</w:t>
            </w:r>
          </w:p>
        </w:tc>
        <w:tc>
          <w:tcPr>
            <w:tcW w:w="9469" w:type="dxa"/>
          </w:tcPr>
          <w:p w14:paraId="16F07DA1" w14:textId="77777777" w:rsidR="003960D9" w:rsidRPr="005C4637" w:rsidRDefault="003960D9" w:rsidP="005560EF">
            <w:pPr>
              <w:tabs>
                <w:tab w:val="left" w:pos="720"/>
                <w:tab w:val="left" w:pos="864"/>
              </w:tabs>
              <w:spacing w:before="16" w:line="268" w:lineRule="exact"/>
              <w:textAlignment w:val="baseline"/>
            </w:pPr>
            <w:r w:rsidRPr="005C4637">
              <w:t>L’accusé de réception de l’envoi via l’application eComptes du fichier des prévisions pluriannuelles</w:t>
            </w:r>
          </w:p>
        </w:tc>
      </w:tr>
    </w:tbl>
    <w:p w14:paraId="4532B109" w14:textId="77777777" w:rsidR="003960D9" w:rsidRPr="005C4637" w:rsidRDefault="003960D9" w:rsidP="003960D9"/>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9368"/>
      </w:tblGrid>
      <w:tr w:rsidR="003960D9" w:rsidRPr="005C4637" w14:paraId="3A78195B" w14:textId="77777777" w:rsidTr="005560EF">
        <w:trPr>
          <w:trHeight w:val="704"/>
          <w:jc w:val="center"/>
        </w:trPr>
        <w:tc>
          <w:tcPr>
            <w:tcW w:w="10173" w:type="dxa"/>
            <w:gridSpan w:val="2"/>
            <w:shd w:val="clear" w:color="auto" w:fill="D9D9D9" w:themeFill="background1" w:themeFillShade="D9"/>
          </w:tcPr>
          <w:p w14:paraId="44BE78EA" w14:textId="77777777" w:rsidR="003960D9" w:rsidRPr="005C4637" w:rsidRDefault="003960D9" w:rsidP="005560EF">
            <w:pPr>
              <w:jc w:val="center"/>
              <w:rPr>
                <w:b/>
              </w:rPr>
            </w:pPr>
            <w:r w:rsidRPr="005C4637">
              <w:rPr>
                <w:b/>
              </w:rPr>
              <w:t>MODIFICATIONS BUDGETAIRES COMMUNALES</w:t>
            </w:r>
          </w:p>
          <w:p w14:paraId="5A319042" w14:textId="77777777" w:rsidR="003960D9" w:rsidRPr="005C4637" w:rsidRDefault="003960D9" w:rsidP="005560EF">
            <w:pPr>
              <w:jc w:val="center"/>
              <w:rPr>
                <w:b/>
              </w:rPr>
            </w:pPr>
            <w:r w:rsidRPr="005C4637">
              <w:rPr>
                <w:b/>
              </w:rPr>
              <w:lastRenderedPageBreak/>
              <w:t>LISTE DES PIÈCES JUSTIFICATIVES OBLIGATOIRES</w:t>
            </w:r>
          </w:p>
        </w:tc>
      </w:tr>
      <w:tr w:rsidR="003960D9" w:rsidRPr="005C4637" w14:paraId="707C07E8" w14:textId="77777777" w:rsidTr="005560EF">
        <w:trPr>
          <w:trHeight w:val="562"/>
          <w:jc w:val="center"/>
        </w:trPr>
        <w:tc>
          <w:tcPr>
            <w:tcW w:w="805" w:type="dxa"/>
          </w:tcPr>
          <w:p w14:paraId="2C7188AF" w14:textId="77777777" w:rsidR="003960D9" w:rsidRPr="005C4637" w:rsidRDefault="003960D9" w:rsidP="005560EF">
            <w:pPr>
              <w:spacing w:after="240" w:line="273" w:lineRule="exact"/>
              <w:jc w:val="center"/>
              <w:textAlignment w:val="baseline"/>
            </w:pPr>
            <w:r w:rsidRPr="005C4637">
              <w:lastRenderedPageBreak/>
              <w:t>1</w:t>
            </w:r>
          </w:p>
        </w:tc>
        <w:tc>
          <w:tcPr>
            <w:tcW w:w="9368" w:type="dxa"/>
            <w:vAlign w:val="center"/>
          </w:tcPr>
          <w:p w14:paraId="1A956623" w14:textId="77777777" w:rsidR="003960D9" w:rsidRPr="005C4637" w:rsidRDefault="003960D9" w:rsidP="005560EF">
            <w:pPr>
              <w:spacing w:after="240" w:line="273" w:lineRule="exact"/>
              <w:textAlignment w:val="baseline"/>
            </w:pPr>
            <w:r w:rsidRPr="005C4637">
              <w:t>La délibération in extenso du Conseil communal – Modèle disponible sur le portail des pouvoirs locaux et possibilité de génération automatisée dans le logiciel eComptes.</w:t>
            </w:r>
          </w:p>
        </w:tc>
      </w:tr>
      <w:tr w:rsidR="003960D9" w:rsidRPr="005C4637" w14:paraId="30D9A950" w14:textId="77777777" w:rsidTr="005560EF">
        <w:trPr>
          <w:trHeight w:val="333"/>
          <w:jc w:val="center"/>
        </w:trPr>
        <w:tc>
          <w:tcPr>
            <w:tcW w:w="805" w:type="dxa"/>
          </w:tcPr>
          <w:p w14:paraId="61483C26" w14:textId="77777777" w:rsidR="003960D9" w:rsidRPr="005C4637" w:rsidRDefault="003960D9" w:rsidP="005560EF">
            <w:pPr>
              <w:spacing w:after="240" w:line="273" w:lineRule="exact"/>
              <w:jc w:val="center"/>
              <w:textAlignment w:val="baseline"/>
            </w:pPr>
            <w:r w:rsidRPr="005C4637">
              <w:t>2</w:t>
            </w:r>
          </w:p>
        </w:tc>
        <w:tc>
          <w:tcPr>
            <w:tcW w:w="9368" w:type="dxa"/>
            <w:vAlign w:val="center"/>
          </w:tcPr>
          <w:p w14:paraId="2B387B29" w14:textId="77777777" w:rsidR="003960D9" w:rsidRPr="005C4637" w:rsidRDefault="003960D9" w:rsidP="005560EF">
            <w:pPr>
              <w:spacing w:after="240" w:line="273" w:lineRule="exact"/>
              <w:textAlignment w:val="baseline"/>
            </w:pPr>
            <w:r w:rsidRPr="005C4637">
              <w:t>Le fichier SIC généré par l’application eComptes.</w:t>
            </w:r>
          </w:p>
        </w:tc>
      </w:tr>
      <w:tr w:rsidR="003960D9" w:rsidRPr="005C4637" w14:paraId="19860450" w14:textId="77777777" w:rsidTr="005560EF">
        <w:trPr>
          <w:jc w:val="center"/>
        </w:trPr>
        <w:tc>
          <w:tcPr>
            <w:tcW w:w="805" w:type="dxa"/>
          </w:tcPr>
          <w:p w14:paraId="29413E9A" w14:textId="77777777" w:rsidR="003960D9" w:rsidRPr="005C4637" w:rsidRDefault="003960D9" w:rsidP="005560EF">
            <w:pPr>
              <w:spacing w:after="240" w:line="273" w:lineRule="exact"/>
              <w:jc w:val="center"/>
              <w:textAlignment w:val="baseline"/>
            </w:pPr>
            <w:r w:rsidRPr="005C4637">
              <w:t>3</w:t>
            </w:r>
          </w:p>
        </w:tc>
        <w:tc>
          <w:tcPr>
            <w:tcW w:w="9368" w:type="dxa"/>
            <w:vAlign w:val="center"/>
          </w:tcPr>
          <w:p w14:paraId="470B59EF" w14:textId="77777777" w:rsidR="003960D9" w:rsidRPr="005C4637" w:rsidRDefault="003960D9" w:rsidP="005560EF">
            <w:pPr>
              <w:spacing w:after="240" w:line="273" w:lineRule="exact"/>
              <w:textAlignment w:val="baseline"/>
            </w:pPr>
            <w:r w:rsidRPr="005C4637">
              <w:t>La version « Word » de la/des modification(s) budgétaire(s).</w:t>
            </w:r>
          </w:p>
        </w:tc>
      </w:tr>
      <w:tr w:rsidR="003960D9" w:rsidRPr="005C4637" w14:paraId="0321767F" w14:textId="77777777" w:rsidTr="005560EF">
        <w:trPr>
          <w:jc w:val="center"/>
        </w:trPr>
        <w:tc>
          <w:tcPr>
            <w:tcW w:w="805" w:type="dxa"/>
          </w:tcPr>
          <w:p w14:paraId="45602669" w14:textId="77777777" w:rsidR="003960D9" w:rsidRPr="005C4637" w:rsidRDefault="003960D9" w:rsidP="005560EF">
            <w:pPr>
              <w:spacing w:after="240" w:line="273" w:lineRule="exact"/>
              <w:jc w:val="center"/>
              <w:textAlignment w:val="baseline"/>
            </w:pPr>
            <w:r w:rsidRPr="005C4637">
              <w:t>4</w:t>
            </w:r>
          </w:p>
        </w:tc>
        <w:tc>
          <w:tcPr>
            <w:tcW w:w="9368" w:type="dxa"/>
            <w:vAlign w:val="center"/>
          </w:tcPr>
          <w:p w14:paraId="14AE7093" w14:textId="77777777" w:rsidR="003960D9" w:rsidRPr="005C4637" w:rsidRDefault="003960D9" w:rsidP="005560EF">
            <w:pPr>
              <w:spacing w:after="240" w:line="273" w:lineRule="exact"/>
              <w:textAlignment w:val="baseline"/>
            </w:pPr>
            <w:r w:rsidRPr="005C4637">
              <w:t xml:space="preserve">L’avis de la commission article 12 du Règlement général de la comptabilité communale – Modèle disponible sur le portail des pouvoirs locaux ou à générer au moyen de l’application eComptes. </w:t>
            </w:r>
          </w:p>
        </w:tc>
      </w:tr>
      <w:tr w:rsidR="003960D9" w:rsidRPr="005C4637" w14:paraId="23FBC06E" w14:textId="77777777" w:rsidTr="005560EF">
        <w:trPr>
          <w:jc w:val="center"/>
        </w:trPr>
        <w:tc>
          <w:tcPr>
            <w:tcW w:w="805" w:type="dxa"/>
          </w:tcPr>
          <w:p w14:paraId="35CB975E" w14:textId="77777777" w:rsidR="003960D9" w:rsidRPr="005C4637" w:rsidRDefault="003960D9" w:rsidP="005560EF">
            <w:pPr>
              <w:spacing w:after="240" w:line="273" w:lineRule="exact"/>
              <w:jc w:val="center"/>
              <w:textAlignment w:val="baseline"/>
            </w:pPr>
            <w:r w:rsidRPr="005C4637">
              <w:t>5</w:t>
            </w:r>
          </w:p>
        </w:tc>
        <w:tc>
          <w:tcPr>
            <w:tcW w:w="9368" w:type="dxa"/>
            <w:vAlign w:val="center"/>
          </w:tcPr>
          <w:p w14:paraId="5E7AB196" w14:textId="77777777" w:rsidR="003960D9" w:rsidRPr="005C4637" w:rsidRDefault="003960D9" w:rsidP="005560EF">
            <w:pPr>
              <w:spacing w:after="240" w:line="273" w:lineRule="exact"/>
              <w:textAlignment w:val="baseline"/>
            </w:pPr>
            <w:r w:rsidRPr="005C4637">
              <w:t>Le tableau – balance des recettes et des dépenses reprenant les derniers montants arrêtés ainsi que les modifications dans les présentes MB pour le service ordinaire et extraordinaire</w:t>
            </w:r>
            <w:r>
              <w:t>.</w:t>
            </w:r>
          </w:p>
        </w:tc>
      </w:tr>
      <w:tr w:rsidR="003960D9" w:rsidRPr="005C4637" w14:paraId="6DE6CE68" w14:textId="77777777" w:rsidTr="005560EF">
        <w:trPr>
          <w:jc w:val="center"/>
        </w:trPr>
        <w:tc>
          <w:tcPr>
            <w:tcW w:w="805" w:type="dxa"/>
          </w:tcPr>
          <w:p w14:paraId="0C11F5E2" w14:textId="77777777" w:rsidR="003960D9" w:rsidRPr="005C4637" w:rsidRDefault="003960D9" w:rsidP="005560EF">
            <w:pPr>
              <w:spacing w:after="240" w:line="273" w:lineRule="exact"/>
              <w:jc w:val="center"/>
              <w:textAlignment w:val="baseline"/>
            </w:pPr>
            <w:r w:rsidRPr="005C4637">
              <w:t>6</w:t>
            </w:r>
          </w:p>
        </w:tc>
        <w:tc>
          <w:tcPr>
            <w:tcW w:w="9368" w:type="dxa"/>
            <w:vAlign w:val="center"/>
          </w:tcPr>
          <w:p w14:paraId="2812A23D" w14:textId="77777777" w:rsidR="003960D9" w:rsidRPr="005C4637" w:rsidRDefault="003960D9" w:rsidP="005560EF">
            <w:pPr>
              <w:spacing w:after="240" w:line="273" w:lineRule="exact"/>
              <w:textAlignment w:val="baseline"/>
            </w:pPr>
            <w:r w:rsidRPr="005C4637">
              <w:t>Le tableau des voies et moyens issu du système informatique trié par numéros de projets ventilés par articles budgétaires, tableau intitulé : « tableau budgétaire récapitulatif des projets extraordinaires et leur voies et moyens » reprenant l’ensemble des projets extraordinaires mouvementés.</w:t>
            </w:r>
          </w:p>
        </w:tc>
      </w:tr>
      <w:tr w:rsidR="003960D9" w:rsidRPr="005C4637" w14:paraId="46D3CB3F" w14:textId="77777777" w:rsidTr="005560EF">
        <w:trPr>
          <w:jc w:val="center"/>
        </w:trPr>
        <w:tc>
          <w:tcPr>
            <w:tcW w:w="805" w:type="dxa"/>
          </w:tcPr>
          <w:p w14:paraId="4A895A3A" w14:textId="77777777" w:rsidR="003960D9" w:rsidRPr="005C4637" w:rsidRDefault="003960D9" w:rsidP="005560EF">
            <w:pPr>
              <w:spacing w:after="240" w:line="273" w:lineRule="exact"/>
              <w:jc w:val="center"/>
              <w:textAlignment w:val="baseline"/>
            </w:pPr>
            <w:r w:rsidRPr="005C4637">
              <w:t>7</w:t>
            </w:r>
          </w:p>
        </w:tc>
        <w:tc>
          <w:tcPr>
            <w:tcW w:w="9368" w:type="dxa"/>
            <w:vAlign w:val="center"/>
          </w:tcPr>
          <w:p w14:paraId="12573306" w14:textId="77777777" w:rsidR="003960D9" w:rsidRPr="005C4637" w:rsidRDefault="003960D9" w:rsidP="005560EF">
            <w:pPr>
              <w:spacing w:line="273" w:lineRule="exact"/>
              <w:textAlignment w:val="baseline"/>
            </w:pPr>
            <w:r w:rsidRPr="005C4637">
              <w:t>Les mouvements des réserves et provisions selon le modèle disponible sur le portail des pouvoirs locaux ou à générer au moyen de l’application eComptes.</w:t>
            </w:r>
          </w:p>
          <w:p w14:paraId="364D1963" w14:textId="77777777" w:rsidR="003960D9" w:rsidRPr="005C4637" w:rsidRDefault="003960D9" w:rsidP="005560EF">
            <w:pPr>
              <w:spacing w:line="273" w:lineRule="exact"/>
              <w:textAlignment w:val="baseline"/>
            </w:pPr>
            <w:r w:rsidRPr="005C4637">
              <w:t>Les provisions devant être ventilées en fonction de leur objet.</w:t>
            </w:r>
          </w:p>
        </w:tc>
      </w:tr>
      <w:tr w:rsidR="003960D9" w:rsidRPr="005C4637" w14:paraId="237DF510" w14:textId="77777777" w:rsidTr="005560EF">
        <w:trPr>
          <w:jc w:val="center"/>
        </w:trPr>
        <w:tc>
          <w:tcPr>
            <w:tcW w:w="805" w:type="dxa"/>
          </w:tcPr>
          <w:p w14:paraId="46291963" w14:textId="77777777" w:rsidR="003960D9" w:rsidRPr="005C4637" w:rsidRDefault="003960D9" w:rsidP="005560EF">
            <w:pPr>
              <w:spacing w:after="240" w:line="273" w:lineRule="exact"/>
              <w:jc w:val="center"/>
              <w:textAlignment w:val="baseline"/>
            </w:pPr>
            <w:r w:rsidRPr="005C4637">
              <w:t>8</w:t>
            </w:r>
          </w:p>
        </w:tc>
        <w:tc>
          <w:tcPr>
            <w:tcW w:w="9368" w:type="dxa"/>
            <w:vAlign w:val="center"/>
          </w:tcPr>
          <w:p w14:paraId="31BFBB37" w14:textId="77777777" w:rsidR="003960D9" w:rsidRPr="005C4637" w:rsidRDefault="003960D9" w:rsidP="005560EF">
            <w:pPr>
              <w:spacing w:after="240" w:line="273" w:lineRule="exact"/>
              <w:textAlignment w:val="baseline"/>
            </w:pPr>
            <w:r>
              <w:t>L’annexe relative au calcul des ratios de charge de dette et d’endettement - Modèle disponible sur le portail des pouvoirs locaux.</w:t>
            </w:r>
          </w:p>
        </w:tc>
      </w:tr>
      <w:tr w:rsidR="003960D9" w:rsidRPr="005C4637" w14:paraId="584EE9AB" w14:textId="77777777" w:rsidTr="005560EF">
        <w:trPr>
          <w:trHeight w:val="704"/>
          <w:jc w:val="center"/>
        </w:trPr>
        <w:tc>
          <w:tcPr>
            <w:tcW w:w="10173" w:type="dxa"/>
            <w:gridSpan w:val="2"/>
            <w:shd w:val="clear" w:color="auto" w:fill="D9D9D9" w:themeFill="background1" w:themeFillShade="D9"/>
          </w:tcPr>
          <w:p w14:paraId="322F369D" w14:textId="77777777" w:rsidR="003960D9" w:rsidRPr="005C4637" w:rsidRDefault="003960D9" w:rsidP="005560EF">
            <w:pPr>
              <w:spacing w:line="274" w:lineRule="exact"/>
              <w:textAlignment w:val="baseline"/>
              <w:rPr>
                <w:b/>
                <w:spacing w:val="7"/>
              </w:rPr>
            </w:pPr>
            <w:r w:rsidRPr="005C4637">
              <w:rPr>
                <w:b/>
                <w:spacing w:val="7"/>
              </w:rPr>
              <w:t xml:space="preserve">Si vous n'utilisez pas le modèle de délibération </w:t>
            </w:r>
            <w:r w:rsidRPr="005C4637">
              <w:rPr>
                <w:b/>
              </w:rPr>
              <w:t>in extenso du Conseil communal,</w:t>
            </w:r>
            <w:r w:rsidRPr="005C4637">
              <w:t xml:space="preserve"> </w:t>
            </w:r>
            <w:r w:rsidRPr="005C4637">
              <w:rPr>
                <w:b/>
                <w:spacing w:val="7"/>
              </w:rPr>
              <w:t>vous êtes tenus d'envoyer à la tutelle les pièces justificatives complémentaires suivantes :</w:t>
            </w:r>
          </w:p>
        </w:tc>
      </w:tr>
      <w:tr w:rsidR="003960D9" w:rsidRPr="005C4637" w14:paraId="341A8C98" w14:textId="77777777" w:rsidTr="005560EF">
        <w:trPr>
          <w:jc w:val="center"/>
        </w:trPr>
        <w:tc>
          <w:tcPr>
            <w:tcW w:w="805" w:type="dxa"/>
          </w:tcPr>
          <w:p w14:paraId="66672DA5" w14:textId="77777777" w:rsidR="003960D9" w:rsidRPr="005C4637" w:rsidRDefault="003960D9" w:rsidP="005560EF">
            <w:pPr>
              <w:spacing w:after="240" w:line="273" w:lineRule="exact"/>
              <w:jc w:val="center"/>
              <w:textAlignment w:val="baseline"/>
            </w:pPr>
            <w:r w:rsidRPr="005C4637">
              <w:t>1</w:t>
            </w:r>
          </w:p>
        </w:tc>
        <w:tc>
          <w:tcPr>
            <w:tcW w:w="9368" w:type="dxa"/>
            <w:vAlign w:val="center"/>
          </w:tcPr>
          <w:p w14:paraId="1F4EFBB2" w14:textId="77777777" w:rsidR="003960D9" w:rsidRPr="005C4637" w:rsidRDefault="003960D9" w:rsidP="005560EF">
            <w:pPr>
              <w:spacing w:after="240" w:line="273" w:lineRule="exact"/>
              <w:textAlignment w:val="baseline"/>
            </w:pPr>
            <w:r w:rsidRPr="005C4637">
              <w:t>L’avis de publication</w:t>
            </w:r>
            <w:r>
              <w:t>.</w:t>
            </w:r>
          </w:p>
        </w:tc>
      </w:tr>
      <w:tr w:rsidR="003960D9" w:rsidRPr="005C4637" w14:paraId="550F807C" w14:textId="77777777" w:rsidTr="005560EF">
        <w:trPr>
          <w:jc w:val="center"/>
        </w:trPr>
        <w:tc>
          <w:tcPr>
            <w:tcW w:w="805" w:type="dxa"/>
          </w:tcPr>
          <w:p w14:paraId="79906E25" w14:textId="77777777" w:rsidR="003960D9" w:rsidRPr="005C4637" w:rsidRDefault="003960D9" w:rsidP="005560EF">
            <w:pPr>
              <w:spacing w:after="240" w:line="273" w:lineRule="exact"/>
              <w:jc w:val="center"/>
              <w:textAlignment w:val="baseline"/>
            </w:pPr>
            <w:r w:rsidRPr="005C4637">
              <w:t>2</w:t>
            </w:r>
          </w:p>
        </w:tc>
        <w:tc>
          <w:tcPr>
            <w:tcW w:w="9368" w:type="dxa"/>
            <w:vAlign w:val="center"/>
          </w:tcPr>
          <w:p w14:paraId="34DE73DC" w14:textId="77777777" w:rsidR="003960D9" w:rsidRPr="005C4637" w:rsidRDefault="003960D9" w:rsidP="005560EF">
            <w:pPr>
              <w:tabs>
                <w:tab w:val="left" w:pos="720"/>
                <w:tab w:val="left" w:pos="864"/>
              </w:tabs>
              <w:spacing w:before="10" w:line="274" w:lineRule="exact"/>
              <w:textAlignment w:val="baseline"/>
            </w:pPr>
            <w:r w:rsidRPr="005C4637">
              <w:t>La preuve de la communication aux organisations syndicales des documents budgétaires et la certification que, si ces organisations en ont fait la demande, une réunion d'information aura lieu.</w:t>
            </w:r>
          </w:p>
        </w:tc>
      </w:tr>
      <w:tr w:rsidR="003960D9" w:rsidRPr="005C4637" w14:paraId="0EF70DB7" w14:textId="77777777" w:rsidTr="005560EF">
        <w:trPr>
          <w:jc w:val="center"/>
        </w:trPr>
        <w:tc>
          <w:tcPr>
            <w:tcW w:w="805" w:type="dxa"/>
          </w:tcPr>
          <w:p w14:paraId="4EC0EC6A" w14:textId="77777777" w:rsidR="003960D9" w:rsidRPr="005C4637" w:rsidRDefault="003960D9" w:rsidP="005560EF">
            <w:pPr>
              <w:spacing w:after="240" w:line="273" w:lineRule="exact"/>
              <w:jc w:val="center"/>
              <w:textAlignment w:val="baseline"/>
            </w:pPr>
            <w:r w:rsidRPr="005C4637">
              <w:t>3</w:t>
            </w:r>
          </w:p>
        </w:tc>
        <w:tc>
          <w:tcPr>
            <w:tcW w:w="9368" w:type="dxa"/>
            <w:vAlign w:val="center"/>
          </w:tcPr>
          <w:p w14:paraId="5A3A7067" w14:textId="77777777" w:rsidR="003960D9" w:rsidRPr="005C4637" w:rsidRDefault="003960D9" w:rsidP="005560EF">
            <w:pPr>
              <w:tabs>
                <w:tab w:val="left" w:pos="720"/>
                <w:tab w:val="left" w:pos="864"/>
              </w:tabs>
              <w:spacing w:before="16" w:line="268" w:lineRule="exact"/>
              <w:textAlignment w:val="baseline"/>
            </w:pPr>
            <w:r w:rsidRPr="005C4637">
              <w:t>La copie de la page du budget du CPAS ou la délibération du comité de concertation portant sur les montants de la dotation communale si celle-ci est modifiée</w:t>
            </w:r>
            <w:r>
              <w:t>.</w:t>
            </w:r>
          </w:p>
        </w:tc>
      </w:tr>
      <w:tr w:rsidR="003960D9" w:rsidRPr="005C4637" w14:paraId="2183313F" w14:textId="77777777" w:rsidTr="005560EF">
        <w:trPr>
          <w:jc w:val="center"/>
        </w:trPr>
        <w:tc>
          <w:tcPr>
            <w:tcW w:w="805" w:type="dxa"/>
          </w:tcPr>
          <w:p w14:paraId="36D5E758" w14:textId="77777777" w:rsidR="003960D9" w:rsidRPr="005C4637" w:rsidRDefault="003960D9" w:rsidP="005560EF">
            <w:pPr>
              <w:spacing w:after="240" w:line="273" w:lineRule="exact"/>
              <w:jc w:val="center"/>
              <w:textAlignment w:val="baseline"/>
            </w:pPr>
            <w:r w:rsidRPr="005C4637">
              <w:t>4</w:t>
            </w:r>
          </w:p>
        </w:tc>
        <w:tc>
          <w:tcPr>
            <w:tcW w:w="9368" w:type="dxa"/>
            <w:vAlign w:val="center"/>
          </w:tcPr>
          <w:p w14:paraId="4718E7D8" w14:textId="77777777" w:rsidR="003960D9" w:rsidRPr="005C4637" w:rsidRDefault="003960D9" w:rsidP="005560EF">
            <w:pPr>
              <w:tabs>
                <w:tab w:val="left" w:pos="720"/>
                <w:tab w:val="left" w:pos="864"/>
              </w:tabs>
              <w:spacing w:before="16" w:line="268" w:lineRule="exact"/>
              <w:textAlignment w:val="baseline"/>
            </w:pPr>
            <w:r w:rsidRPr="005C4637">
              <w:t>L’accusé de réception de l’envoi via l’application eComptes du fichier des prévisions pluriannuelles</w:t>
            </w:r>
            <w:r>
              <w:t>.</w:t>
            </w:r>
          </w:p>
        </w:tc>
      </w:tr>
    </w:tbl>
    <w:p w14:paraId="41050751" w14:textId="77777777" w:rsidR="003960D9" w:rsidRPr="005C4637" w:rsidRDefault="003960D9" w:rsidP="003960D9"/>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9368"/>
      </w:tblGrid>
      <w:tr w:rsidR="003960D9" w:rsidRPr="005C4637" w14:paraId="24E1E9DC" w14:textId="77777777" w:rsidTr="005560EF">
        <w:trPr>
          <w:jc w:val="center"/>
        </w:trPr>
        <w:tc>
          <w:tcPr>
            <w:tcW w:w="10173" w:type="dxa"/>
            <w:gridSpan w:val="2"/>
            <w:shd w:val="clear" w:color="auto" w:fill="D9D9D9" w:themeFill="background1" w:themeFillShade="D9"/>
          </w:tcPr>
          <w:p w14:paraId="78F68890" w14:textId="77777777" w:rsidR="003960D9" w:rsidRPr="005C4637" w:rsidRDefault="003960D9" w:rsidP="005560EF">
            <w:pPr>
              <w:jc w:val="center"/>
              <w:rPr>
                <w:b/>
              </w:rPr>
            </w:pPr>
            <w:r w:rsidRPr="005C4637">
              <w:rPr>
                <w:b/>
              </w:rPr>
              <w:t>UNIQUEMENT POUR LA MODIFICATION BUDGÉTAIRE COMMUNALE QUI INTRODUIT LES RÉSULTATS DES COMPTES ET UNIQUEMENT SI LES COMPTES N’ONT PAS</w:t>
            </w:r>
            <w:r w:rsidRPr="005C4637">
              <w:rPr>
                <w:b/>
                <w:caps/>
              </w:rPr>
              <w:t xml:space="preserve"> déjà été ou </w:t>
            </w:r>
            <w:r w:rsidRPr="005C4637">
              <w:rPr>
                <w:b/>
              </w:rPr>
              <w:t>NE SONT PAS PRESENTÉS EN MÊME TEMPS A LA TUTELLE - Liste des pièces justificatives obligatoires à fournir en plus</w:t>
            </w:r>
          </w:p>
        </w:tc>
      </w:tr>
      <w:tr w:rsidR="003960D9" w:rsidRPr="005C4637" w14:paraId="13FD1B79" w14:textId="77777777" w:rsidTr="005560EF">
        <w:trPr>
          <w:jc w:val="center"/>
        </w:trPr>
        <w:tc>
          <w:tcPr>
            <w:tcW w:w="805" w:type="dxa"/>
            <w:vAlign w:val="center"/>
          </w:tcPr>
          <w:p w14:paraId="09D565FB" w14:textId="77777777" w:rsidR="003960D9" w:rsidRPr="005C4637" w:rsidRDefault="003960D9" w:rsidP="005560EF">
            <w:pPr>
              <w:spacing w:after="240" w:line="273" w:lineRule="exact"/>
              <w:jc w:val="center"/>
              <w:textAlignment w:val="baseline"/>
            </w:pPr>
            <w:r w:rsidRPr="005C4637">
              <w:lastRenderedPageBreak/>
              <w:t>1</w:t>
            </w:r>
          </w:p>
        </w:tc>
        <w:tc>
          <w:tcPr>
            <w:tcW w:w="9368" w:type="dxa"/>
          </w:tcPr>
          <w:p w14:paraId="5AB6057B" w14:textId="77777777" w:rsidR="003960D9" w:rsidRPr="005C4637" w:rsidRDefault="003960D9" w:rsidP="005560EF">
            <w:pPr>
              <w:spacing w:after="240" w:line="273" w:lineRule="exact"/>
              <w:textAlignment w:val="baseline"/>
            </w:pPr>
            <w:r w:rsidRPr="005C4637">
              <w:t>Le tableau de synthèse du compte.</w:t>
            </w:r>
          </w:p>
        </w:tc>
      </w:tr>
      <w:tr w:rsidR="003960D9" w:rsidRPr="005C4637" w14:paraId="1D419091" w14:textId="77777777" w:rsidTr="005560EF">
        <w:trPr>
          <w:jc w:val="center"/>
        </w:trPr>
        <w:tc>
          <w:tcPr>
            <w:tcW w:w="805" w:type="dxa"/>
            <w:vAlign w:val="center"/>
          </w:tcPr>
          <w:p w14:paraId="7013B7FD" w14:textId="77777777" w:rsidR="003960D9" w:rsidRPr="005C4637" w:rsidRDefault="003960D9" w:rsidP="005560EF">
            <w:pPr>
              <w:spacing w:after="240" w:line="273" w:lineRule="exact"/>
              <w:jc w:val="center"/>
              <w:textAlignment w:val="baseline"/>
            </w:pPr>
            <w:r w:rsidRPr="005C4637">
              <w:t>2</w:t>
            </w:r>
          </w:p>
        </w:tc>
        <w:tc>
          <w:tcPr>
            <w:tcW w:w="9368" w:type="dxa"/>
          </w:tcPr>
          <w:p w14:paraId="3F86463E" w14:textId="77777777" w:rsidR="003960D9" w:rsidRPr="005C4637" w:rsidRDefault="003960D9" w:rsidP="005560EF">
            <w:pPr>
              <w:spacing w:after="240" w:line="273" w:lineRule="exact"/>
              <w:textAlignment w:val="baseline"/>
            </w:pPr>
            <w:r w:rsidRPr="005C4637">
              <w:t>La délibération du Conseil arrêtant ledit compte conforme au modèle disponible sur le portail des pouvoirs locaux sinon, joindre à la délibération la copie du bilan.</w:t>
            </w:r>
          </w:p>
        </w:tc>
      </w:tr>
      <w:tr w:rsidR="003960D9" w:rsidRPr="005C4637" w14:paraId="524D3AA0" w14:textId="77777777" w:rsidTr="005560EF">
        <w:trPr>
          <w:jc w:val="center"/>
        </w:trPr>
        <w:tc>
          <w:tcPr>
            <w:tcW w:w="805" w:type="dxa"/>
            <w:vAlign w:val="center"/>
          </w:tcPr>
          <w:p w14:paraId="7753CE8F" w14:textId="77777777" w:rsidR="003960D9" w:rsidRPr="005C4637" w:rsidRDefault="003960D9" w:rsidP="005560EF">
            <w:pPr>
              <w:spacing w:after="240" w:line="273" w:lineRule="exact"/>
              <w:jc w:val="center"/>
              <w:textAlignment w:val="baseline"/>
            </w:pPr>
            <w:r w:rsidRPr="005C4637">
              <w:t>3</w:t>
            </w:r>
          </w:p>
        </w:tc>
        <w:tc>
          <w:tcPr>
            <w:tcW w:w="9368" w:type="dxa"/>
          </w:tcPr>
          <w:p w14:paraId="65283384" w14:textId="77777777" w:rsidR="003960D9" w:rsidRPr="005C4637" w:rsidRDefault="003960D9" w:rsidP="005560EF">
            <w:pPr>
              <w:spacing w:after="240" w:line="273" w:lineRule="exact"/>
              <w:textAlignment w:val="baseline"/>
              <w:rPr>
                <w:strike/>
              </w:rPr>
            </w:pPr>
            <w:r w:rsidRPr="005C4637">
              <w:t>Le tableau des voies et moyens issu du système informatique trié par numéros de projets ventilés par articles budgétaires, tableau intitulé : « tableau budgétaire récapitulatif des projets extraordinaires et leur voies et moyens » (il s'agit ici de la même pièce que celle reprise au point 12 des comptes annuels dans la circulaire du 21 janvier 2019 sur les pièces justificatives).</w:t>
            </w:r>
          </w:p>
        </w:tc>
      </w:tr>
    </w:tbl>
    <w:p w14:paraId="77CEE6A3" w14:textId="77777777" w:rsidR="003960D9" w:rsidRPr="005C4637" w:rsidRDefault="003960D9" w:rsidP="003960D9"/>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9368"/>
      </w:tblGrid>
      <w:tr w:rsidR="003960D9" w:rsidRPr="005C4637" w14:paraId="0D276320" w14:textId="77777777" w:rsidTr="005560EF">
        <w:trPr>
          <w:trHeight w:val="770"/>
          <w:jc w:val="center"/>
        </w:trPr>
        <w:tc>
          <w:tcPr>
            <w:tcW w:w="10173" w:type="dxa"/>
            <w:gridSpan w:val="2"/>
            <w:shd w:val="clear" w:color="auto" w:fill="D9D9D9" w:themeFill="background1" w:themeFillShade="D9"/>
          </w:tcPr>
          <w:p w14:paraId="5772E53D" w14:textId="77777777" w:rsidR="003960D9" w:rsidRPr="005C4637" w:rsidRDefault="003960D9" w:rsidP="005560EF">
            <w:pPr>
              <w:jc w:val="center"/>
              <w:rPr>
                <w:b/>
              </w:rPr>
            </w:pPr>
            <w:r w:rsidRPr="005C4637">
              <w:rPr>
                <w:b/>
              </w:rPr>
              <w:t xml:space="preserve">BUDGET et MODIFICATIONS BUDGETAIRES DE </w:t>
            </w:r>
            <w:r w:rsidRPr="25479AE8">
              <w:rPr>
                <w:b/>
                <w:bCs/>
              </w:rPr>
              <w:t>RÉGIE</w:t>
            </w:r>
          </w:p>
          <w:p w14:paraId="6DD12FE5" w14:textId="77777777" w:rsidR="003960D9" w:rsidRPr="005C4637" w:rsidRDefault="003960D9" w:rsidP="005560EF">
            <w:pPr>
              <w:jc w:val="center"/>
              <w:rPr>
                <w:b/>
              </w:rPr>
            </w:pPr>
            <w:r w:rsidRPr="005C4637">
              <w:rPr>
                <w:b/>
              </w:rPr>
              <w:t>Listing des pièces justificatives obligatoires</w:t>
            </w:r>
          </w:p>
        </w:tc>
      </w:tr>
      <w:tr w:rsidR="003960D9" w:rsidRPr="005C4637" w14:paraId="7E1B99E7" w14:textId="77777777" w:rsidTr="005560EF">
        <w:trPr>
          <w:trHeight w:val="412"/>
          <w:jc w:val="center"/>
        </w:trPr>
        <w:tc>
          <w:tcPr>
            <w:tcW w:w="805" w:type="dxa"/>
            <w:vAlign w:val="center"/>
          </w:tcPr>
          <w:p w14:paraId="3B126AB6" w14:textId="77777777" w:rsidR="003960D9" w:rsidRPr="005C4637" w:rsidRDefault="003960D9" w:rsidP="005560EF">
            <w:pPr>
              <w:jc w:val="center"/>
            </w:pPr>
            <w:r w:rsidRPr="005C4637">
              <w:t>1</w:t>
            </w:r>
          </w:p>
        </w:tc>
        <w:tc>
          <w:tcPr>
            <w:tcW w:w="9368" w:type="dxa"/>
            <w:vAlign w:val="center"/>
          </w:tcPr>
          <w:p w14:paraId="4C94A8C6" w14:textId="77777777" w:rsidR="003960D9" w:rsidRPr="005C4637" w:rsidRDefault="003960D9" w:rsidP="005560EF">
            <w:r w:rsidRPr="005C4637">
              <w:t>La délibération in extenso du Conseil communal - Modèle sur le portail des pouvoirs locaux.</w:t>
            </w:r>
          </w:p>
        </w:tc>
      </w:tr>
      <w:tr w:rsidR="003960D9" w:rsidRPr="005C4637" w14:paraId="7F22A94B" w14:textId="77777777" w:rsidTr="005560EF">
        <w:trPr>
          <w:trHeight w:val="418"/>
          <w:jc w:val="center"/>
        </w:trPr>
        <w:tc>
          <w:tcPr>
            <w:tcW w:w="805" w:type="dxa"/>
            <w:vAlign w:val="center"/>
          </w:tcPr>
          <w:p w14:paraId="03EC3B4B" w14:textId="77777777" w:rsidR="003960D9" w:rsidRPr="005C4637" w:rsidRDefault="003960D9" w:rsidP="005560EF">
            <w:pPr>
              <w:jc w:val="center"/>
            </w:pPr>
            <w:r w:rsidRPr="005C4637">
              <w:t>2</w:t>
            </w:r>
          </w:p>
        </w:tc>
        <w:tc>
          <w:tcPr>
            <w:tcW w:w="9368" w:type="dxa"/>
            <w:vAlign w:val="center"/>
          </w:tcPr>
          <w:p w14:paraId="18AB4FD7" w14:textId="77777777" w:rsidR="003960D9" w:rsidRPr="005C4637" w:rsidRDefault="003960D9" w:rsidP="005560EF">
            <w:r w:rsidRPr="005C4637">
              <w:t>La version « Word » ou « Excel » du budget ou de la modification budgétaire.</w:t>
            </w:r>
          </w:p>
        </w:tc>
      </w:tr>
      <w:tr w:rsidR="003960D9" w:rsidRPr="005C4637" w14:paraId="66316973" w14:textId="77777777" w:rsidTr="005560EF">
        <w:trPr>
          <w:trHeight w:val="418"/>
          <w:jc w:val="center"/>
        </w:trPr>
        <w:tc>
          <w:tcPr>
            <w:tcW w:w="805" w:type="dxa"/>
            <w:vAlign w:val="center"/>
          </w:tcPr>
          <w:p w14:paraId="6FC5994E" w14:textId="77777777" w:rsidR="003960D9" w:rsidRPr="005C4637" w:rsidRDefault="003960D9" w:rsidP="005560EF">
            <w:pPr>
              <w:jc w:val="center"/>
            </w:pPr>
            <w:r w:rsidRPr="005C4637">
              <w:t>3</w:t>
            </w:r>
          </w:p>
        </w:tc>
        <w:tc>
          <w:tcPr>
            <w:tcW w:w="9368" w:type="dxa"/>
            <w:vAlign w:val="center"/>
          </w:tcPr>
          <w:p w14:paraId="0A97374E" w14:textId="77777777" w:rsidR="003960D9" w:rsidRPr="005C4637" w:rsidRDefault="003960D9" w:rsidP="005560EF">
            <w:r w:rsidRPr="005C4637">
              <w:t>Les états de recettes et dépenses (budget de trésorerie).</w:t>
            </w:r>
          </w:p>
        </w:tc>
      </w:tr>
      <w:tr w:rsidR="003960D9" w:rsidRPr="005C4637" w14:paraId="20FB1275" w14:textId="77777777" w:rsidTr="005560EF">
        <w:trPr>
          <w:trHeight w:val="411"/>
          <w:jc w:val="center"/>
        </w:trPr>
        <w:tc>
          <w:tcPr>
            <w:tcW w:w="805" w:type="dxa"/>
            <w:vAlign w:val="center"/>
          </w:tcPr>
          <w:p w14:paraId="10A750E0" w14:textId="77777777" w:rsidR="003960D9" w:rsidRPr="005C4637" w:rsidRDefault="003960D9" w:rsidP="005560EF">
            <w:pPr>
              <w:jc w:val="center"/>
            </w:pPr>
            <w:r w:rsidRPr="005C4637">
              <w:t>4</w:t>
            </w:r>
          </w:p>
        </w:tc>
        <w:tc>
          <w:tcPr>
            <w:tcW w:w="9368" w:type="dxa"/>
            <w:vAlign w:val="center"/>
          </w:tcPr>
          <w:p w14:paraId="7DD64AA8" w14:textId="77777777" w:rsidR="003960D9" w:rsidRPr="005C4637" w:rsidRDefault="003960D9" w:rsidP="005560EF">
            <w:r w:rsidRPr="005C4637">
              <w:t>Le tableau du personnel de la régie comprenant tous les éléments chiffrés de la rémunération.</w:t>
            </w:r>
          </w:p>
        </w:tc>
      </w:tr>
      <w:tr w:rsidR="003960D9" w:rsidRPr="005C4637" w14:paraId="67CDB445" w14:textId="77777777" w:rsidTr="005560EF">
        <w:trPr>
          <w:trHeight w:val="618"/>
          <w:jc w:val="center"/>
        </w:trPr>
        <w:tc>
          <w:tcPr>
            <w:tcW w:w="805" w:type="dxa"/>
            <w:vAlign w:val="center"/>
          </w:tcPr>
          <w:p w14:paraId="5AFFDD0E" w14:textId="77777777" w:rsidR="003960D9" w:rsidRPr="005C4637" w:rsidRDefault="003960D9" w:rsidP="005560EF">
            <w:pPr>
              <w:jc w:val="center"/>
            </w:pPr>
            <w:r w:rsidRPr="005C4637">
              <w:t>5</w:t>
            </w:r>
          </w:p>
        </w:tc>
        <w:tc>
          <w:tcPr>
            <w:tcW w:w="9368" w:type="dxa"/>
            <w:vAlign w:val="center"/>
          </w:tcPr>
          <w:p w14:paraId="24D05806" w14:textId="77777777" w:rsidR="003960D9" w:rsidRPr="005C4637" w:rsidRDefault="003960D9" w:rsidP="005560EF">
            <w:r w:rsidRPr="005C4637">
              <w:t>Le tableau des emprunts de la régie contractés et à contracter présenté par emprunt avec récapitulation.</w:t>
            </w:r>
          </w:p>
        </w:tc>
      </w:tr>
      <w:bookmarkEnd w:id="154"/>
    </w:tbl>
    <w:p w14:paraId="5989AFF4" w14:textId="77777777" w:rsidR="003960D9" w:rsidRPr="005C4637" w:rsidRDefault="003960D9" w:rsidP="003960D9">
      <w:pPr>
        <w:rPr>
          <w:rFonts w:ascii="Cambria" w:eastAsia="MS Mincho" w:hAnsi="Cambria" w:cs="Times New Roman"/>
        </w:rPr>
      </w:pPr>
    </w:p>
    <w:p w14:paraId="12300B45" w14:textId="77777777" w:rsidR="003960D9" w:rsidRPr="005C4637" w:rsidRDefault="003960D9">
      <w:pPr>
        <w:pStyle w:val="Titre3"/>
        <w:numPr>
          <w:ilvl w:val="0"/>
          <w:numId w:val="162"/>
        </w:numPr>
        <w:tabs>
          <w:tab w:val="num" w:pos="360"/>
        </w:tabs>
      </w:pPr>
      <w:bookmarkStart w:id="155" w:name="_Toc225504123"/>
      <w:bookmarkStart w:id="156" w:name="_Toc225772212"/>
      <w:bookmarkStart w:id="157" w:name="_Toc226445267"/>
      <w:bookmarkStart w:id="158" w:name="_Toc233626048"/>
      <w:r w:rsidRPr="005C4637">
        <w:t>Les documents budgétaires sont-ils exécutoires avant approbation ?</w:t>
      </w:r>
      <w:bookmarkEnd w:id="155"/>
      <w:bookmarkEnd w:id="156"/>
      <w:bookmarkEnd w:id="157"/>
      <w:bookmarkEnd w:id="158"/>
    </w:p>
    <w:p w14:paraId="582D118F" w14:textId="77777777" w:rsidR="003960D9" w:rsidRDefault="003960D9" w:rsidP="003960D9">
      <w:pPr>
        <w:rPr>
          <w:rFonts w:ascii="Cambria" w:eastAsia="MS Mincho" w:hAnsi="Cambria" w:cs="Times New Roman"/>
        </w:rPr>
      </w:pPr>
      <w:r w:rsidRPr="005C4637">
        <w:rPr>
          <w:rFonts w:ascii="Cambria" w:eastAsia="MS Mincho" w:hAnsi="Cambria" w:cs="Times New Roman"/>
        </w:rPr>
        <w:t>Non. Tant que l’approbation définitive n’est pas intervenue ou que le délai d’approbation n’est pas expiré, le budget n’est pas exécutoire et ne peut pas être mis à exécution.</w:t>
      </w:r>
    </w:p>
    <w:p w14:paraId="54077D54" w14:textId="77777777" w:rsidR="003960D9" w:rsidRPr="005C4637" w:rsidRDefault="003960D9" w:rsidP="003960D9">
      <w:pPr>
        <w:pStyle w:val="Titre3"/>
      </w:pPr>
      <w:bookmarkStart w:id="159" w:name="_Toc225504124"/>
      <w:bookmarkStart w:id="160" w:name="_Toc225772213"/>
      <w:bookmarkStart w:id="161" w:name="_Toc226445268"/>
      <w:bookmarkStart w:id="162" w:name="_Toc233626049"/>
      <w:r w:rsidRPr="005C4637">
        <w:t>Quelles annexes et pièces justificatives doivent accompagner le budget ?</w:t>
      </w:r>
      <w:bookmarkEnd w:id="159"/>
      <w:bookmarkEnd w:id="160"/>
      <w:bookmarkEnd w:id="161"/>
      <w:bookmarkEnd w:id="162"/>
    </w:p>
    <w:p w14:paraId="3E5FEC50" w14:textId="1F1EAD6E" w:rsidR="003960D9" w:rsidRPr="005C4637" w:rsidRDefault="003960D9" w:rsidP="003960D9">
      <w:pPr>
        <w:rPr>
          <w:rFonts w:ascii="Cambria" w:eastAsia="MS Mincho" w:hAnsi="Cambria" w:cs="Times New Roman"/>
        </w:rPr>
      </w:pPr>
      <w:r w:rsidRPr="5924BED2">
        <w:rPr>
          <w:rFonts w:ascii="Cambria" w:eastAsia="MS Mincho" w:hAnsi="Cambria" w:cs="Times New Roman"/>
        </w:rPr>
        <w:t xml:space="preserve">Les documents budgétaires doivent être accompagnés de toutes les pièces </w:t>
      </w:r>
      <w:r w:rsidR="00406C34" w:rsidRPr="5924BED2">
        <w:rPr>
          <w:rFonts w:ascii="Cambria" w:eastAsia="MS Mincho" w:hAnsi="Cambria" w:cs="Times New Roman"/>
        </w:rPr>
        <w:t>justificatives permettant</w:t>
      </w:r>
      <w:r w:rsidRPr="5924BED2">
        <w:rPr>
          <w:rFonts w:ascii="Cambria" w:eastAsia="MS Mincho" w:hAnsi="Cambria" w:cs="Times New Roman"/>
        </w:rPr>
        <w:t xml:space="preserve"> leur analyse complète préalable à l’approbation, et en particulier de la délibération in extenso du Conseil communal.</w:t>
      </w:r>
    </w:p>
    <w:p w14:paraId="00F98904"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Dans cette délibération, des mentions liées à la mise en œuvre du principe de confiance et des éléments chiffrés permettant la certification au regard des transmissions électroniques doivent apparaître.</w:t>
      </w:r>
    </w:p>
    <w:p w14:paraId="000A0AAA" w14:textId="77777777" w:rsidR="003960D9" w:rsidRPr="005C4637" w:rsidRDefault="003960D9" w:rsidP="003960D9">
      <w:pPr>
        <w:pStyle w:val="Titre3"/>
      </w:pPr>
      <w:bookmarkStart w:id="163" w:name="_Toc225504125"/>
      <w:bookmarkStart w:id="164" w:name="_Toc225772214"/>
      <w:bookmarkStart w:id="165" w:name="_Toc226445269"/>
      <w:bookmarkStart w:id="166" w:name="_Toc233626050"/>
      <w:r w:rsidRPr="005C4637">
        <w:t>Peut-on s’appuyer sur des modèles et sur l’application eComptes ?</w:t>
      </w:r>
      <w:bookmarkEnd w:id="163"/>
      <w:bookmarkEnd w:id="164"/>
      <w:bookmarkEnd w:id="165"/>
      <w:bookmarkEnd w:id="166"/>
    </w:p>
    <w:p w14:paraId="1C47D5AE"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Oui. Dans un objectif de simplification administrative et pour réduire le nombre de pièces à transmettre en tutelle, il est fortement recommandé d’utiliser les modèles de délibération disponibles sur le portail des pouvoirs locaux.</w:t>
      </w:r>
    </w:p>
    <w:p w14:paraId="0ADD42DA"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lastRenderedPageBreak/>
        <w:t>L’application eComptes permet de générer ces délibérations à partir de modèles tenus à jour, d’injecter automatiquement les chiffres dans le corps de la délibération et de gérer les présences.</w:t>
      </w:r>
    </w:p>
    <w:p w14:paraId="655A48E6" w14:textId="77777777" w:rsidR="003960D9" w:rsidRPr="005C4637" w:rsidRDefault="003960D9" w:rsidP="003960D9">
      <w:pPr>
        <w:pStyle w:val="Titre3"/>
      </w:pPr>
      <w:bookmarkStart w:id="167" w:name="_Toc225504126"/>
      <w:bookmarkStart w:id="168" w:name="_Toc225772215"/>
      <w:bookmarkStart w:id="169" w:name="_Toc226445270"/>
      <w:bookmarkStart w:id="170" w:name="_Toc233626051"/>
      <w:r w:rsidRPr="005C4637">
        <w:t>Quelles sont les règles de transmission aux conseillers communaux ?</w:t>
      </w:r>
      <w:bookmarkEnd w:id="167"/>
      <w:bookmarkEnd w:id="168"/>
      <w:bookmarkEnd w:id="169"/>
      <w:bookmarkEnd w:id="170"/>
    </w:p>
    <w:p w14:paraId="53AB7B61" w14:textId="77777777" w:rsidR="003960D9" w:rsidRPr="005C4637" w:rsidRDefault="003960D9" w:rsidP="003960D9">
      <w:pPr>
        <w:rPr>
          <w:rFonts w:ascii="Cambria" w:eastAsia="MS Mincho" w:hAnsi="Cambria" w:cs="Times New Roman"/>
        </w:rPr>
      </w:pPr>
      <w:r w:rsidRPr="5924BED2">
        <w:rPr>
          <w:rFonts w:ascii="Cambria" w:eastAsia="MS Mincho" w:hAnsi="Cambria" w:cs="Times New Roman"/>
        </w:rPr>
        <w:t xml:space="preserve">Les conseillers doivent être clairement informés de leur droit à recevoir l’ensemble des annexes. Les modalités concrètes de communication de ces annexes seront précisées aux conseillers au moment de l’envoi du budget. Ces annexes doivent impérativement être communiquées à l’autorité de tutelle. </w:t>
      </w:r>
    </w:p>
    <w:p w14:paraId="74A915E5" w14:textId="77777777" w:rsidR="003960D9" w:rsidRPr="005C4637" w:rsidRDefault="003960D9" w:rsidP="003960D9">
      <w:pPr>
        <w:rPr>
          <w:rFonts w:ascii="Cambria" w:eastAsia="MS Mincho" w:hAnsi="Cambria" w:cs="Times New Roman"/>
        </w:rPr>
      </w:pPr>
      <w:r w:rsidRPr="5924BED2">
        <w:rPr>
          <w:rFonts w:ascii="Cambria" w:eastAsia="MS Mincho" w:hAnsi="Cambria" w:cs="Times New Roman"/>
        </w:rPr>
        <w:t>Les documents budgétaires peuvent être envoyés électroniquement aux conseillers communaux.</w:t>
      </w:r>
    </w:p>
    <w:p w14:paraId="15B9F458" w14:textId="77777777" w:rsidR="003960D9" w:rsidRPr="005C4637" w:rsidRDefault="003960D9" w:rsidP="003960D9">
      <w:pPr>
        <w:pStyle w:val="Titre3"/>
      </w:pPr>
      <w:bookmarkStart w:id="171" w:name="_Toc225504127"/>
      <w:bookmarkStart w:id="172" w:name="_Toc225772216"/>
      <w:bookmarkStart w:id="173" w:name="_Toc226445271"/>
      <w:bookmarkStart w:id="174" w:name="_Toc233626052"/>
      <w:r w:rsidRPr="005C4637">
        <w:t>Que se passe-t-il en cas d’absence d’une ou plusieurs annexes ?</w:t>
      </w:r>
      <w:bookmarkEnd w:id="171"/>
      <w:bookmarkEnd w:id="172"/>
      <w:bookmarkEnd w:id="173"/>
      <w:bookmarkEnd w:id="174"/>
    </w:p>
    <w:p w14:paraId="19DF9B14"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L’absence d’une (ou plusieurs) annexes est susceptible d’empêcher le démarrage de l’exercice de la tutelle et d’allonger d’autant le délai d’approbation. Il est donc vivement recommandé de transmettre un dossier parfaitement complet à l’autorité de tutelle.</w:t>
      </w:r>
    </w:p>
    <w:p w14:paraId="324D1034" w14:textId="77777777" w:rsidR="003960D9" w:rsidRPr="005C4637" w:rsidRDefault="003960D9" w:rsidP="003960D9">
      <w:pPr>
        <w:pStyle w:val="Titre2"/>
      </w:pPr>
      <w:bookmarkStart w:id="175" w:name="_Toc225504128"/>
      <w:bookmarkStart w:id="176" w:name="_Toc225772217"/>
      <w:bookmarkStart w:id="177" w:name="_Toc226445272"/>
      <w:bookmarkStart w:id="178" w:name="_Toc233626053"/>
      <w:r w:rsidRPr="005C4637">
        <w:t>Crédits provisoires</w:t>
      </w:r>
      <w:bookmarkEnd w:id="175"/>
      <w:bookmarkEnd w:id="176"/>
      <w:bookmarkEnd w:id="177"/>
      <w:bookmarkEnd w:id="178"/>
    </w:p>
    <w:p w14:paraId="51736EBC" w14:textId="77777777" w:rsidR="003960D9" w:rsidRPr="005C4637" w:rsidRDefault="003960D9">
      <w:pPr>
        <w:pStyle w:val="Titre3"/>
        <w:numPr>
          <w:ilvl w:val="0"/>
          <w:numId w:val="180"/>
        </w:numPr>
      </w:pPr>
      <w:bookmarkStart w:id="179" w:name="_Toc225504129"/>
      <w:bookmarkStart w:id="180" w:name="_Toc225772218"/>
      <w:bookmarkStart w:id="181" w:name="_Toc226445273"/>
      <w:bookmarkStart w:id="182" w:name="_Toc233626054"/>
      <w:r w:rsidRPr="005C4637">
        <w:t>Qu’est-ce qu’un crédit provisoire et quelle est la base légale ?</w:t>
      </w:r>
      <w:bookmarkEnd w:id="179"/>
      <w:bookmarkEnd w:id="180"/>
      <w:bookmarkEnd w:id="181"/>
      <w:bookmarkEnd w:id="182"/>
    </w:p>
    <w:p w14:paraId="546C05F3"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Avant l’arrêt définitif du budget, il peut être pourvu par des crédits provisoires aux dépenses du service ordinaire pour lesquelles un crédit exécutoire était inscrit au budget de l’exercice précédent (RGCC, art. 14, §1).</w:t>
      </w:r>
    </w:p>
    <w:p w14:paraId="4F2D2B72" w14:textId="77777777" w:rsidR="003960D9" w:rsidRPr="005C4637" w:rsidRDefault="003960D9" w:rsidP="003960D9">
      <w:pPr>
        <w:pStyle w:val="Titre3"/>
      </w:pPr>
      <w:bookmarkStart w:id="183" w:name="_Toc225504130"/>
      <w:bookmarkStart w:id="184" w:name="_Toc225772219"/>
      <w:bookmarkStart w:id="185" w:name="_Toc226445274"/>
      <w:bookmarkStart w:id="186" w:name="_Toc233626055"/>
      <w:r>
        <w:t>Qui</w:t>
      </w:r>
      <w:r w:rsidRPr="005C4637">
        <w:t xml:space="preserve"> arrête les crédits provisoires si le budget n’est pas encore voté ?</w:t>
      </w:r>
      <w:bookmarkEnd w:id="183"/>
      <w:bookmarkEnd w:id="184"/>
      <w:bookmarkEnd w:id="185"/>
      <w:bookmarkEnd w:id="186"/>
    </w:p>
    <w:p w14:paraId="12E88B09" w14:textId="77777777" w:rsidR="003960D9" w:rsidRPr="005C4637" w:rsidRDefault="003960D9" w:rsidP="003960D9">
      <w:pPr>
        <w:rPr>
          <w:rFonts w:ascii="Cambria" w:eastAsia="MS Mincho" w:hAnsi="Cambria" w:cs="Times New Roman"/>
        </w:rPr>
      </w:pPr>
      <w:r w:rsidRPr="5924BED2">
        <w:rPr>
          <w:rFonts w:ascii="Cambria" w:eastAsia="MS Mincho" w:hAnsi="Cambria" w:cs="Times New Roman"/>
        </w:rPr>
        <w:t>Lorsque le budget n’est pas encore voté, les crédits provisoires sont arrêtés par le conseil communal (RGCC, art. 14, §1). Si le budget est voté, les crédits provisoires sont automatiques, il n’y a pas besoin de vote du conseil.</w:t>
      </w:r>
    </w:p>
    <w:p w14:paraId="7E2A8AD8" w14:textId="77777777" w:rsidR="003960D9" w:rsidRPr="005C4637" w:rsidRDefault="003960D9" w:rsidP="003960D9">
      <w:pPr>
        <w:pStyle w:val="Titre3"/>
      </w:pPr>
      <w:bookmarkStart w:id="187" w:name="_Toc225504131"/>
      <w:bookmarkStart w:id="188" w:name="_Toc225772220"/>
      <w:bookmarkStart w:id="189" w:name="_Toc226445275"/>
      <w:bookmarkStart w:id="190" w:name="_Toc233626056"/>
      <w:r w:rsidRPr="005C4637">
        <w:t>Quel est le plafond mensuel autorisé ?</w:t>
      </w:r>
      <w:bookmarkEnd w:id="187"/>
      <w:bookmarkEnd w:id="188"/>
      <w:bookmarkEnd w:id="189"/>
      <w:bookmarkEnd w:id="190"/>
    </w:p>
    <w:p w14:paraId="411D719C"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Les crédits provisoires ne peuvent excéder, par mois écoulé ou commencé, le douzième : (1) du crédit budgétaire de l’exercice précédent lorsque le budget de l’exercice n’est pas encore voté ; (2) du crédit budgétaire de l’exercice en cours lorsque le budget de l’exercice est déjà voté (RGCC, art. 14, §2).</w:t>
      </w:r>
    </w:p>
    <w:p w14:paraId="219C524E" w14:textId="77777777" w:rsidR="003960D9" w:rsidRPr="005C4637" w:rsidRDefault="003960D9" w:rsidP="003960D9">
      <w:pPr>
        <w:pStyle w:val="Titre3"/>
      </w:pPr>
      <w:bookmarkStart w:id="191" w:name="_Toc225504132"/>
      <w:bookmarkStart w:id="192" w:name="_Toc225772221"/>
      <w:bookmarkStart w:id="193" w:name="_Toc226445276"/>
      <w:bookmarkStart w:id="194" w:name="_Toc233626057"/>
      <w:r w:rsidRPr="005C4637">
        <w:t>Quelles dépenses échappent à la limite d’un douzième ?</w:t>
      </w:r>
      <w:bookmarkEnd w:id="191"/>
      <w:bookmarkEnd w:id="192"/>
      <w:bookmarkEnd w:id="193"/>
      <w:bookmarkEnd w:id="194"/>
    </w:p>
    <w:p w14:paraId="050E2BA5" w14:textId="77777777" w:rsidR="003960D9" w:rsidRPr="005C4637" w:rsidRDefault="003960D9" w:rsidP="003960D9">
      <w:pPr>
        <w:rPr>
          <w:rFonts w:ascii="Cambria" w:eastAsia="MS Mincho" w:hAnsi="Cambria" w:cs="Times New Roman"/>
        </w:rPr>
      </w:pPr>
      <w:r w:rsidRPr="5924BED2">
        <w:rPr>
          <w:rFonts w:ascii="Cambria" w:eastAsia="MS Mincho" w:hAnsi="Cambria" w:cs="Times New Roman"/>
        </w:rPr>
        <w:t>Sont exclues de la restriction (1) : la rémunération du personnel, le paiement des primes d’assurances, des taxes et toute dépense strictement indispensable à la bonne marche du service public. Dans ce dernier cas, l’engagement n’est possible que via une délibération motivée du Collège, ratifiée à la plus proche séance du Conseil communal (RGCC, art. 14, §2, 1°).</w:t>
      </w:r>
    </w:p>
    <w:p w14:paraId="0BACF9FD"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L’appréciation du caractère ‘strictement indispensable’ relève du Collège communal ; si le Conseil estime que la dépense ne l’est pas, il peut refuser la ratification et le Collège resterait responsable de la dépense (au moins pour la partie excédant le douzième autorisé).</w:t>
      </w:r>
    </w:p>
    <w:p w14:paraId="05FF165C" w14:textId="77777777" w:rsidR="003960D9" w:rsidRPr="005C4637" w:rsidRDefault="003960D9" w:rsidP="003960D9">
      <w:pPr>
        <w:pStyle w:val="Titre3"/>
      </w:pPr>
      <w:bookmarkStart w:id="195" w:name="_Toc225504133"/>
      <w:bookmarkStart w:id="196" w:name="_Toc225772222"/>
      <w:bookmarkStart w:id="197" w:name="_Toc226445277"/>
      <w:bookmarkStart w:id="198" w:name="_Toc233626058"/>
      <w:r w:rsidRPr="005C4637">
        <w:lastRenderedPageBreak/>
        <w:t>Les douzièmes provisoires portent-ils sur toutes les dépenses ?</w:t>
      </w:r>
      <w:bookmarkEnd w:id="195"/>
      <w:bookmarkEnd w:id="196"/>
      <w:bookmarkEnd w:id="197"/>
      <w:bookmarkEnd w:id="198"/>
    </w:p>
    <w:p w14:paraId="26098AC9"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Non. Les douzièmes provisoires ne concernent que les dépenses ordinaires. En l’absence d’un budget voté et approuvé, les dépenses extraordinaires sont interdites.</w:t>
      </w:r>
    </w:p>
    <w:p w14:paraId="571DFFCF" w14:textId="77777777" w:rsidR="003960D9" w:rsidRPr="005C4637" w:rsidRDefault="003960D9" w:rsidP="003960D9">
      <w:pPr>
        <w:pStyle w:val="Titre3"/>
      </w:pPr>
      <w:bookmarkStart w:id="199" w:name="_Toc225504134"/>
      <w:bookmarkStart w:id="200" w:name="_Toc225772223"/>
      <w:bookmarkStart w:id="201" w:name="_Toc226445278"/>
      <w:bookmarkStart w:id="202" w:name="_Toc233626059"/>
      <w:r w:rsidRPr="005C4637">
        <w:t>Peut-on voter plusieurs douzièmes en une seule délibération ?</w:t>
      </w:r>
      <w:bookmarkEnd w:id="199"/>
      <w:bookmarkEnd w:id="200"/>
      <w:bookmarkEnd w:id="201"/>
      <w:bookmarkEnd w:id="202"/>
    </w:p>
    <w:p w14:paraId="34EB8A48"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Oui. Le Conseil communal peut voter plusieurs douzièmes provisoires en une seule délibération. Il doit toutefois estimer de manière raisonnable le moment où le budget sera voté.</w:t>
      </w:r>
    </w:p>
    <w:p w14:paraId="4B24BD14" w14:textId="77777777" w:rsidR="003960D9" w:rsidRPr="005C4637" w:rsidRDefault="003960D9" w:rsidP="003960D9">
      <w:pPr>
        <w:pStyle w:val="Titre3"/>
      </w:pPr>
      <w:bookmarkStart w:id="203" w:name="_Toc225504135"/>
      <w:bookmarkStart w:id="204" w:name="_Toc225772224"/>
      <w:bookmarkStart w:id="205" w:name="_Toc226445279"/>
      <w:bookmarkStart w:id="206" w:name="_Toc233626060"/>
      <w:r w:rsidRPr="005C4637">
        <w:t>Les délibérations relatives aux douzièmes provisoires sont-elles soumises à une tutelle particulière ?</w:t>
      </w:r>
      <w:bookmarkEnd w:id="203"/>
      <w:bookmarkEnd w:id="204"/>
      <w:bookmarkEnd w:id="205"/>
      <w:bookmarkEnd w:id="206"/>
    </w:p>
    <w:p w14:paraId="31531F8F" w14:textId="5A573D7A" w:rsidR="00D03927" w:rsidRPr="00D03927" w:rsidRDefault="003960D9" w:rsidP="00C015D9">
      <w:r w:rsidRPr="00D03927">
        <w:t>Non. Elles relèvent de la tutelle générale, sans obligation de transmission</w:t>
      </w:r>
      <w:bookmarkStart w:id="207" w:name="_Toc225504136"/>
      <w:bookmarkStart w:id="208" w:name="_Toc225772225"/>
      <w:bookmarkStart w:id="209" w:name="_Toc226445280"/>
      <w:r w:rsidR="00D03927">
        <w:t>.</w:t>
      </w:r>
    </w:p>
    <w:p w14:paraId="5B7688B2" w14:textId="414C9093" w:rsidR="003960D9" w:rsidRPr="005C4637" w:rsidRDefault="003960D9" w:rsidP="003960D9">
      <w:pPr>
        <w:pStyle w:val="Titre3"/>
      </w:pPr>
      <w:bookmarkStart w:id="210" w:name="_Toc233626061"/>
      <w:r w:rsidRPr="005C4637">
        <w:t>Existe-t-il un modèle de délibération ?</w:t>
      </w:r>
      <w:bookmarkEnd w:id="207"/>
      <w:bookmarkEnd w:id="208"/>
      <w:bookmarkEnd w:id="209"/>
      <w:bookmarkEnd w:id="210"/>
    </w:p>
    <w:p w14:paraId="6D670C19"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Oui. Un modèle de délibération est disponible sur le portail des pouvoirs locaux ; il peut également être généré via l’application eComptes.</w:t>
      </w:r>
    </w:p>
    <w:p w14:paraId="25480974" w14:textId="77777777" w:rsidR="003960D9" w:rsidRPr="005C4637" w:rsidRDefault="003960D9" w:rsidP="003960D9">
      <w:pPr>
        <w:pStyle w:val="Titre2"/>
      </w:pPr>
      <w:bookmarkStart w:id="211" w:name="_Toc225504137"/>
      <w:bookmarkStart w:id="212" w:name="_Toc225772226"/>
      <w:bookmarkStart w:id="213" w:name="_Toc226445281"/>
      <w:bookmarkStart w:id="214" w:name="_Toc233626062"/>
      <w:bookmarkStart w:id="215" w:name="_Toc143778972"/>
      <w:bookmarkStart w:id="216" w:name="_Toc208321514"/>
      <w:bookmarkStart w:id="217" w:name="_Toc208419896"/>
      <w:r w:rsidRPr="005C4637">
        <w:t>Report du résultat du compte</w:t>
      </w:r>
      <w:bookmarkEnd w:id="211"/>
      <w:bookmarkEnd w:id="212"/>
      <w:bookmarkEnd w:id="213"/>
      <w:bookmarkEnd w:id="214"/>
    </w:p>
    <w:bookmarkEnd w:id="215"/>
    <w:bookmarkEnd w:id="216"/>
    <w:bookmarkEnd w:id="217"/>
    <w:p w14:paraId="579F700B" w14:textId="77777777" w:rsidR="003960D9" w:rsidRPr="005C4637" w:rsidRDefault="003960D9" w:rsidP="003960D9">
      <w:r>
        <w:t>Voir article 10 du RGCC.</w:t>
      </w:r>
    </w:p>
    <w:p w14:paraId="1A9A4C16" w14:textId="77777777" w:rsidR="003960D9" w:rsidRDefault="003960D9" w:rsidP="003960D9">
      <w:pPr>
        <w:pStyle w:val="Titre2"/>
      </w:pPr>
      <w:bookmarkStart w:id="218" w:name="_Toc225504138"/>
      <w:bookmarkStart w:id="219" w:name="_Toc225772227"/>
      <w:bookmarkStart w:id="220" w:name="_Toc226445282"/>
      <w:bookmarkStart w:id="221" w:name="_Toc233626063"/>
      <w:r>
        <w:t>Modifications budgétaires</w:t>
      </w:r>
      <w:bookmarkEnd w:id="218"/>
      <w:bookmarkEnd w:id="219"/>
      <w:bookmarkEnd w:id="220"/>
      <w:bookmarkEnd w:id="221"/>
    </w:p>
    <w:p w14:paraId="2C65A5A9" w14:textId="77777777" w:rsidR="003960D9" w:rsidRDefault="003960D9" w:rsidP="003960D9">
      <w:r>
        <w:t>Voir article 15 du RGCC.</w:t>
      </w:r>
    </w:p>
    <w:p w14:paraId="2153773A" w14:textId="4A785E32" w:rsidR="003960D9" w:rsidRDefault="003960D9" w:rsidP="0083158E">
      <w:pPr>
        <w:pStyle w:val="Titre3"/>
        <w:numPr>
          <w:ilvl w:val="0"/>
          <w:numId w:val="0"/>
        </w:numPr>
        <w:ind w:left="786" w:hanging="360"/>
      </w:pPr>
      <w:bookmarkStart w:id="222" w:name="_Toc225504139"/>
      <w:bookmarkStart w:id="223" w:name="_Toc225772228"/>
      <w:bookmarkStart w:id="224" w:name="_Toc226445283"/>
      <w:bookmarkStart w:id="225" w:name="_Toc233626064"/>
      <w:r>
        <w:t>Quelles sont les règles applicables aux modifications budgétaires ?</w:t>
      </w:r>
      <w:bookmarkEnd w:id="222"/>
      <w:bookmarkEnd w:id="223"/>
      <w:bookmarkEnd w:id="224"/>
      <w:bookmarkEnd w:id="225"/>
    </w:p>
    <w:p w14:paraId="706E26C1" w14:textId="77777777" w:rsidR="0083158E" w:rsidRPr="0083158E" w:rsidRDefault="0083158E" w:rsidP="0083158E"/>
    <w:p w14:paraId="1A11A086" w14:textId="77777777" w:rsidR="003960D9" w:rsidRDefault="003960D9" w:rsidP="003960D9">
      <w:pPr>
        <w:rPr>
          <w:rFonts w:ascii="Cambria" w:eastAsia="MS Mincho" w:hAnsi="Cambria" w:cs="Times New Roman"/>
        </w:rPr>
      </w:pPr>
      <w:r>
        <w:t>Les modifications budgétaires :</w:t>
      </w:r>
    </w:p>
    <w:p w14:paraId="2F7C8E60" w14:textId="1A034607" w:rsidR="003960D9" w:rsidRPr="0083158E" w:rsidRDefault="003960D9">
      <w:pPr>
        <w:pStyle w:val="Paragraphedeliste"/>
        <w:numPr>
          <w:ilvl w:val="0"/>
          <w:numId w:val="135"/>
        </w:numPr>
        <w:rPr>
          <w:rFonts w:ascii="Cambria" w:eastAsia="MS Mincho" w:hAnsi="Cambria"/>
        </w:rPr>
      </w:pPr>
      <w:r w:rsidRPr="5924BED2">
        <w:rPr>
          <w:rFonts w:ascii="Cambria" w:eastAsia="MS Mincho" w:hAnsi="Cambria" w:cs="Times New Roman"/>
        </w:rPr>
        <w:t>Sont s</w:t>
      </w:r>
      <w:r w:rsidRPr="005560EF">
        <w:rPr>
          <w:rFonts w:ascii="Cambria" w:eastAsia="MS Mincho" w:hAnsi="Cambria" w:cs="Times New Roman"/>
        </w:rPr>
        <w:t>oumises aux mêmes procédures que celles applicables au budget, y compris les règles de tutelle;</w:t>
      </w:r>
    </w:p>
    <w:p w14:paraId="586ECBF8" w14:textId="0F0C2222" w:rsidR="003960D9" w:rsidRDefault="003960D9">
      <w:pPr>
        <w:pStyle w:val="Paragraphedeliste"/>
        <w:numPr>
          <w:ilvl w:val="0"/>
          <w:numId w:val="135"/>
        </w:numPr>
        <w:rPr>
          <w:rFonts w:ascii="Cambria" w:eastAsia="MS Mincho" w:hAnsi="Cambria" w:cs="Times New Roman"/>
        </w:rPr>
      </w:pPr>
      <w:r w:rsidRPr="5924BED2">
        <w:rPr>
          <w:rFonts w:ascii="Cambria" w:eastAsia="MS Mincho" w:hAnsi="Cambria" w:cs="Times New Roman"/>
        </w:rPr>
        <w:t xml:space="preserve">Sont votées idéalement après le 1er mars de l’exercice, sauf si elles sont justifiées par des événements </w:t>
      </w:r>
      <w:r w:rsidR="0083158E" w:rsidRPr="5924BED2">
        <w:rPr>
          <w:rFonts w:ascii="Cambria" w:eastAsia="MS Mincho" w:hAnsi="Cambria" w:cs="Times New Roman"/>
        </w:rPr>
        <w:t>particuliers ;</w:t>
      </w:r>
    </w:p>
    <w:p w14:paraId="2D93D3CB" w14:textId="77777777" w:rsidR="003960D9" w:rsidRDefault="003960D9">
      <w:pPr>
        <w:pStyle w:val="Paragraphedeliste"/>
        <w:numPr>
          <w:ilvl w:val="0"/>
          <w:numId w:val="135"/>
        </w:numPr>
        <w:rPr>
          <w:rFonts w:ascii="Cambria" w:eastAsia="MS Mincho" w:hAnsi="Cambria" w:cs="Times New Roman"/>
        </w:rPr>
      </w:pPr>
      <w:r w:rsidRPr="66F5B241">
        <w:rPr>
          <w:rFonts w:ascii="Cambria" w:eastAsia="MS Mincho" w:hAnsi="Cambria" w:cs="Times New Roman"/>
        </w:rPr>
        <w:t>Sont transmises à l’autorité de tutelle impérativement avant le 15 novembre, sauf si elles sont indispensables au bon fonctionnement de la commune et qu’il n’a pas été possible d’en tenir compte dans le budget avant cette date. Dans ce cas, il convient de prendre contact avec l’administration.</w:t>
      </w:r>
    </w:p>
    <w:p w14:paraId="1B30DF66" w14:textId="424E1773" w:rsidR="003960D9" w:rsidRDefault="003960D9">
      <w:pPr>
        <w:pStyle w:val="Paragraphedeliste"/>
        <w:numPr>
          <w:ilvl w:val="0"/>
          <w:numId w:val="135"/>
        </w:numPr>
        <w:rPr>
          <w:rFonts w:ascii="Cambria" w:eastAsia="MS Mincho" w:hAnsi="Cambria" w:cs="Times New Roman"/>
        </w:rPr>
      </w:pPr>
      <w:r w:rsidRPr="5924BED2">
        <w:rPr>
          <w:rFonts w:ascii="Cambria" w:eastAsia="MS Mincho" w:hAnsi="Cambria" w:cs="Times New Roman"/>
        </w:rPr>
        <w:t xml:space="preserve">Seront non-approuvées si elles sont transmises à l’autorité de tutelle après le 31 décembre de </w:t>
      </w:r>
      <w:r w:rsidR="00CC130A" w:rsidRPr="5924BED2">
        <w:rPr>
          <w:rFonts w:ascii="Cambria" w:eastAsia="MS Mincho" w:hAnsi="Cambria" w:cs="Times New Roman"/>
        </w:rPr>
        <w:t>l’exercice ;</w:t>
      </w:r>
    </w:p>
    <w:p w14:paraId="3CF71EED" w14:textId="594C133F" w:rsidR="003960D9" w:rsidRDefault="003960D9">
      <w:pPr>
        <w:pStyle w:val="Paragraphedeliste"/>
        <w:numPr>
          <w:ilvl w:val="0"/>
          <w:numId w:val="135"/>
        </w:numPr>
        <w:rPr>
          <w:rFonts w:ascii="Cambria" w:eastAsia="MS Mincho" w:hAnsi="Cambria" w:cs="Times New Roman"/>
        </w:rPr>
      </w:pPr>
      <w:r w:rsidRPr="5924BED2">
        <w:rPr>
          <w:rFonts w:ascii="Cambria" w:eastAsia="MS Mincho" w:hAnsi="Cambria" w:cs="Times New Roman"/>
        </w:rPr>
        <w:t xml:space="preserve">Sont votées uniquement quand les précédentes modifications budgétaires ont été approuvées, sauf en cas de motivation expressément et dûment </w:t>
      </w:r>
      <w:r w:rsidR="00CC130A" w:rsidRPr="5924BED2">
        <w:rPr>
          <w:rFonts w:ascii="Cambria" w:eastAsia="MS Mincho" w:hAnsi="Cambria" w:cs="Times New Roman"/>
        </w:rPr>
        <w:t>justifiée ;</w:t>
      </w:r>
    </w:p>
    <w:p w14:paraId="6F6A3FE3" w14:textId="77777777" w:rsidR="003960D9" w:rsidRPr="005560EF" w:rsidRDefault="003960D9">
      <w:pPr>
        <w:pStyle w:val="Paragraphedeliste"/>
        <w:numPr>
          <w:ilvl w:val="0"/>
          <w:numId w:val="135"/>
        </w:numPr>
        <w:rPr>
          <w:rFonts w:ascii="Cambria" w:eastAsia="MS Mincho" w:hAnsi="Cambria" w:cs="Times New Roman"/>
        </w:rPr>
      </w:pPr>
      <w:r w:rsidRPr="5924BED2">
        <w:rPr>
          <w:rFonts w:ascii="Cambria" w:eastAsia="MS Mincho" w:hAnsi="Cambria" w:cs="Times New Roman"/>
        </w:rPr>
        <w:t>Intègrent les résultats tels que approuvés ou réformés par l’autorité de tutelle dans les précédents documents budgétaires.</w:t>
      </w:r>
    </w:p>
    <w:p w14:paraId="5A21E6D7" w14:textId="77777777" w:rsidR="003960D9" w:rsidRDefault="003960D9" w:rsidP="003960D9">
      <w:pPr>
        <w:pStyle w:val="3"/>
        <w:numPr>
          <w:ilvl w:val="0"/>
          <w:numId w:val="0"/>
        </w:numPr>
        <w:ind w:left="927" w:hanging="360"/>
      </w:pPr>
    </w:p>
    <w:p w14:paraId="61A1BE37" w14:textId="77777777" w:rsidR="003960D9" w:rsidRPr="005C4637" w:rsidRDefault="003960D9" w:rsidP="003960D9">
      <w:pPr>
        <w:pStyle w:val="Titre2"/>
      </w:pPr>
      <w:bookmarkStart w:id="226" w:name="_Toc225504140"/>
      <w:bookmarkStart w:id="227" w:name="_Toc225772229"/>
      <w:bookmarkStart w:id="228" w:name="_Toc226445284"/>
      <w:bookmarkStart w:id="229" w:name="_Toc233626065"/>
      <w:r w:rsidRPr="005C4637">
        <w:t>Engagements des dépenses</w:t>
      </w:r>
      <w:bookmarkEnd w:id="226"/>
      <w:bookmarkEnd w:id="227"/>
      <w:bookmarkEnd w:id="228"/>
      <w:bookmarkEnd w:id="229"/>
      <w:r w:rsidRPr="005C4637">
        <w:t xml:space="preserve"> </w:t>
      </w:r>
    </w:p>
    <w:p w14:paraId="150B2457" w14:textId="77777777" w:rsidR="003960D9" w:rsidRPr="005C4637" w:rsidRDefault="003960D9">
      <w:pPr>
        <w:pStyle w:val="Titre3"/>
        <w:numPr>
          <w:ilvl w:val="0"/>
          <w:numId w:val="181"/>
        </w:numPr>
      </w:pPr>
      <w:bookmarkStart w:id="230" w:name="_Toc225504141"/>
      <w:bookmarkStart w:id="231" w:name="_Toc225772230"/>
      <w:bookmarkStart w:id="232" w:name="_Toc226445285"/>
      <w:bookmarkStart w:id="233" w:name="_Toc233626066"/>
      <w:r>
        <w:t>Que peut-on imputer aux exercices antérieurs ?</w:t>
      </w:r>
      <w:bookmarkEnd w:id="230"/>
      <w:bookmarkEnd w:id="231"/>
      <w:bookmarkEnd w:id="232"/>
      <w:bookmarkEnd w:id="233"/>
    </w:p>
    <w:p w14:paraId="677DE7B5" w14:textId="77777777" w:rsidR="003960D9" w:rsidRPr="005C4637" w:rsidRDefault="003960D9" w:rsidP="003960D9">
      <w:pPr>
        <w:rPr>
          <w:rFonts w:ascii="Cambria" w:eastAsia="MS Mincho" w:hAnsi="Cambria" w:cs="Times New Roman"/>
        </w:rPr>
      </w:pPr>
      <w:r w:rsidRPr="66F5B241">
        <w:rPr>
          <w:rFonts w:ascii="Cambria" w:eastAsia="MS Mincho" w:hAnsi="Cambria" w:cs="Times New Roman"/>
        </w:rPr>
        <w:t>Les modifications budgétaires doivent éviter tout recours abusif aux exercices antérieurs. Seules peuvent y figurer des sommes correspondant à des dépassements de crédits approuvés sur la base du budget précédent, et non des crédits nouveaux.</w:t>
      </w:r>
    </w:p>
    <w:p w14:paraId="642EFD3E" w14:textId="77777777" w:rsidR="003960D9" w:rsidRPr="005C4637" w:rsidRDefault="003960D9" w:rsidP="003960D9">
      <w:pPr>
        <w:pStyle w:val="Titre3"/>
      </w:pPr>
      <w:bookmarkStart w:id="234" w:name="_Toc225504142"/>
      <w:bookmarkStart w:id="235" w:name="_Toc225772231"/>
      <w:bookmarkStart w:id="236" w:name="_Toc226445286"/>
      <w:bookmarkStart w:id="237" w:name="_Toc233626067"/>
      <w:r w:rsidRPr="005C4637">
        <w:t>Peut-on engager un crédit avant son approbation ?</w:t>
      </w:r>
      <w:bookmarkEnd w:id="234"/>
      <w:bookmarkEnd w:id="235"/>
      <w:bookmarkEnd w:id="236"/>
      <w:bookmarkEnd w:id="237"/>
    </w:p>
    <w:p w14:paraId="79B62257"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Non. Il est illégal et formellement interdit d’engager des crédits avant leur approbation formelle (ou implicite par expiration du délai de tutelle). Tout crédit non approuvé au 31 décembre de l’exercice est inexécutoire.</w:t>
      </w:r>
    </w:p>
    <w:p w14:paraId="5B50563F" w14:textId="77777777" w:rsidR="003960D9" w:rsidRPr="005C4637" w:rsidRDefault="003960D9" w:rsidP="003960D9">
      <w:pPr>
        <w:pStyle w:val="Titre3"/>
      </w:pPr>
      <w:bookmarkStart w:id="238" w:name="_Toc225504143"/>
      <w:bookmarkStart w:id="239" w:name="_Toc225772232"/>
      <w:bookmarkStart w:id="240" w:name="_Toc226445287"/>
      <w:bookmarkStart w:id="241" w:name="_Toc233626068"/>
      <w:r w:rsidRPr="005C4637">
        <w:t>Comment traiter les factures reçues après le 31 décembre ?</w:t>
      </w:r>
      <w:bookmarkEnd w:id="238"/>
      <w:bookmarkEnd w:id="239"/>
      <w:bookmarkEnd w:id="240"/>
      <w:bookmarkEnd w:id="241"/>
    </w:p>
    <w:p w14:paraId="3409856E" w14:textId="77777777" w:rsidR="003960D9" w:rsidRPr="005C4637" w:rsidRDefault="003960D9" w:rsidP="003960D9">
      <w:pPr>
        <w:rPr>
          <w:rFonts w:ascii="Cambria" w:eastAsia="MS Mincho" w:hAnsi="Cambria" w:cs="Times New Roman"/>
        </w:rPr>
      </w:pPr>
      <w:r w:rsidRPr="5924BED2">
        <w:rPr>
          <w:rFonts w:ascii="Cambria" w:eastAsia="MS Mincho" w:hAnsi="Cambria" w:cs="Times New Roman"/>
        </w:rPr>
        <w:t>Par tolérance destinée à simplifier les reports et éviter des retards de paiement, les factures relatives à des engagements réalisés avant le 31 décembre mais reçues après cette date peuvent être imputées, ordonnancées et mandatées sur l’exercice précédent. Le directeur financier peut ainsi payer sans attendre l’arrêt (31 janvier) des crédits reportés.</w:t>
      </w:r>
    </w:p>
    <w:p w14:paraId="6C509EEE" w14:textId="77777777" w:rsidR="003960D9" w:rsidRPr="005C4637" w:rsidRDefault="003960D9" w:rsidP="003960D9">
      <w:pPr>
        <w:pStyle w:val="Titre3"/>
      </w:pPr>
      <w:bookmarkStart w:id="242" w:name="_Toc225504144"/>
      <w:bookmarkStart w:id="243" w:name="_Toc225772233"/>
      <w:bookmarkStart w:id="244" w:name="_Toc226445288"/>
      <w:bookmarkStart w:id="245" w:name="_Toc233626069"/>
      <w:r w:rsidRPr="005C4637">
        <w:t>Quand le directeur financier peut-il payer des engagements reportés ?</w:t>
      </w:r>
      <w:bookmarkEnd w:id="242"/>
      <w:bookmarkEnd w:id="243"/>
      <w:bookmarkEnd w:id="244"/>
      <w:bookmarkEnd w:id="245"/>
    </w:p>
    <w:p w14:paraId="6BEE05B9"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Dès que le Collège communal a arrêté la liste des engagements à reporter, le directeur financier dispose des crédits nécessaires et peut procéder au paiement sans attendre la clôture du compte.</w:t>
      </w:r>
    </w:p>
    <w:p w14:paraId="255E6E63" w14:textId="77777777" w:rsidR="003960D9" w:rsidRPr="005C4637" w:rsidRDefault="003960D9" w:rsidP="003960D9">
      <w:pPr>
        <w:pStyle w:val="Titre3"/>
      </w:pPr>
      <w:bookmarkStart w:id="246" w:name="_Toc225504145"/>
      <w:bookmarkStart w:id="247" w:name="_Toc225772234"/>
      <w:bookmarkStart w:id="248" w:name="_Toc226445289"/>
      <w:bookmarkStart w:id="249" w:name="_Toc233626070"/>
      <w:r w:rsidRPr="005C4637">
        <w:t>À quelle date enregistrer l’engagement d’un marché public (service extraordinaire) ?</w:t>
      </w:r>
      <w:bookmarkEnd w:id="246"/>
      <w:bookmarkEnd w:id="247"/>
      <w:bookmarkEnd w:id="248"/>
      <w:bookmarkEnd w:id="249"/>
    </w:p>
    <w:p w14:paraId="32BDA043"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Par défaut, à la date d’attribution du marché par le Collège communal. En cas de délégation (articles L1222-3, §3 et L1222-4, §2, CDLD) au directeur général, au directeur général adjoint ou à un fonctionnaire (à l’exclusion du directeur financier), l’engagement est enregistré à la date d’attribution par le délégataire.</w:t>
      </w:r>
    </w:p>
    <w:p w14:paraId="2FB9EB14"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Si la commune retient la date de notification (pratique licite au regard de l’art. 53 du RGCC), elle doit pouvoir prouver que la notification est intervenue avant le 31/12 de l’exercice. Le choix de l’attribution comme référence garantit une ‘date certaine’ (délibération d’attribution).</w:t>
      </w:r>
    </w:p>
    <w:p w14:paraId="0A7C35B6" w14:textId="77777777" w:rsidR="003960D9" w:rsidRPr="005C4637" w:rsidRDefault="003960D9" w:rsidP="003960D9">
      <w:pPr>
        <w:pStyle w:val="Titre3"/>
      </w:pPr>
      <w:bookmarkStart w:id="250" w:name="_Toc225504146"/>
      <w:bookmarkStart w:id="251" w:name="_Toc225772235"/>
      <w:bookmarkStart w:id="252" w:name="_Toc226445290"/>
      <w:bookmarkStart w:id="253" w:name="_Toc233626071"/>
      <w:r w:rsidRPr="005C4637">
        <w:t>Peut-on engager dès le vote du budget N des dépenses extraordinaires réinscrites de N-1 ?</w:t>
      </w:r>
      <w:bookmarkEnd w:id="250"/>
      <w:bookmarkEnd w:id="251"/>
      <w:bookmarkEnd w:id="252"/>
      <w:bookmarkEnd w:id="253"/>
    </w:p>
    <w:p w14:paraId="5A25399E"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Oui, à titre de tolérance : si des dépenses extraordinaires prévues au budget N-1, approuvées par la tutelle mais non engagées, ont été réinscrites au budget de l’année N, elles peuvent être engagées dès le vote du budget N, avant l’approbation formelle de tutelle, pour autant que le budget N soit équilibré quant à son résultat global.</w:t>
      </w:r>
    </w:p>
    <w:p w14:paraId="61204C92" w14:textId="77777777" w:rsidR="003960D9" w:rsidRPr="005C4637" w:rsidRDefault="003960D9" w:rsidP="003960D9">
      <w:pPr>
        <w:pStyle w:val="Titre3"/>
      </w:pPr>
      <w:bookmarkStart w:id="254" w:name="_Toc225504147"/>
      <w:bookmarkStart w:id="255" w:name="_Toc225772236"/>
      <w:bookmarkStart w:id="256" w:name="_Toc226445291"/>
      <w:bookmarkStart w:id="257" w:name="_Toc233626072"/>
      <w:r w:rsidRPr="005C4637">
        <w:lastRenderedPageBreak/>
        <w:t>Quelles règles pour les dépenses justifiées par simple facture acceptée (art. 56 RGCC) ?</w:t>
      </w:r>
      <w:bookmarkEnd w:id="254"/>
      <w:bookmarkEnd w:id="255"/>
      <w:bookmarkEnd w:id="256"/>
      <w:bookmarkEnd w:id="257"/>
    </w:p>
    <w:p w14:paraId="2F2665A4"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Conformément à l’article 56 du RGCC : la commande est passée au moyen d’un bon de commande acté dans la comptabilité budgétaire et visé par le Collège communal ; le créancier adresse une facture (en double exemplaire) accompagnée du bon de commande au Collège communal.</w:t>
      </w:r>
    </w:p>
    <w:p w14:paraId="6F160DEE"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Pour concilier cet article avec la pratique, le Collège peut déléguer expressément (décision formelle) à un fonctionnaire — pas un mandataire — le visa du bon de commande (pour les dépenses ‘simple facture acceptée’) et son envoi au fournisseur avant l’accord formel du Collège (qui reste indispensable, mais non nécessairement préalable).</w:t>
      </w:r>
    </w:p>
    <w:p w14:paraId="3C215CFF"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 xml:space="preserve">Dans tous les cas, il faut : </w:t>
      </w:r>
    </w:p>
    <w:p w14:paraId="66F96E16"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 xml:space="preserve">(1) vérifier l’existence d’un crédit budgétaire approuvé suffisant, et </w:t>
      </w:r>
    </w:p>
    <w:p w14:paraId="0A013ED4"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 xml:space="preserve">(2) respecter les règles de marchés publics (consultation de trois fournisseurs potentiels lorsque requis, concurrence, etc.). Cette tolérance s’articule avec les décrets des 6/10/2022 et 28/03/2024 modifiant le CDLD (simplification des marchés publics et du fonctionnement des organes), ainsi que les règles </w:t>
      </w:r>
      <w:r>
        <w:rPr>
          <w:rFonts w:ascii="Cambria" w:eastAsia="MS Mincho" w:hAnsi="Cambria" w:cs="Times New Roman"/>
        </w:rPr>
        <w:t>du</w:t>
      </w:r>
      <w:r w:rsidRPr="005C4637">
        <w:rPr>
          <w:rFonts w:ascii="Cambria" w:eastAsia="MS Mincho" w:hAnsi="Cambria" w:cs="Times New Roman"/>
        </w:rPr>
        <w:t xml:space="preserve"> décret</w:t>
      </w:r>
      <w:r w:rsidRPr="5672CD6E">
        <w:rPr>
          <w:rFonts w:ascii="Cambria" w:eastAsia="MS Mincho" w:hAnsi="Cambria" w:cs="Times New Roman"/>
        </w:rPr>
        <w:t>-</w:t>
      </w:r>
      <w:r w:rsidRPr="005C4637">
        <w:rPr>
          <w:rFonts w:ascii="Cambria" w:eastAsia="MS Mincho" w:hAnsi="Cambria" w:cs="Times New Roman"/>
        </w:rPr>
        <w:t>programme</w:t>
      </w:r>
      <w:r>
        <w:rPr>
          <w:rFonts w:ascii="Cambria" w:eastAsia="MS Mincho" w:hAnsi="Cambria" w:cs="Times New Roman"/>
        </w:rPr>
        <w:t xml:space="preserve"> du 26 mars 2026.</w:t>
      </w:r>
      <w:r>
        <w:rPr>
          <w:rStyle w:val="Appelnotedebasdep"/>
          <w:rFonts w:ascii="Cambria" w:eastAsia="MS Mincho" w:hAnsi="Cambria" w:cs="Times New Roman"/>
        </w:rPr>
        <w:footnoteReference w:id="2"/>
      </w:r>
    </w:p>
    <w:p w14:paraId="6CD3EFA7"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Précisions : ces dispositions ne s’appliquent pas aux zones de police pluricommunales et aux zones de secours. Par ailleurs, la tolérance relative au visa préalable du bon de commande ne modifie pas le régime des dépenses relevant du budget extraordinaire.</w:t>
      </w:r>
    </w:p>
    <w:p w14:paraId="199DD30E" w14:textId="77777777" w:rsidR="003960D9" w:rsidRPr="005C4637" w:rsidRDefault="003960D9" w:rsidP="003960D9">
      <w:pPr>
        <w:pStyle w:val="Titre2"/>
      </w:pPr>
      <w:bookmarkStart w:id="258" w:name="_Toc225504149"/>
      <w:bookmarkStart w:id="259" w:name="_Toc225772238"/>
      <w:bookmarkStart w:id="260" w:name="_Toc226445293"/>
      <w:bookmarkStart w:id="261" w:name="_Toc233626073"/>
      <w:r w:rsidRPr="005C4637">
        <w:t>Précompte immobilier : enrôlement &amp; prévision</w:t>
      </w:r>
      <w:bookmarkEnd w:id="258"/>
      <w:bookmarkEnd w:id="259"/>
      <w:bookmarkEnd w:id="260"/>
      <w:bookmarkEnd w:id="261"/>
    </w:p>
    <w:p w14:paraId="56B67D73" w14:textId="77777777" w:rsidR="003960D9" w:rsidRPr="005C4637" w:rsidRDefault="003960D9" w:rsidP="003960D9">
      <w:pPr>
        <w:pStyle w:val="Titre3"/>
        <w:numPr>
          <w:ilvl w:val="0"/>
          <w:numId w:val="0"/>
        </w:numPr>
        <w:ind w:left="426"/>
      </w:pPr>
      <w:bookmarkStart w:id="262" w:name="_Toc225504150"/>
      <w:bookmarkStart w:id="263" w:name="_Toc225772239"/>
      <w:bookmarkStart w:id="264" w:name="_Toc226445294"/>
      <w:bookmarkStart w:id="265" w:name="_Toc233626074"/>
      <w:r w:rsidRPr="005C4637">
        <w:t>L’enrôlement</w:t>
      </w:r>
      <w:bookmarkEnd w:id="262"/>
      <w:bookmarkEnd w:id="263"/>
      <w:bookmarkEnd w:id="264"/>
      <w:bookmarkEnd w:id="265"/>
    </w:p>
    <w:p w14:paraId="31F79BEA" w14:textId="77777777" w:rsidR="003960D9" w:rsidRPr="005C4637" w:rsidRDefault="003960D9">
      <w:pPr>
        <w:pStyle w:val="Titre4"/>
        <w:numPr>
          <w:ilvl w:val="0"/>
          <w:numId w:val="173"/>
        </w:numPr>
        <w:tabs>
          <w:tab w:val="num" w:pos="360"/>
        </w:tabs>
        <w:ind w:left="0" w:firstLine="0"/>
      </w:pPr>
      <w:r w:rsidRPr="005C4637">
        <w:t>Quel est le rythme d’enrôlement et le taux de perception ?</w:t>
      </w:r>
    </w:p>
    <w:p w14:paraId="03253282"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Le précompte immobilier fait l’objet d’un enrôlement particulièrement efficace, avec un taux de perception avoisinant 99 % après recouvrement. En 2025, la dernière vague d’enrôlement intervient début octobre ; avec le délai légal de paiement de deux mois, l’ensemble de la recette de l’exercice est enrôlé dans l’année et la majeure partie versée aux communes avant le 31 décembre 2025.</w:t>
      </w:r>
    </w:p>
    <w:p w14:paraId="450F582E" w14:textId="77777777" w:rsidR="003960D9" w:rsidRPr="005C4637" w:rsidRDefault="003960D9">
      <w:pPr>
        <w:pStyle w:val="Titre4"/>
        <w:numPr>
          <w:ilvl w:val="0"/>
          <w:numId w:val="173"/>
        </w:numPr>
        <w:tabs>
          <w:tab w:val="num" w:pos="360"/>
        </w:tabs>
        <w:ind w:left="0" w:firstLine="0"/>
      </w:pPr>
      <w:r w:rsidRPr="005C4637">
        <w:t>Pourquoi subsiste-t-il un solde non versé au 31 décembre ?</w:t>
      </w:r>
    </w:p>
    <w:p w14:paraId="78B6A3F8"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Le solde résiduel dépend de facteurs extérieurs (délais de paiement, irrégularités dans la documentation patrimoniale fédérale, réductions/exonérations a posteriori) et est versé ultérieurement, parfois étalé sur plusieurs exercices.</w:t>
      </w:r>
    </w:p>
    <w:p w14:paraId="11BD47F9" w14:textId="77777777" w:rsidR="003960D9" w:rsidRPr="005C4637" w:rsidRDefault="003960D9">
      <w:pPr>
        <w:pStyle w:val="Titre4"/>
        <w:numPr>
          <w:ilvl w:val="0"/>
          <w:numId w:val="173"/>
        </w:numPr>
        <w:tabs>
          <w:tab w:val="num" w:pos="360"/>
        </w:tabs>
        <w:ind w:left="0" w:firstLine="0"/>
      </w:pPr>
      <w:r w:rsidRPr="005C4637">
        <w:t>Faut-il inscrire ce solde aux exercices antérieurs ?</w:t>
      </w:r>
    </w:p>
    <w:p w14:paraId="257EDE12"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Non, au regard du rythme d’enrôlement et de la perception de l’impôt régional, l’inscription du solde non perçu aux exercices antérieurs n’est plus justifiée.</w:t>
      </w:r>
    </w:p>
    <w:p w14:paraId="0F1A1E60" w14:textId="77777777" w:rsidR="003960D9" w:rsidRPr="005C4637" w:rsidRDefault="003960D9">
      <w:pPr>
        <w:pStyle w:val="Titre4"/>
        <w:numPr>
          <w:ilvl w:val="0"/>
          <w:numId w:val="173"/>
        </w:numPr>
        <w:tabs>
          <w:tab w:val="num" w:pos="360"/>
        </w:tabs>
        <w:ind w:left="0" w:firstLine="0"/>
      </w:pPr>
      <w:r w:rsidRPr="005C4637">
        <w:lastRenderedPageBreak/>
        <w:t>Existe-t-il des exceptions ?</w:t>
      </w:r>
    </w:p>
    <w:p w14:paraId="780C0770" w14:textId="77777777" w:rsidR="003960D9" w:rsidRPr="005C4637" w:rsidRDefault="003960D9" w:rsidP="003960D9">
      <w:pPr>
        <w:rPr>
          <w:rFonts w:ascii="Cambria" w:eastAsia="MS Mincho" w:hAnsi="Cambria" w:cs="Times New Roman"/>
        </w:rPr>
      </w:pPr>
      <w:r w:rsidRPr="66F5B241">
        <w:rPr>
          <w:rFonts w:ascii="Cambria" w:eastAsia="MS Mincho" w:hAnsi="Cambria" w:cs="Times New Roman"/>
        </w:rPr>
        <w:t>Oui : en cas de circonstances exceptionnelles affectant le calendrier d’enrôlement (p. ex. inondations 2021, crise sanitaire), cette pratique peut être réintroduite temporairement et de manière encadrée.</w:t>
      </w:r>
    </w:p>
    <w:p w14:paraId="0086473B" w14:textId="77777777" w:rsidR="003960D9" w:rsidRPr="005C4637" w:rsidRDefault="003960D9" w:rsidP="003960D9">
      <w:pPr>
        <w:pStyle w:val="Titre2"/>
      </w:pPr>
      <w:bookmarkStart w:id="266" w:name="_Toc225504151"/>
      <w:bookmarkStart w:id="267" w:name="_Toc225772240"/>
      <w:bookmarkStart w:id="268" w:name="_Toc226445295"/>
      <w:bookmarkStart w:id="269" w:name="_Toc233626075"/>
      <w:r w:rsidRPr="005C4637">
        <w:t>La prévision budgétaire</w:t>
      </w:r>
      <w:r>
        <w:t xml:space="preserve"> PI</w:t>
      </w:r>
      <w:bookmarkEnd w:id="266"/>
      <w:bookmarkEnd w:id="267"/>
      <w:bookmarkEnd w:id="268"/>
      <w:bookmarkEnd w:id="269"/>
    </w:p>
    <w:p w14:paraId="3A675982" w14:textId="0ED0AA71" w:rsidR="003960D9" w:rsidRPr="00CD1A8C" w:rsidRDefault="003960D9">
      <w:pPr>
        <w:pStyle w:val="Titre3"/>
        <w:numPr>
          <w:ilvl w:val="0"/>
          <w:numId w:val="182"/>
        </w:numPr>
      </w:pPr>
      <w:bookmarkStart w:id="270" w:name="_Toc233626076"/>
      <w:r w:rsidRPr="00CD1A8C">
        <w:t>Sur quoi repose le modèle de prévision transmis par l’administration ?</w:t>
      </w:r>
      <w:bookmarkEnd w:id="270"/>
    </w:p>
    <w:p w14:paraId="29E1971D"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Le modèle s’appuie sur l’expérience 2021–2024 et sur des données désormais disponibles en temps réel : la Région dispose au centime près de la situation du PRI pour chaque commune et province.</w:t>
      </w:r>
    </w:p>
    <w:p w14:paraId="4E6EEC08" w14:textId="57AC4E3F" w:rsidR="003960D9" w:rsidRPr="00CD1A8C" w:rsidRDefault="003960D9">
      <w:pPr>
        <w:pStyle w:val="Titre3"/>
        <w:numPr>
          <w:ilvl w:val="0"/>
          <w:numId w:val="182"/>
        </w:numPr>
      </w:pPr>
      <w:bookmarkStart w:id="271" w:name="_Toc233626077"/>
      <w:r w:rsidRPr="00CD1A8C">
        <w:t>Comment est calculé le taux moyen de perception ?</w:t>
      </w:r>
      <w:bookmarkEnd w:id="271"/>
    </w:p>
    <w:p w14:paraId="1061C71A"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Formule : taux = montants apurés / (montants établis – montants dégrevés), calculé sur les trois derniers exercices d’imposition, puis réduit de manière prudentielle de 2 points de base.</w:t>
      </w:r>
    </w:p>
    <w:p w14:paraId="121FDBE8" w14:textId="77777777" w:rsidR="003960D9" w:rsidRPr="005C4637" w:rsidRDefault="003960D9" w:rsidP="00CD1A8C">
      <w:pPr>
        <w:pStyle w:val="Titre3"/>
      </w:pPr>
      <w:bookmarkStart w:id="272" w:name="_Toc233626078"/>
      <w:r w:rsidRPr="005C4637">
        <w:t>Quand une inscription budgétaire supérieure peut-elle être autorisée ?</w:t>
      </w:r>
      <w:bookmarkEnd w:id="272"/>
    </w:p>
    <w:p w14:paraId="6B44143E"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Lorsqu’une commune justifie clairement, de façon cohérente et documentée, une hausse attendue (nouveaux quartiers résidentiels ou commerciaux, expertise cadastrale ciblée, etc.). À titre d’exemple, si la prévision transmise est inférieure aux droits constatés du dernier compte, une analyse conjointe avec le SPW Finances de l’état des enrôlements PRI et une indexation du montant constaté peuvent être envisagées au regard de la stratégie immobilière communale.</w:t>
      </w:r>
    </w:p>
    <w:p w14:paraId="2DC97ADF" w14:textId="77777777" w:rsidR="003960D9" w:rsidRPr="005C4637" w:rsidRDefault="003960D9" w:rsidP="00CD1A8C">
      <w:pPr>
        <w:pStyle w:val="Titre3"/>
      </w:pPr>
      <w:bookmarkStart w:id="273" w:name="_Toc233626079"/>
      <w:r w:rsidRPr="005C4637">
        <w:t>Et en l’absence de justification probante ?</w:t>
      </w:r>
      <w:bookmarkEnd w:id="273"/>
    </w:p>
    <w:p w14:paraId="257B89AA"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La commune doit s’en tenir strictement à la prévision officielle communiquée par l’administration régionale.</w:t>
      </w:r>
    </w:p>
    <w:p w14:paraId="0F5D11A2" w14:textId="77777777" w:rsidR="003960D9" w:rsidRPr="005C4637" w:rsidRDefault="003960D9" w:rsidP="003960D9">
      <w:pPr>
        <w:pStyle w:val="Titre2"/>
      </w:pPr>
      <w:bookmarkStart w:id="274" w:name="_Toc225504152"/>
      <w:bookmarkStart w:id="275" w:name="_Toc225772241"/>
      <w:bookmarkStart w:id="276" w:name="_Toc226445296"/>
      <w:bookmarkStart w:id="277" w:name="_Toc233626080"/>
      <w:r w:rsidRPr="005C4637">
        <w:t>Additionnels à l’IPP</w:t>
      </w:r>
      <w:bookmarkEnd w:id="274"/>
      <w:bookmarkEnd w:id="275"/>
      <w:bookmarkEnd w:id="276"/>
      <w:bookmarkEnd w:id="277"/>
      <w:r w:rsidRPr="005C4637">
        <w:t xml:space="preserve"> </w:t>
      </w:r>
    </w:p>
    <w:p w14:paraId="007A2349" w14:textId="77777777" w:rsidR="003960D9" w:rsidRPr="005C4637" w:rsidRDefault="003960D9">
      <w:pPr>
        <w:pStyle w:val="Titre3"/>
        <w:numPr>
          <w:ilvl w:val="0"/>
          <w:numId w:val="212"/>
        </w:numPr>
      </w:pPr>
      <w:bookmarkStart w:id="278" w:name="_Toc225504153"/>
      <w:bookmarkStart w:id="279" w:name="_Toc225772242"/>
      <w:bookmarkStart w:id="280" w:name="_Toc226445297"/>
      <w:bookmarkStart w:id="281" w:name="_Toc233626081"/>
      <w:r w:rsidRPr="005C4637">
        <w:t>Comment comptabiliser les avances sur les additionnels IPP ?</w:t>
      </w:r>
      <w:bookmarkEnd w:id="278"/>
      <w:bookmarkEnd w:id="279"/>
      <w:bookmarkEnd w:id="280"/>
      <w:bookmarkEnd w:id="281"/>
    </w:p>
    <w:p w14:paraId="68A85A2B"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Se référer à la circulaire du 18 octobre 2017 et à sa note complémentaire (disponibles sur le Portail des pouvoirs locaux) qui détaillent la procédure de comptabilisation des avances sur additionnels IPP.</w:t>
      </w:r>
    </w:p>
    <w:p w14:paraId="1D981BBC" w14:textId="77777777" w:rsidR="003960D9" w:rsidRPr="005C4637" w:rsidRDefault="003960D9" w:rsidP="003960D9">
      <w:pPr>
        <w:pStyle w:val="Titre3"/>
      </w:pPr>
      <w:bookmarkStart w:id="282" w:name="_Toc225504154"/>
      <w:bookmarkStart w:id="283" w:name="_Toc225772243"/>
      <w:bookmarkStart w:id="284" w:name="_Toc226445298"/>
      <w:bookmarkStart w:id="285" w:name="_Toc233626082"/>
      <w:r w:rsidRPr="005C4637">
        <w:t>Quand intégrer la réestimation IPP ?</w:t>
      </w:r>
      <w:bookmarkEnd w:id="282"/>
      <w:bookmarkEnd w:id="283"/>
      <w:bookmarkEnd w:id="284"/>
      <w:bookmarkEnd w:id="285"/>
    </w:p>
    <w:p w14:paraId="6F6CC0C1"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Les explications et l’impact de la réestimation IPP doivent, au plus tard, être intégrés dans le tableau de synthèse du budget N+1 (si non pris en compte dans les dernières MB de N-1).</w:t>
      </w:r>
    </w:p>
    <w:p w14:paraId="3A2B9490" w14:textId="77777777" w:rsidR="003960D9" w:rsidRPr="005C4637" w:rsidRDefault="003960D9" w:rsidP="003960D9">
      <w:pPr>
        <w:pStyle w:val="Titre3"/>
      </w:pPr>
      <w:bookmarkStart w:id="286" w:name="_Toc225504155"/>
      <w:bookmarkStart w:id="287" w:name="_Toc225772244"/>
      <w:bookmarkStart w:id="288" w:name="_Toc226445299"/>
      <w:bookmarkStart w:id="289" w:name="_Toc233626083"/>
      <w:r w:rsidRPr="005C4637">
        <w:t>Astuce pratique</w:t>
      </w:r>
      <w:bookmarkEnd w:id="286"/>
      <w:bookmarkEnd w:id="287"/>
      <w:bookmarkEnd w:id="288"/>
      <w:bookmarkEnd w:id="289"/>
    </w:p>
    <w:p w14:paraId="34EF3A3F"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En cas de modification de taux ou d’éléments impactant la recette IPP, veillez à la publication et à la transmission des délibérations dans les délais, conformément au CDLD, afin d’assurer l’entrée en vigueur pour l’exercice d’imposition visé.</w:t>
      </w:r>
    </w:p>
    <w:p w14:paraId="589A45DF" w14:textId="77777777" w:rsidR="003960D9" w:rsidRPr="005C4637" w:rsidRDefault="003960D9" w:rsidP="003960D9">
      <w:pPr>
        <w:pStyle w:val="Titre2"/>
      </w:pPr>
      <w:bookmarkStart w:id="290" w:name="_Toc225504156"/>
      <w:bookmarkStart w:id="291" w:name="_Toc225772245"/>
      <w:bookmarkStart w:id="292" w:name="_Toc226445300"/>
      <w:bookmarkStart w:id="293" w:name="_Toc233626084"/>
      <w:r w:rsidRPr="005C4637">
        <w:lastRenderedPageBreak/>
        <w:t>Perception des recettes</w:t>
      </w:r>
      <w:bookmarkEnd w:id="290"/>
      <w:bookmarkEnd w:id="291"/>
      <w:bookmarkEnd w:id="292"/>
      <w:bookmarkEnd w:id="293"/>
    </w:p>
    <w:p w14:paraId="317764B0" w14:textId="77777777" w:rsidR="003960D9" w:rsidRPr="005C4637" w:rsidRDefault="003960D9">
      <w:pPr>
        <w:pStyle w:val="Titre3"/>
        <w:numPr>
          <w:ilvl w:val="0"/>
          <w:numId w:val="163"/>
        </w:numPr>
        <w:tabs>
          <w:tab w:val="num" w:pos="360"/>
        </w:tabs>
      </w:pPr>
      <w:bookmarkStart w:id="294" w:name="_Toc225504157"/>
      <w:bookmarkStart w:id="295" w:name="_Toc225772246"/>
      <w:bookmarkStart w:id="296" w:name="_Toc226445301"/>
      <w:bookmarkStart w:id="297" w:name="_Toc233626085"/>
      <w:r w:rsidRPr="005C4637">
        <w:t>À quel exercice comptabiliser les droits établis dans les rôles ?</w:t>
      </w:r>
      <w:bookmarkEnd w:id="294"/>
      <w:bookmarkEnd w:id="295"/>
      <w:bookmarkEnd w:id="296"/>
      <w:bookmarkEnd w:id="297"/>
    </w:p>
    <w:p w14:paraId="4C5E8443"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Les droits établis dans les rôles sont comptabilisés aux recettes de l’exercice au cours duquel les rôles sont rendus exécutoires (art. L3321-4 CDLD). Il est donc recommandé de rendre les rôles de taxes exécutoires dans le courant de l’exercice auquel ils se rattachent afin d’assurer une prise en compte équilibrée d’année en année.</w:t>
      </w:r>
    </w:p>
    <w:p w14:paraId="6104CD63" w14:textId="77777777" w:rsidR="003960D9" w:rsidRPr="005C4637" w:rsidRDefault="003960D9" w:rsidP="003960D9">
      <w:pPr>
        <w:pStyle w:val="Titre3"/>
      </w:pPr>
      <w:bookmarkStart w:id="298" w:name="_Toc225504158"/>
      <w:bookmarkStart w:id="299" w:name="_Toc225772247"/>
      <w:bookmarkStart w:id="300" w:name="_Toc226445302"/>
      <w:bookmarkStart w:id="301" w:name="_Toc233626086"/>
      <w:r>
        <w:t>Comment reprendre au budget N des recettes liées à des rôles N-1 rendus exécutoires entre le 1er janvier et le 30 juin N ?</w:t>
      </w:r>
      <w:bookmarkEnd w:id="298"/>
      <w:bookmarkEnd w:id="299"/>
      <w:bookmarkEnd w:id="300"/>
      <w:bookmarkEnd w:id="301"/>
    </w:p>
    <w:p w14:paraId="10484102"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Par l’inscription de crédits budgétaires aux exercices antérieurs, en évitant tout double emploi de recettes entre l’exercice en cours et l’exercice précédent. Il est préférable d’inscrire ces crédits lors de l’injection du résultat du compte.</w:t>
      </w:r>
    </w:p>
    <w:p w14:paraId="3EF2AEBC" w14:textId="77777777" w:rsidR="003960D9" w:rsidRPr="005C4637" w:rsidRDefault="003960D9" w:rsidP="003960D9">
      <w:pPr>
        <w:rPr>
          <w:rFonts w:ascii="Cambria" w:eastAsia="MS Mincho" w:hAnsi="Cambria" w:cs="Times New Roman"/>
        </w:rPr>
      </w:pPr>
      <w:r w:rsidRPr="66F5B241">
        <w:rPr>
          <w:rFonts w:ascii="Cambria" w:eastAsia="MS Mincho" w:hAnsi="Cambria" w:cs="Times New Roman"/>
        </w:rPr>
        <w:t>Si l’inscription est faite dès le budget initial, le tableau de synthèse relatif à l’exercice N-1 doit être aménagé par des adaptations de recettes en moins équivalentes. Il n’y a pas de double emploi si, au budget précédent, la commune n’a inscrit que la part de recettes correspondant aux rôles rendus exécutoires durant cet exercice.</w:t>
      </w:r>
    </w:p>
    <w:p w14:paraId="7F26474C" w14:textId="77777777" w:rsidR="003960D9" w:rsidRPr="005C4637" w:rsidRDefault="003960D9" w:rsidP="003960D9">
      <w:pPr>
        <w:pStyle w:val="Titre2"/>
      </w:pPr>
      <w:bookmarkStart w:id="302" w:name="_Toc225504159"/>
      <w:bookmarkStart w:id="303" w:name="_Toc225772248"/>
      <w:bookmarkStart w:id="304" w:name="_Toc226445303"/>
      <w:bookmarkStart w:id="305" w:name="_Toc233626087"/>
      <w:bookmarkStart w:id="306" w:name="_Toc143778984"/>
      <w:bookmarkStart w:id="307" w:name="_Toc208321521"/>
      <w:bookmarkStart w:id="308" w:name="_Toc208419909"/>
      <w:r w:rsidRPr="005C4637">
        <w:t>Réévaluation annuelle des biens du patrimoine immobilier</w:t>
      </w:r>
      <w:bookmarkEnd w:id="302"/>
      <w:bookmarkEnd w:id="303"/>
      <w:bookmarkEnd w:id="304"/>
      <w:bookmarkEnd w:id="305"/>
    </w:p>
    <w:p w14:paraId="7A8A291D" w14:textId="77777777" w:rsidR="003960D9" w:rsidRPr="005C4637" w:rsidRDefault="003960D9" w:rsidP="003960D9">
      <w:pPr>
        <w:spacing w:before="120"/>
      </w:pPr>
      <w:bookmarkStart w:id="309" w:name="_Hlk40171773"/>
      <w:bookmarkEnd w:id="306"/>
      <w:bookmarkEnd w:id="307"/>
      <w:bookmarkEnd w:id="308"/>
      <w:r w:rsidRPr="00370911">
        <w:t>Pour l’application de l’article 21 du RGCC, l’indice ABEX de référence pour le compte 2026 est celui du 1</w:t>
      </w:r>
      <w:r w:rsidRPr="00370911">
        <w:rPr>
          <w:vertAlign w:val="superscript"/>
        </w:rPr>
        <w:t>er</w:t>
      </w:r>
      <w:r w:rsidRPr="00370911">
        <w:t xml:space="preserve"> juillet 2026 (mai 2026)</w:t>
      </w:r>
      <w:bookmarkStart w:id="310" w:name="_Toc8121657"/>
      <w:bookmarkStart w:id="311" w:name="_Toc8129598"/>
      <w:bookmarkEnd w:id="309"/>
      <w:bookmarkEnd w:id="310"/>
      <w:bookmarkEnd w:id="311"/>
      <w:r w:rsidRPr="00370911">
        <w:t>.</w:t>
      </w:r>
    </w:p>
    <w:p w14:paraId="21583D24" w14:textId="77777777" w:rsidR="003960D9" w:rsidRPr="005C4637" w:rsidRDefault="003960D9" w:rsidP="003960D9">
      <w:pPr>
        <w:pStyle w:val="Titre2"/>
      </w:pPr>
      <w:bookmarkStart w:id="312" w:name="_Toc225504160"/>
      <w:bookmarkStart w:id="313" w:name="_Toc225772249"/>
      <w:bookmarkStart w:id="314" w:name="_Toc226445304"/>
      <w:bookmarkStart w:id="315" w:name="_Toc233626088"/>
      <w:r w:rsidRPr="005C4637">
        <w:t>Placements</w:t>
      </w:r>
      <w:bookmarkEnd w:id="312"/>
      <w:bookmarkEnd w:id="313"/>
      <w:bookmarkEnd w:id="314"/>
      <w:bookmarkEnd w:id="315"/>
      <w:r w:rsidRPr="005C4637">
        <w:t xml:space="preserve"> </w:t>
      </w:r>
    </w:p>
    <w:p w14:paraId="512E4E71" w14:textId="77777777" w:rsidR="003960D9" w:rsidRPr="005C4637" w:rsidRDefault="003960D9">
      <w:pPr>
        <w:pStyle w:val="Titre3"/>
        <w:numPr>
          <w:ilvl w:val="0"/>
          <w:numId w:val="164"/>
        </w:numPr>
        <w:tabs>
          <w:tab w:val="num" w:pos="360"/>
        </w:tabs>
      </w:pPr>
      <w:bookmarkStart w:id="316" w:name="_Toc225504161"/>
      <w:bookmarkStart w:id="317" w:name="_Toc225772250"/>
      <w:bookmarkStart w:id="318" w:name="_Toc226445305"/>
      <w:bookmarkStart w:id="319" w:name="_Toc233626089"/>
      <w:r w:rsidRPr="005C4637">
        <w:t>Quels sont les principes généraux applicables aux placements communaux ?</w:t>
      </w:r>
      <w:bookmarkEnd w:id="316"/>
      <w:bookmarkEnd w:id="317"/>
      <w:bookmarkEnd w:id="318"/>
      <w:bookmarkEnd w:id="319"/>
    </w:p>
    <w:p w14:paraId="78842003"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Le principe premier est la prudence dans la gestion des fonds publics, puis la recherche d’un rendement satisfaisant. Chaque pouvoir local met en œuvre ces principes, le directeur financier jouant pleinement son rôle de conseiller financier de la commune.</w:t>
      </w:r>
    </w:p>
    <w:p w14:paraId="7FCD008E" w14:textId="77777777" w:rsidR="003960D9" w:rsidRPr="005C4637" w:rsidRDefault="003960D9" w:rsidP="003960D9">
      <w:pPr>
        <w:pStyle w:val="Titre3"/>
      </w:pPr>
      <w:bookmarkStart w:id="320" w:name="_Toc225504162"/>
      <w:bookmarkStart w:id="321" w:name="_Toc225772251"/>
      <w:bookmarkStart w:id="322" w:name="_Toc226445306"/>
      <w:bookmarkStart w:id="323" w:name="_Toc233626090"/>
      <w:r w:rsidRPr="005C4637">
        <w:t>Quels instruments de placement sont acceptés ?</w:t>
      </w:r>
      <w:bookmarkEnd w:id="320"/>
      <w:bookmarkEnd w:id="321"/>
      <w:bookmarkEnd w:id="322"/>
      <w:bookmarkEnd w:id="323"/>
    </w:p>
    <w:p w14:paraId="769B5652"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Peuvent être acceptés : (i) des SICAV garantissant au minimum le remboursement du capital investi ; (ii) des fonds ou produits d’assurance à capital et taux d’intérêt minimum garantis. Les placements doivent être réalisés exclusivement en euros pour éviter tout risque de change.</w:t>
      </w:r>
    </w:p>
    <w:p w14:paraId="404B890A" w14:textId="77777777" w:rsidR="003960D9" w:rsidRPr="005C4637" w:rsidRDefault="003960D9" w:rsidP="003960D9">
      <w:pPr>
        <w:pStyle w:val="Titre3"/>
      </w:pPr>
      <w:bookmarkStart w:id="324" w:name="_Toc225504163"/>
      <w:bookmarkStart w:id="325" w:name="_Toc225772252"/>
      <w:bookmarkStart w:id="326" w:name="_Toc226445307"/>
      <w:bookmarkStart w:id="327" w:name="_Toc233626091"/>
      <w:r w:rsidRPr="005C4637">
        <w:t>Quelles vérifications opérer sur les organismes financiers ?</w:t>
      </w:r>
      <w:bookmarkEnd w:id="324"/>
      <w:bookmarkEnd w:id="325"/>
      <w:bookmarkEnd w:id="326"/>
      <w:bookmarkEnd w:id="327"/>
    </w:p>
    <w:p w14:paraId="2CD52B36"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Une attention particulière doit être portée à la qualité et à la situation financière des organismes auprès desquels les placements sont effectués.</w:t>
      </w:r>
    </w:p>
    <w:p w14:paraId="08E783A6" w14:textId="77777777" w:rsidR="003960D9" w:rsidRPr="005C4637" w:rsidRDefault="003960D9" w:rsidP="003960D9">
      <w:pPr>
        <w:pStyle w:val="Titre3"/>
      </w:pPr>
      <w:bookmarkStart w:id="328" w:name="_Toc225504164"/>
      <w:bookmarkStart w:id="329" w:name="_Toc225772253"/>
      <w:bookmarkStart w:id="330" w:name="_Toc226445308"/>
      <w:bookmarkStart w:id="331" w:name="_Toc233626092"/>
      <w:r w:rsidRPr="005C4637">
        <w:t>Peut-on privilégier des placements éthiques (ESG) ?</w:t>
      </w:r>
      <w:bookmarkEnd w:id="328"/>
      <w:bookmarkEnd w:id="329"/>
      <w:bookmarkEnd w:id="330"/>
      <w:bookmarkEnd w:id="331"/>
    </w:p>
    <w:p w14:paraId="34B2204B" w14:textId="77777777" w:rsidR="003960D9" w:rsidRPr="005C4637" w:rsidRDefault="003960D9" w:rsidP="003960D9">
      <w:pPr>
        <w:rPr>
          <w:rFonts w:ascii="Cambria" w:eastAsia="MS Mincho" w:hAnsi="Cambria" w:cs="Times New Roman"/>
        </w:rPr>
      </w:pPr>
      <w:r w:rsidRPr="4572EC70">
        <w:rPr>
          <w:rFonts w:ascii="Cambria" w:eastAsia="MS Mincho" w:hAnsi="Cambria" w:cs="Times New Roman"/>
        </w:rPr>
        <w:t>Oui, c’est un choix laissé à chaque autorité locale (social, environnemental, autre). Il convient toutefois d’être prudent : la qualité et la fiabilité des critères ne sont pas toujours confirmées ou simples à établir.</w:t>
      </w:r>
    </w:p>
    <w:p w14:paraId="308D9E6F" w14:textId="77777777" w:rsidR="003960D9" w:rsidRPr="005C4637" w:rsidRDefault="003960D9" w:rsidP="003960D9">
      <w:pPr>
        <w:pStyle w:val="Titre3"/>
      </w:pPr>
      <w:bookmarkStart w:id="332" w:name="_Toc225504165"/>
      <w:bookmarkStart w:id="333" w:name="_Toc225772254"/>
      <w:bookmarkStart w:id="334" w:name="_Toc226445309"/>
      <w:bookmarkStart w:id="335" w:name="_Toc233626093"/>
      <w:r w:rsidRPr="005C4637">
        <w:lastRenderedPageBreak/>
        <w:t>La spéculation avec des fonds publics est-elle autorisée ?</w:t>
      </w:r>
      <w:bookmarkEnd w:id="332"/>
      <w:bookmarkEnd w:id="333"/>
      <w:bookmarkEnd w:id="334"/>
      <w:bookmarkEnd w:id="335"/>
    </w:p>
    <w:p w14:paraId="4403E336"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 xml:space="preserve">Non. </w:t>
      </w:r>
      <w:r w:rsidRPr="7CAA9F8A">
        <w:rPr>
          <w:rFonts w:ascii="Cambria" w:eastAsia="MS Mincho" w:hAnsi="Cambria" w:cs="Times New Roman"/>
        </w:rPr>
        <w:t>Toute</w:t>
      </w:r>
      <w:r w:rsidRPr="005C4637">
        <w:rPr>
          <w:rFonts w:ascii="Cambria" w:eastAsia="MS Mincho" w:hAnsi="Cambria" w:cs="Times New Roman"/>
        </w:rPr>
        <w:t xml:space="preserve"> spéculation utilisant des moyens publics est proscrite.</w:t>
      </w:r>
    </w:p>
    <w:p w14:paraId="6430751E" w14:textId="77777777" w:rsidR="003960D9" w:rsidRPr="005C4637" w:rsidRDefault="003960D9" w:rsidP="003960D9">
      <w:pPr>
        <w:pStyle w:val="Titre2"/>
      </w:pPr>
      <w:bookmarkStart w:id="336" w:name="_Toc225504166"/>
      <w:bookmarkStart w:id="337" w:name="_Toc225772255"/>
      <w:bookmarkStart w:id="338" w:name="_Toc226445310"/>
      <w:bookmarkStart w:id="339" w:name="_Toc233626094"/>
      <w:r w:rsidRPr="005C4637">
        <w:t>Transmission électronique des extraits de comptes</w:t>
      </w:r>
      <w:bookmarkEnd w:id="336"/>
      <w:bookmarkEnd w:id="337"/>
      <w:bookmarkEnd w:id="338"/>
      <w:bookmarkEnd w:id="339"/>
      <w:r w:rsidRPr="005C4637">
        <w:t xml:space="preserve"> </w:t>
      </w:r>
    </w:p>
    <w:p w14:paraId="3209EC52" w14:textId="77777777" w:rsidR="003960D9" w:rsidRPr="005C4637" w:rsidRDefault="003960D9">
      <w:pPr>
        <w:pStyle w:val="Titre3"/>
        <w:numPr>
          <w:ilvl w:val="0"/>
          <w:numId w:val="183"/>
        </w:numPr>
      </w:pPr>
      <w:bookmarkStart w:id="340" w:name="_Toc225504167"/>
      <w:bookmarkStart w:id="341" w:name="_Toc225772256"/>
      <w:bookmarkStart w:id="342" w:name="_Toc226445311"/>
      <w:bookmarkStart w:id="343" w:name="_Toc233626095"/>
      <w:r w:rsidRPr="005C4637">
        <w:t>Les extraits de compte peuvent-ils être transmis par voie électronique ?</w:t>
      </w:r>
      <w:bookmarkEnd w:id="340"/>
      <w:bookmarkEnd w:id="341"/>
      <w:bookmarkEnd w:id="342"/>
      <w:bookmarkEnd w:id="343"/>
    </w:p>
    <w:p w14:paraId="41BBD942"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Oui, les organismes financiers des communes peuvent transmettre les extraits par voie électronique, sous conditions précises.</w:t>
      </w:r>
    </w:p>
    <w:p w14:paraId="5E8AA027" w14:textId="77777777" w:rsidR="003960D9" w:rsidRPr="005C4637" w:rsidRDefault="003960D9" w:rsidP="003960D9">
      <w:pPr>
        <w:pStyle w:val="Titre3"/>
      </w:pPr>
      <w:bookmarkStart w:id="344" w:name="_Toc225504168"/>
      <w:bookmarkStart w:id="345" w:name="_Toc225772257"/>
      <w:bookmarkStart w:id="346" w:name="_Toc226445312"/>
      <w:bookmarkStart w:id="347" w:name="_Toc233626096"/>
      <w:r w:rsidRPr="005C4637">
        <w:t>Quelles sont les exigences minimales de forme et de sécurité ?</w:t>
      </w:r>
      <w:bookmarkEnd w:id="344"/>
      <w:bookmarkEnd w:id="345"/>
      <w:bookmarkEnd w:id="346"/>
      <w:bookmarkEnd w:id="347"/>
    </w:p>
    <w:p w14:paraId="072ED695" w14:textId="77777777" w:rsidR="003960D9" w:rsidRPr="005C4637" w:rsidRDefault="003960D9" w:rsidP="003960D9">
      <w:pPr>
        <w:rPr>
          <w:rFonts w:ascii="Cambria" w:eastAsia="MS Mincho" w:hAnsi="Cambria" w:cs="Times New Roman"/>
        </w:rPr>
      </w:pPr>
      <w:r w:rsidRPr="4572EC70">
        <w:rPr>
          <w:rFonts w:ascii="Cambria" w:eastAsia="MS Mincho" w:hAnsi="Cambria" w:cs="Times New Roman"/>
        </w:rPr>
        <w:t>La procédure doit utiliser un format lisible indépendant (par exemple .pdf), être parfaitement sécurisée, et prévoir des copies de sauvegarde conservées au moins 10 ans, soit dans la commune, soit chez l’organisme financier.</w:t>
      </w:r>
    </w:p>
    <w:p w14:paraId="2AEAC083" w14:textId="77777777" w:rsidR="003960D9" w:rsidRPr="005C4637" w:rsidRDefault="003960D9" w:rsidP="003960D9">
      <w:pPr>
        <w:pStyle w:val="Titre3"/>
      </w:pPr>
      <w:bookmarkStart w:id="348" w:name="_Toc225504169"/>
      <w:bookmarkStart w:id="349" w:name="_Toc225772258"/>
      <w:bookmarkStart w:id="350" w:name="_Toc226445313"/>
      <w:bookmarkStart w:id="351" w:name="_Toc233626097"/>
      <w:r w:rsidRPr="005C4637">
        <w:t>Quelles bonnes pratiques mettre en place ?</w:t>
      </w:r>
      <w:bookmarkEnd w:id="348"/>
      <w:bookmarkEnd w:id="349"/>
      <w:bookmarkEnd w:id="350"/>
      <w:bookmarkEnd w:id="351"/>
    </w:p>
    <w:p w14:paraId="000F3352" w14:textId="77777777" w:rsidR="00F33B38" w:rsidRDefault="003960D9">
      <w:pPr>
        <w:pStyle w:val="Paragraphedeliste"/>
        <w:numPr>
          <w:ilvl w:val="0"/>
          <w:numId w:val="184"/>
        </w:numPr>
        <w:rPr>
          <w:rFonts w:ascii="Cambria" w:eastAsia="MS Mincho" w:hAnsi="Cambria" w:cs="Times New Roman"/>
        </w:rPr>
      </w:pPr>
      <w:r w:rsidRPr="00F33B38">
        <w:rPr>
          <w:rFonts w:ascii="Cambria" w:eastAsia="MS Mincho" w:hAnsi="Cambria" w:cs="Times New Roman"/>
        </w:rPr>
        <w:t>Utiliser une plateforme sécurisée (canal chiffré, authentification forte, journalisation).</w:t>
      </w:r>
    </w:p>
    <w:p w14:paraId="10257D6B" w14:textId="77777777" w:rsidR="00F33B38" w:rsidRDefault="003960D9">
      <w:pPr>
        <w:pStyle w:val="Paragraphedeliste"/>
        <w:numPr>
          <w:ilvl w:val="0"/>
          <w:numId w:val="184"/>
        </w:numPr>
        <w:rPr>
          <w:rFonts w:ascii="Cambria" w:eastAsia="MS Mincho" w:hAnsi="Cambria" w:cs="Times New Roman"/>
        </w:rPr>
      </w:pPr>
      <w:r w:rsidRPr="00F33B38">
        <w:rPr>
          <w:rFonts w:ascii="Cambria" w:eastAsia="MS Mincho" w:hAnsi="Cambria" w:cs="Times New Roman"/>
        </w:rPr>
        <w:t>Définir une politique de conservation et un plan de sauvegarde (redondance, tests de restauration).</w:t>
      </w:r>
    </w:p>
    <w:p w14:paraId="3A63370B" w14:textId="77777777" w:rsidR="00F33B38" w:rsidRDefault="003960D9">
      <w:pPr>
        <w:pStyle w:val="Paragraphedeliste"/>
        <w:numPr>
          <w:ilvl w:val="0"/>
          <w:numId w:val="184"/>
        </w:numPr>
        <w:rPr>
          <w:rFonts w:ascii="Cambria" w:eastAsia="MS Mincho" w:hAnsi="Cambria" w:cs="Times New Roman"/>
        </w:rPr>
      </w:pPr>
      <w:r w:rsidRPr="00F33B38">
        <w:rPr>
          <w:rFonts w:ascii="Cambria" w:eastAsia="MS Mincho" w:hAnsi="Cambria" w:cs="Times New Roman"/>
        </w:rPr>
        <w:t>Conserver les extraits en format pérenne et éviter les formats propriétaires.</w:t>
      </w:r>
    </w:p>
    <w:p w14:paraId="0AE825C7" w14:textId="4D651854" w:rsidR="003960D9" w:rsidRPr="00F33B38" w:rsidRDefault="003960D9">
      <w:pPr>
        <w:pStyle w:val="Paragraphedeliste"/>
        <w:numPr>
          <w:ilvl w:val="0"/>
          <w:numId w:val="184"/>
        </w:numPr>
        <w:rPr>
          <w:rFonts w:ascii="Cambria" w:eastAsia="MS Mincho" w:hAnsi="Cambria" w:cs="Times New Roman"/>
        </w:rPr>
      </w:pPr>
      <w:r w:rsidRPr="00F33B38">
        <w:rPr>
          <w:rFonts w:ascii="Cambria" w:eastAsia="MS Mincho" w:hAnsi="Cambria" w:cs="Times New Roman"/>
        </w:rPr>
        <w:t>Documenter les contrôles internes : piste d’audit, séparation des rôles, vérifications périodiques.</w:t>
      </w:r>
    </w:p>
    <w:p w14:paraId="06FE0203" w14:textId="77777777" w:rsidR="003960D9" w:rsidRPr="005C4637" w:rsidRDefault="003960D9" w:rsidP="003960D9">
      <w:pPr>
        <w:pStyle w:val="Titre2"/>
      </w:pPr>
      <w:bookmarkStart w:id="352" w:name="_Toc225504170"/>
      <w:bookmarkStart w:id="353" w:name="_Toc225772259"/>
      <w:bookmarkStart w:id="354" w:name="_Toc226445314"/>
      <w:bookmarkStart w:id="355" w:name="_Toc233626098"/>
      <w:r w:rsidRPr="005C4637">
        <w:t>Avances de fonds</w:t>
      </w:r>
      <w:bookmarkEnd w:id="352"/>
      <w:bookmarkEnd w:id="353"/>
      <w:bookmarkEnd w:id="354"/>
      <w:bookmarkEnd w:id="355"/>
    </w:p>
    <w:p w14:paraId="599FE1D7" w14:textId="77777777" w:rsidR="003960D9" w:rsidRPr="005C4637" w:rsidRDefault="003960D9">
      <w:pPr>
        <w:pStyle w:val="Titre3"/>
        <w:numPr>
          <w:ilvl w:val="0"/>
          <w:numId w:val="165"/>
        </w:numPr>
        <w:tabs>
          <w:tab w:val="num" w:pos="360"/>
        </w:tabs>
      </w:pPr>
      <w:bookmarkStart w:id="356" w:name="_Toc225504171"/>
      <w:bookmarkStart w:id="357" w:name="_Toc225772260"/>
      <w:bookmarkStart w:id="358" w:name="_Toc226445315"/>
      <w:bookmarkStart w:id="359" w:name="_Toc233626099"/>
      <w:r w:rsidRPr="005C4637">
        <w:t>Quelle est la base légale des avances de fonds ?</w:t>
      </w:r>
      <w:bookmarkEnd w:id="356"/>
      <w:bookmarkEnd w:id="357"/>
      <w:bookmarkEnd w:id="358"/>
      <w:bookmarkEnd w:id="359"/>
    </w:p>
    <w:p w14:paraId="65A7CA26"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La procédure dérogatoire des avances de fonds est organisée par l’article 31, §2, du RGCC.</w:t>
      </w:r>
    </w:p>
    <w:p w14:paraId="7102F3DC" w14:textId="349D44F7" w:rsidR="003960D9" w:rsidRPr="005C4637" w:rsidRDefault="003960D9" w:rsidP="003960D9">
      <w:pPr>
        <w:pStyle w:val="Titre3"/>
      </w:pPr>
      <w:bookmarkStart w:id="360" w:name="_Toc225504172"/>
      <w:bookmarkStart w:id="361" w:name="_Toc225772261"/>
      <w:bookmarkStart w:id="362" w:name="_Toc226445316"/>
      <w:bookmarkStart w:id="363" w:name="_Toc233626100"/>
      <w:r>
        <w:t xml:space="preserve">Les provisions pour menues dépenses sont-elles autorisées pour les </w:t>
      </w:r>
      <w:bookmarkEnd w:id="360"/>
      <w:bookmarkEnd w:id="361"/>
      <w:bookmarkEnd w:id="362"/>
      <w:r w:rsidR="00DB5198">
        <w:t>mandataires ?</w:t>
      </w:r>
      <w:bookmarkEnd w:id="363"/>
    </w:p>
    <w:p w14:paraId="195239E2"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Non. L’octroi de provisions pour menues dépenses à des mandataires communaux est totalement interdit.</w:t>
      </w:r>
    </w:p>
    <w:p w14:paraId="0283496E" w14:textId="77777777" w:rsidR="003960D9" w:rsidRPr="005C4637" w:rsidRDefault="003960D9" w:rsidP="003960D9">
      <w:pPr>
        <w:pStyle w:val="Titre3"/>
      </w:pPr>
      <w:bookmarkStart w:id="364" w:name="_Toc225504173"/>
      <w:bookmarkStart w:id="365" w:name="_Toc225772262"/>
      <w:bookmarkStart w:id="366" w:name="_Toc226445317"/>
      <w:bookmarkStart w:id="367" w:name="_Toc233626101"/>
      <w:r w:rsidRPr="005C4637">
        <w:t>Bonnes pratiques (recommandées) pour les avances de fonds</w:t>
      </w:r>
      <w:bookmarkEnd w:id="364"/>
      <w:bookmarkEnd w:id="365"/>
      <w:bookmarkEnd w:id="366"/>
      <w:bookmarkEnd w:id="367"/>
    </w:p>
    <w:p w14:paraId="30D2789E" w14:textId="77777777" w:rsidR="00735D57" w:rsidRDefault="003960D9">
      <w:pPr>
        <w:pStyle w:val="Paragraphedeliste"/>
        <w:numPr>
          <w:ilvl w:val="0"/>
          <w:numId w:val="185"/>
        </w:numPr>
        <w:rPr>
          <w:rFonts w:ascii="Cambria" w:eastAsia="MS Mincho" w:hAnsi="Cambria" w:cs="Times New Roman"/>
        </w:rPr>
      </w:pPr>
      <w:r w:rsidRPr="00735D57">
        <w:rPr>
          <w:rFonts w:ascii="Cambria" w:eastAsia="MS Mincho" w:hAnsi="Cambria" w:cs="Times New Roman"/>
        </w:rPr>
        <w:t>Formaliser la décision d’ouverture/renouvellement de l’avance (montant, objet, gestionnaire).</w:t>
      </w:r>
    </w:p>
    <w:p w14:paraId="52A100EA" w14:textId="77777777" w:rsidR="00735D57" w:rsidRDefault="003960D9">
      <w:pPr>
        <w:pStyle w:val="Paragraphedeliste"/>
        <w:numPr>
          <w:ilvl w:val="0"/>
          <w:numId w:val="185"/>
        </w:numPr>
        <w:rPr>
          <w:rFonts w:ascii="Cambria" w:eastAsia="MS Mincho" w:hAnsi="Cambria" w:cs="Times New Roman"/>
        </w:rPr>
      </w:pPr>
      <w:r w:rsidRPr="00735D57">
        <w:rPr>
          <w:rFonts w:ascii="Cambria" w:eastAsia="MS Mincho" w:hAnsi="Cambria" w:cs="Times New Roman"/>
        </w:rPr>
        <w:t>Encadrer les justificatifs exigés et les délais de régularisation.</w:t>
      </w:r>
    </w:p>
    <w:p w14:paraId="01A4A887" w14:textId="294B8E5B" w:rsidR="003960D9" w:rsidRPr="00735D57" w:rsidRDefault="003960D9">
      <w:pPr>
        <w:pStyle w:val="Paragraphedeliste"/>
        <w:numPr>
          <w:ilvl w:val="0"/>
          <w:numId w:val="185"/>
        </w:numPr>
        <w:rPr>
          <w:rFonts w:ascii="Cambria" w:eastAsia="MS Mincho" w:hAnsi="Cambria" w:cs="Times New Roman"/>
        </w:rPr>
      </w:pPr>
      <w:r w:rsidRPr="00735D57">
        <w:rPr>
          <w:rFonts w:ascii="Cambria" w:eastAsia="MS Mincho" w:hAnsi="Cambria" w:cs="Times New Roman"/>
        </w:rPr>
        <w:t>Assurer un suivi par le directeur financier (piste d’audit, rapprochements périodiques).</w:t>
      </w:r>
    </w:p>
    <w:p w14:paraId="24E1F2ED" w14:textId="77777777" w:rsidR="003960D9" w:rsidRPr="005C4637" w:rsidRDefault="003960D9" w:rsidP="003960D9">
      <w:pPr>
        <w:pStyle w:val="Titre2"/>
      </w:pPr>
      <w:bookmarkStart w:id="368" w:name="_Toc225504174"/>
      <w:bookmarkStart w:id="369" w:name="_Toc225772263"/>
      <w:bookmarkStart w:id="370" w:name="_Toc226445318"/>
      <w:bookmarkStart w:id="371" w:name="_Toc233626102"/>
      <w:r w:rsidRPr="005C4637">
        <w:t>Tutelle</w:t>
      </w:r>
      <w:bookmarkEnd w:id="368"/>
      <w:bookmarkEnd w:id="369"/>
      <w:bookmarkEnd w:id="370"/>
      <w:bookmarkEnd w:id="371"/>
    </w:p>
    <w:p w14:paraId="0B313B32" w14:textId="77777777" w:rsidR="003960D9" w:rsidRPr="005C4637" w:rsidRDefault="003960D9">
      <w:pPr>
        <w:pStyle w:val="Titre3"/>
        <w:numPr>
          <w:ilvl w:val="0"/>
          <w:numId w:val="186"/>
        </w:numPr>
      </w:pPr>
      <w:bookmarkStart w:id="372" w:name="_Toc225504175"/>
      <w:bookmarkStart w:id="373" w:name="_Toc225772264"/>
      <w:bookmarkStart w:id="374" w:name="_Toc226445319"/>
      <w:bookmarkStart w:id="375" w:name="_Toc233626103"/>
      <w:r w:rsidRPr="005C4637">
        <w:t>Quelles pièces joindre aux actes soumis à tutelle (hors budgets/MB) ?</w:t>
      </w:r>
      <w:bookmarkEnd w:id="372"/>
      <w:bookmarkEnd w:id="373"/>
      <w:bookmarkEnd w:id="374"/>
      <w:bookmarkEnd w:id="375"/>
    </w:p>
    <w:p w14:paraId="7AB8B056"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Se référer à la circulaire du 21 janvier 2019 qui définit les pièces justificatives obligatoires à joindre aux actes soumis à tutelle (autres que budgets et modifications budgétaires).</w:t>
      </w:r>
    </w:p>
    <w:p w14:paraId="1A51BA29" w14:textId="6C397664" w:rsidR="003960D9" w:rsidRPr="005C4637" w:rsidRDefault="003960D9">
      <w:pPr>
        <w:pStyle w:val="Titre3"/>
        <w:numPr>
          <w:ilvl w:val="0"/>
          <w:numId w:val="186"/>
        </w:numPr>
      </w:pPr>
      <w:bookmarkStart w:id="376" w:name="_Toc225504176"/>
      <w:bookmarkStart w:id="377" w:name="_Toc225772265"/>
      <w:bookmarkStart w:id="378" w:name="_Toc226445320"/>
      <w:bookmarkStart w:id="379" w:name="_Toc233626104"/>
      <w:r w:rsidRPr="005C4637">
        <w:lastRenderedPageBreak/>
        <w:t>Conseils pratiques</w:t>
      </w:r>
      <w:bookmarkEnd w:id="376"/>
      <w:bookmarkEnd w:id="377"/>
      <w:bookmarkEnd w:id="378"/>
      <w:bookmarkEnd w:id="379"/>
    </w:p>
    <w:p w14:paraId="3EB713A7" w14:textId="77777777" w:rsidR="001B7E46" w:rsidRDefault="003960D9">
      <w:pPr>
        <w:pStyle w:val="Paragraphedeliste"/>
        <w:numPr>
          <w:ilvl w:val="0"/>
          <w:numId w:val="187"/>
        </w:numPr>
        <w:rPr>
          <w:rFonts w:ascii="Cambria" w:eastAsia="MS Mincho" w:hAnsi="Cambria" w:cs="Times New Roman"/>
        </w:rPr>
      </w:pPr>
      <w:r w:rsidRPr="001B7E46">
        <w:rPr>
          <w:rFonts w:ascii="Cambria" w:eastAsia="MS Mincho" w:hAnsi="Cambria" w:cs="Times New Roman"/>
        </w:rPr>
        <w:t>Utiliser les modèles disponibles sur le Portail des Pouvoirs locaux lorsqu’ils existent.</w:t>
      </w:r>
    </w:p>
    <w:p w14:paraId="4C5F69C5" w14:textId="6D505AC4" w:rsidR="003960D9" w:rsidRPr="001B7E46" w:rsidRDefault="003960D9">
      <w:pPr>
        <w:pStyle w:val="Paragraphedeliste"/>
        <w:numPr>
          <w:ilvl w:val="0"/>
          <w:numId w:val="187"/>
        </w:numPr>
        <w:rPr>
          <w:rFonts w:ascii="Cambria" w:eastAsia="MS Mincho" w:hAnsi="Cambria" w:cs="Times New Roman"/>
        </w:rPr>
      </w:pPr>
      <w:r w:rsidRPr="001B7E46">
        <w:rPr>
          <w:rFonts w:ascii="Cambria" w:eastAsia="MS Mincho" w:hAnsi="Cambria" w:cs="Times New Roman"/>
        </w:rPr>
        <w:t>Vérifier la complétude du dossier avant transmission afin d’éviter l’allongement des délais de tutelle.</w:t>
      </w:r>
    </w:p>
    <w:p w14:paraId="03699139" w14:textId="77777777" w:rsidR="003960D9" w:rsidRPr="005C4637" w:rsidRDefault="003960D9" w:rsidP="003960D9">
      <w:pPr>
        <w:pStyle w:val="Titre2"/>
      </w:pPr>
      <w:r w:rsidRPr="005C4637">
        <w:t xml:space="preserve"> </w:t>
      </w:r>
      <w:bookmarkStart w:id="380" w:name="_Toc225504177"/>
      <w:bookmarkStart w:id="381" w:name="_Toc225772266"/>
      <w:bookmarkStart w:id="382" w:name="_Toc226445321"/>
      <w:bookmarkStart w:id="383" w:name="_Toc233626105"/>
      <w:r w:rsidRPr="005C4637">
        <w:t>Droits restants à recouvrer</w:t>
      </w:r>
      <w:bookmarkEnd w:id="380"/>
      <w:bookmarkEnd w:id="381"/>
      <w:bookmarkEnd w:id="382"/>
      <w:bookmarkEnd w:id="383"/>
    </w:p>
    <w:p w14:paraId="03F4E558" w14:textId="77777777" w:rsidR="003960D9" w:rsidRPr="005C4637" w:rsidRDefault="003960D9">
      <w:pPr>
        <w:pStyle w:val="Titre3"/>
        <w:numPr>
          <w:ilvl w:val="0"/>
          <w:numId w:val="166"/>
        </w:numPr>
        <w:tabs>
          <w:tab w:val="num" w:pos="360"/>
        </w:tabs>
      </w:pPr>
      <w:bookmarkStart w:id="384" w:name="_Toc225504178"/>
      <w:bookmarkStart w:id="385" w:name="_Toc225772267"/>
      <w:bookmarkStart w:id="386" w:name="_Toc226445322"/>
      <w:bookmarkStart w:id="387" w:name="_Toc233626106"/>
      <w:r w:rsidRPr="005C4637">
        <w:t>Quels droits peuvent encore figurer dans la liste des droits restant à apurer ?</w:t>
      </w:r>
      <w:bookmarkEnd w:id="384"/>
      <w:bookmarkEnd w:id="385"/>
      <w:bookmarkEnd w:id="386"/>
      <w:bookmarkEnd w:id="387"/>
    </w:p>
    <w:p w14:paraId="650F05D5"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Seuls les droits constatés datant de moins de 5 ans peuvent figurer sur cette liste, sauf justification particulière (ex. : litige en cours).</w:t>
      </w:r>
    </w:p>
    <w:p w14:paraId="0C5FA44F" w14:textId="77777777" w:rsidR="003960D9" w:rsidRPr="005C4637" w:rsidRDefault="003960D9" w:rsidP="003960D9">
      <w:pPr>
        <w:pStyle w:val="Titre3"/>
      </w:pPr>
      <w:bookmarkStart w:id="388" w:name="_Toc225504179"/>
      <w:bookmarkStart w:id="389" w:name="_Toc225772268"/>
      <w:bookmarkStart w:id="390" w:name="_Toc226445323"/>
      <w:bookmarkStart w:id="391" w:name="_Toc233626107"/>
      <w:r w:rsidRPr="005C4637">
        <w:t>Que faire des droits anciens difficilement récupérables ?</w:t>
      </w:r>
      <w:bookmarkEnd w:id="388"/>
      <w:bookmarkEnd w:id="389"/>
      <w:bookmarkEnd w:id="390"/>
      <w:bookmarkEnd w:id="391"/>
    </w:p>
    <w:p w14:paraId="0C6E1124" w14:textId="77777777" w:rsidR="00CA6E7A" w:rsidRDefault="003960D9" w:rsidP="00CA6E7A">
      <w:pPr>
        <w:rPr>
          <w:rFonts w:ascii="Cambria" w:eastAsia="MS Mincho" w:hAnsi="Cambria" w:cs="Times New Roman"/>
        </w:rPr>
      </w:pPr>
      <w:r w:rsidRPr="005C4637">
        <w:rPr>
          <w:rFonts w:ascii="Cambria" w:eastAsia="MS Mincho" w:hAnsi="Cambria" w:cs="Times New Roman"/>
        </w:rPr>
        <w:t>Ils doivent être identifiés, évalués quant à leur récupérabilité, puis :</w:t>
      </w:r>
    </w:p>
    <w:p w14:paraId="37D119FB" w14:textId="77777777" w:rsidR="00CA6E7A" w:rsidRDefault="00CA6E7A">
      <w:pPr>
        <w:pStyle w:val="Paragraphedeliste"/>
        <w:numPr>
          <w:ilvl w:val="0"/>
          <w:numId w:val="188"/>
        </w:numPr>
        <w:rPr>
          <w:rFonts w:ascii="Cambria" w:eastAsia="MS Mincho" w:hAnsi="Cambria" w:cs="Times New Roman"/>
        </w:rPr>
      </w:pPr>
      <w:r w:rsidRPr="00CA6E7A">
        <w:rPr>
          <w:rFonts w:ascii="Cambria" w:eastAsia="MS Mincho" w:hAnsi="Cambria" w:cs="Times New Roman"/>
        </w:rPr>
        <w:t>s</w:t>
      </w:r>
      <w:r w:rsidR="003960D9" w:rsidRPr="00CA6E7A">
        <w:rPr>
          <w:rFonts w:ascii="Cambria" w:eastAsia="MS Mincho" w:hAnsi="Cambria" w:cs="Times New Roman"/>
        </w:rPr>
        <w:t>oit faire l’objet des procédures de recouvrement adéquates,</w:t>
      </w:r>
    </w:p>
    <w:p w14:paraId="1D99D0D1" w14:textId="5A0974C2" w:rsidR="003960D9" w:rsidRPr="00CA6E7A" w:rsidRDefault="003960D9">
      <w:pPr>
        <w:pStyle w:val="Paragraphedeliste"/>
        <w:numPr>
          <w:ilvl w:val="0"/>
          <w:numId w:val="188"/>
        </w:numPr>
        <w:rPr>
          <w:rFonts w:ascii="Cambria" w:eastAsia="MS Mincho" w:hAnsi="Cambria" w:cs="Times New Roman"/>
        </w:rPr>
      </w:pPr>
      <w:r w:rsidRPr="00CA6E7A">
        <w:rPr>
          <w:rFonts w:ascii="Cambria" w:eastAsia="MS Mincho" w:hAnsi="Cambria" w:cs="Times New Roman"/>
        </w:rPr>
        <w:t>soit être portés en non-valeurs ou en irrécouvrables, conformément à l’article 51 du RGCC.</w:t>
      </w:r>
    </w:p>
    <w:p w14:paraId="30ECA3CA" w14:textId="77777777" w:rsidR="003960D9" w:rsidRPr="005C4637" w:rsidRDefault="003960D9" w:rsidP="003960D9">
      <w:pPr>
        <w:pStyle w:val="Titre3"/>
      </w:pPr>
      <w:bookmarkStart w:id="392" w:name="_Toc225504180"/>
      <w:bookmarkStart w:id="393" w:name="_Toc225772269"/>
      <w:bookmarkStart w:id="394" w:name="_Toc226445324"/>
      <w:bookmarkStart w:id="395" w:name="_Toc233626108"/>
      <w:r w:rsidRPr="005C4637">
        <w:t>Quelles informations doivent être transmises lors de l’élaboration des comptes annuels ?</w:t>
      </w:r>
      <w:bookmarkEnd w:id="392"/>
      <w:bookmarkEnd w:id="393"/>
      <w:bookmarkEnd w:id="394"/>
      <w:bookmarkEnd w:id="395"/>
    </w:p>
    <w:p w14:paraId="01544943"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Les communes doivent transmettre, en plus des documents habituels, une liste distincte reprenant exclusivement les recettes fiscales non perçues.</w:t>
      </w:r>
    </w:p>
    <w:p w14:paraId="198B50C1" w14:textId="77777777" w:rsidR="003960D9" w:rsidRPr="005C4637" w:rsidRDefault="003960D9" w:rsidP="003960D9">
      <w:pPr>
        <w:pStyle w:val="Titre2"/>
      </w:pPr>
      <w:r w:rsidRPr="005C4637">
        <w:t xml:space="preserve"> </w:t>
      </w:r>
      <w:bookmarkStart w:id="396" w:name="_Toc225504181"/>
      <w:bookmarkStart w:id="397" w:name="_Toc225772270"/>
      <w:bookmarkStart w:id="398" w:name="_Toc226445325"/>
      <w:bookmarkStart w:id="399" w:name="_Toc233626109"/>
      <w:r w:rsidRPr="005C4637">
        <w:t>Encaisse du Directeur financier</w:t>
      </w:r>
      <w:bookmarkEnd w:id="396"/>
      <w:bookmarkEnd w:id="397"/>
      <w:bookmarkEnd w:id="398"/>
      <w:bookmarkEnd w:id="399"/>
    </w:p>
    <w:p w14:paraId="10A5C58C" w14:textId="77777777" w:rsidR="003960D9" w:rsidRPr="005C4637" w:rsidRDefault="003960D9">
      <w:pPr>
        <w:pStyle w:val="Titre3"/>
        <w:numPr>
          <w:ilvl w:val="0"/>
          <w:numId w:val="189"/>
        </w:numPr>
      </w:pPr>
      <w:bookmarkStart w:id="400" w:name="_Toc225504182"/>
      <w:bookmarkStart w:id="401" w:name="_Toc225772271"/>
      <w:bookmarkStart w:id="402" w:name="_Toc226445326"/>
      <w:bookmarkStart w:id="403" w:name="_Toc233626110"/>
      <w:r w:rsidRPr="005C4637">
        <w:t>À quelle fréquence l’encaisse doit-elle être vérifiée ?</w:t>
      </w:r>
      <w:bookmarkEnd w:id="400"/>
      <w:bookmarkEnd w:id="401"/>
      <w:bookmarkEnd w:id="402"/>
      <w:bookmarkEnd w:id="403"/>
    </w:p>
    <w:p w14:paraId="42984B23"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Le Collège communal doit vérifier l’encaisse au moins une fois par trimestre, conformément à l’article L1124-42 du CDLD.</w:t>
      </w:r>
    </w:p>
    <w:p w14:paraId="6787538B" w14:textId="77777777" w:rsidR="003960D9" w:rsidRPr="005C4637" w:rsidRDefault="003960D9" w:rsidP="003960D9">
      <w:pPr>
        <w:pStyle w:val="Titre3"/>
      </w:pPr>
      <w:bookmarkStart w:id="404" w:name="_Toc225504183"/>
      <w:bookmarkStart w:id="405" w:name="_Toc225772272"/>
      <w:bookmarkStart w:id="406" w:name="_Toc226445327"/>
      <w:bookmarkStart w:id="407" w:name="_Toc233626111"/>
      <w:r w:rsidRPr="005C4637">
        <w:t>Cette fréquence peut-elle être augmentée ?</w:t>
      </w:r>
      <w:bookmarkEnd w:id="404"/>
      <w:bookmarkEnd w:id="405"/>
      <w:bookmarkEnd w:id="406"/>
      <w:bookmarkEnd w:id="407"/>
    </w:p>
    <w:p w14:paraId="4D9CEB24" w14:textId="77777777" w:rsidR="003960D9" w:rsidRPr="005C4637" w:rsidRDefault="003960D9" w:rsidP="003960D9">
      <w:pPr>
        <w:rPr>
          <w:rFonts w:ascii="Cambria" w:eastAsia="MS Mincho" w:hAnsi="Cambria" w:cs="Times New Roman"/>
        </w:rPr>
      </w:pPr>
      <w:r w:rsidRPr="66F5B241">
        <w:rPr>
          <w:rFonts w:ascii="Cambria" w:eastAsia="MS Mincho" w:hAnsi="Cambria" w:cs="Times New Roman"/>
        </w:rPr>
        <w:t>Oui. Le délai trimestriel est un maximum, rien n’empêche une vérification plus fréquente.</w:t>
      </w:r>
    </w:p>
    <w:p w14:paraId="17F59048" w14:textId="77777777" w:rsidR="003960D9" w:rsidRPr="005C4637" w:rsidRDefault="003960D9" w:rsidP="003960D9">
      <w:pPr>
        <w:pStyle w:val="Titre3"/>
      </w:pPr>
      <w:bookmarkStart w:id="408" w:name="_Toc225504184"/>
      <w:bookmarkStart w:id="409" w:name="_Toc225772273"/>
      <w:bookmarkStart w:id="410" w:name="_Toc226445328"/>
      <w:bookmarkStart w:id="411" w:name="_Toc233626112"/>
      <w:r w:rsidRPr="005C4637">
        <w:t>Que doit produire cette vérification ?</w:t>
      </w:r>
      <w:bookmarkEnd w:id="408"/>
      <w:bookmarkEnd w:id="409"/>
      <w:bookmarkEnd w:id="410"/>
      <w:bookmarkEnd w:id="411"/>
    </w:p>
    <w:p w14:paraId="42ACE995"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Elle doit être actée dans une situation de caisse, et les procès-verbaux constituent des pièces justificatives obligatoires pour les comptes communaux.</w:t>
      </w:r>
    </w:p>
    <w:p w14:paraId="7E89C148" w14:textId="77777777" w:rsidR="003960D9" w:rsidRPr="005C4637" w:rsidRDefault="003960D9" w:rsidP="003960D9">
      <w:pPr>
        <w:pStyle w:val="Titre3"/>
      </w:pPr>
      <w:bookmarkStart w:id="412" w:name="_Toc225504185"/>
      <w:bookmarkStart w:id="413" w:name="_Toc225772274"/>
      <w:bookmarkStart w:id="414" w:name="_Toc226445329"/>
      <w:bookmarkStart w:id="415" w:name="_Toc233626113"/>
      <w:r w:rsidRPr="005C4637">
        <w:t>Quels textes doivent être respectés ?</w:t>
      </w:r>
      <w:bookmarkEnd w:id="412"/>
      <w:bookmarkEnd w:id="413"/>
      <w:bookmarkEnd w:id="414"/>
      <w:bookmarkEnd w:id="415"/>
    </w:p>
    <w:p w14:paraId="05C8E44A"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Les circulaires du 14 juin 2016 relatives aux finances communales et au contrôle interne.</w:t>
      </w:r>
    </w:p>
    <w:p w14:paraId="06EAAB8D" w14:textId="77777777" w:rsidR="003960D9" w:rsidRPr="005C4637" w:rsidRDefault="003960D9" w:rsidP="003960D9">
      <w:pPr>
        <w:pStyle w:val="Titre2"/>
      </w:pPr>
      <w:r w:rsidRPr="005C4637">
        <w:t xml:space="preserve"> </w:t>
      </w:r>
      <w:bookmarkStart w:id="416" w:name="_Toc225504186"/>
      <w:bookmarkStart w:id="417" w:name="_Toc225772275"/>
      <w:bookmarkStart w:id="418" w:name="_Toc226445330"/>
      <w:bookmarkStart w:id="419" w:name="_Toc233626114"/>
      <w:r w:rsidRPr="005C4637">
        <w:t>Budget participatif</w:t>
      </w:r>
      <w:bookmarkEnd w:id="416"/>
      <w:bookmarkEnd w:id="417"/>
      <w:bookmarkEnd w:id="418"/>
      <w:bookmarkEnd w:id="419"/>
    </w:p>
    <w:p w14:paraId="73C3EA54" w14:textId="77777777" w:rsidR="003960D9" w:rsidRPr="005C4637" w:rsidRDefault="003960D9">
      <w:pPr>
        <w:pStyle w:val="Titre3"/>
        <w:numPr>
          <w:ilvl w:val="0"/>
          <w:numId w:val="190"/>
        </w:numPr>
      </w:pPr>
      <w:bookmarkStart w:id="420" w:name="_Toc225504187"/>
      <w:bookmarkStart w:id="421" w:name="_Toc225772276"/>
      <w:bookmarkStart w:id="422" w:name="_Toc226445331"/>
      <w:bookmarkStart w:id="423" w:name="_Toc233626115"/>
      <w:r w:rsidRPr="005C4637">
        <w:t>Qu’est-ce qu’un budget participatif ?</w:t>
      </w:r>
      <w:bookmarkEnd w:id="420"/>
      <w:bookmarkEnd w:id="421"/>
      <w:bookmarkEnd w:id="422"/>
      <w:bookmarkEnd w:id="423"/>
    </w:p>
    <w:p w14:paraId="7AFC328B" w14:textId="77777777" w:rsidR="006B0671" w:rsidRDefault="003960D9" w:rsidP="006B0671">
      <w:pPr>
        <w:rPr>
          <w:rFonts w:ascii="Cambria" w:eastAsia="MS Mincho" w:hAnsi="Cambria" w:cs="Times New Roman"/>
        </w:rPr>
      </w:pPr>
      <w:r w:rsidRPr="005C4637">
        <w:rPr>
          <w:rFonts w:ascii="Cambria" w:eastAsia="MS Mincho" w:hAnsi="Cambria" w:cs="Times New Roman"/>
        </w:rPr>
        <w:t>Il s’agit d’une partie du budget communal affectée à des projets proposés par :</w:t>
      </w:r>
    </w:p>
    <w:p w14:paraId="2B918FE9" w14:textId="77777777" w:rsidR="006B0671" w:rsidRDefault="003960D9">
      <w:pPr>
        <w:pStyle w:val="Paragraphedeliste"/>
        <w:numPr>
          <w:ilvl w:val="0"/>
          <w:numId w:val="191"/>
        </w:numPr>
        <w:rPr>
          <w:rFonts w:ascii="Cambria" w:eastAsia="MS Mincho" w:hAnsi="Cambria" w:cs="Times New Roman"/>
        </w:rPr>
      </w:pPr>
      <w:r w:rsidRPr="006B0671">
        <w:rPr>
          <w:rFonts w:ascii="Cambria" w:eastAsia="MS Mincho" w:hAnsi="Cambria" w:cs="Times New Roman"/>
        </w:rPr>
        <w:t>des comités de quartier,</w:t>
      </w:r>
    </w:p>
    <w:p w14:paraId="53AD8C9F" w14:textId="367E6FBE" w:rsidR="003960D9" w:rsidRPr="006B0671" w:rsidRDefault="003960D9">
      <w:pPr>
        <w:pStyle w:val="Paragraphedeliste"/>
        <w:numPr>
          <w:ilvl w:val="0"/>
          <w:numId w:val="191"/>
        </w:numPr>
        <w:rPr>
          <w:rFonts w:ascii="Cambria" w:eastAsia="MS Mincho" w:hAnsi="Cambria" w:cs="Times New Roman"/>
        </w:rPr>
      </w:pPr>
      <w:r w:rsidRPr="006B0671">
        <w:rPr>
          <w:rFonts w:ascii="Cambria" w:eastAsia="MS Mincho" w:hAnsi="Cambria" w:cs="Times New Roman"/>
        </w:rPr>
        <w:t>ou des associations citoyennes dotées de la personnalité juridique,</w:t>
      </w:r>
    </w:p>
    <w:p w14:paraId="43F8899A"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lastRenderedPageBreak/>
        <w:t>conformément à l’article L1321-3 du CDLD.</w:t>
      </w:r>
    </w:p>
    <w:p w14:paraId="30C3AA9E" w14:textId="77777777" w:rsidR="003960D9" w:rsidRPr="005C4637" w:rsidRDefault="003960D9" w:rsidP="003960D9">
      <w:pPr>
        <w:pStyle w:val="Titre3"/>
      </w:pPr>
      <w:bookmarkStart w:id="424" w:name="_Toc225504188"/>
      <w:bookmarkStart w:id="425" w:name="_Toc225772277"/>
      <w:bookmarkStart w:id="426" w:name="_Toc226445332"/>
      <w:bookmarkStart w:id="427" w:name="_Toc233626116"/>
      <w:r w:rsidRPr="005C4637">
        <w:t>Cette décision est-elle soumise à la tutelle spéciale d'approbation ?</w:t>
      </w:r>
      <w:bookmarkEnd w:id="424"/>
      <w:bookmarkEnd w:id="425"/>
      <w:bookmarkEnd w:id="426"/>
      <w:bookmarkEnd w:id="427"/>
    </w:p>
    <w:p w14:paraId="5D7548C9"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Non, elle n’y est pas soumise.</w:t>
      </w:r>
    </w:p>
    <w:p w14:paraId="77763B9B" w14:textId="77777777" w:rsidR="003960D9" w:rsidRPr="005C4637" w:rsidRDefault="003960D9" w:rsidP="003960D9">
      <w:pPr>
        <w:pStyle w:val="Titre3"/>
      </w:pPr>
      <w:bookmarkStart w:id="428" w:name="_Toc225504189"/>
      <w:bookmarkStart w:id="429" w:name="_Toc225772278"/>
      <w:bookmarkStart w:id="430" w:name="_Toc226445333"/>
      <w:bookmarkStart w:id="431" w:name="_Toc233626117"/>
      <w:r w:rsidRPr="005C4637">
        <w:t>Quelle procédure doit être mise en place ?</w:t>
      </w:r>
      <w:bookmarkEnd w:id="428"/>
      <w:bookmarkEnd w:id="429"/>
      <w:bookmarkEnd w:id="430"/>
      <w:bookmarkEnd w:id="431"/>
    </w:p>
    <w:p w14:paraId="0DD99B6E" w14:textId="77777777" w:rsidR="003960D9" w:rsidRPr="00D333CE" w:rsidRDefault="003960D9" w:rsidP="00D333CE">
      <w:pPr>
        <w:rPr>
          <w:rFonts w:ascii="Cambria" w:eastAsia="MS Mincho" w:hAnsi="Cambria" w:cs="Times New Roman"/>
        </w:rPr>
      </w:pPr>
      <w:r w:rsidRPr="00D333CE">
        <w:rPr>
          <w:rFonts w:ascii="Cambria" w:eastAsia="MS Mincho" w:hAnsi="Cambria" w:cs="Times New Roman"/>
        </w:rPr>
        <w:t>Le Conseil communal doit prévoir :</w:t>
      </w:r>
    </w:p>
    <w:p w14:paraId="702C70A6" w14:textId="77777777" w:rsidR="003960D9" w:rsidRPr="005C4637" w:rsidRDefault="003960D9">
      <w:pPr>
        <w:pStyle w:val="Paragraphedeliste"/>
        <w:numPr>
          <w:ilvl w:val="0"/>
          <w:numId w:val="191"/>
        </w:numPr>
        <w:rPr>
          <w:rFonts w:ascii="Cambria" w:eastAsia="MS Mincho" w:hAnsi="Cambria" w:cs="Times New Roman"/>
        </w:rPr>
      </w:pPr>
      <w:r w:rsidRPr="005C4637">
        <w:rPr>
          <w:rFonts w:ascii="Cambria" w:eastAsia="MS Mincho" w:hAnsi="Cambria" w:cs="Times New Roman"/>
        </w:rPr>
        <w:t>un appel à projets,</w:t>
      </w:r>
    </w:p>
    <w:p w14:paraId="73EA7827" w14:textId="77777777" w:rsidR="003960D9" w:rsidRPr="005C4637" w:rsidRDefault="003960D9">
      <w:pPr>
        <w:pStyle w:val="Paragraphedeliste"/>
        <w:numPr>
          <w:ilvl w:val="0"/>
          <w:numId w:val="191"/>
        </w:numPr>
        <w:rPr>
          <w:rFonts w:ascii="Cambria" w:eastAsia="MS Mincho" w:hAnsi="Cambria" w:cs="Times New Roman"/>
        </w:rPr>
      </w:pPr>
      <w:r w:rsidRPr="005C4637">
        <w:rPr>
          <w:rFonts w:ascii="Cambria" w:eastAsia="MS Mincho" w:hAnsi="Cambria" w:cs="Times New Roman"/>
        </w:rPr>
        <w:t>des modalités de sélection,</w:t>
      </w:r>
    </w:p>
    <w:p w14:paraId="05106715" w14:textId="77777777" w:rsidR="003960D9" w:rsidRPr="005C4637" w:rsidRDefault="003960D9">
      <w:pPr>
        <w:pStyle w:val="Paragraphedeliste"/>
        <w:numPr>
          <w:ilvl w:val="0"/>
          <w:numId w:val="191"/>
        </w:numPr>
        <w:rPr>
          <w:rFonts w:ascii="Cambria" w:eastAsia="MS Mincho" w:hAnsi="Cambria" w:cs="Times New Roman"/>
        </w:rPr>
      </w:pPr>
      <w:r w:rsidRPr="005C4637">
        <w:rPr>
          <w:rFonts w:ascii="Cambria" w:eastAsia="MS Mincho" w:hAnsi="Cambria" w:cs="Times New Roman"/>
        </w:rPr>
        <w:t>un jury, éventuellement composé de membres du Collège mais ouvert à l’opposition.</w:t>
      </w:r>
    </w:p>
    <w:p w14:paraId="614F4E4B" w14:textId="77777777" w:rsidR="003960D9" w:rsidRPr="005C4637" w:rsidRDefault="003960D9" w:rsidP="003960D9">
      <w:pPr>
        <w:pStyle w:val="Titre3"/>
      </w:pPr>
      <w:bookmarkStart w:id="432" w:name="_Toc225504190"/>
      <w:bookmarkStart w:id="433" w:name="_Toc225772279"/>
      <w:bookmarkStart w:id="434" w:name="_Toc226445334"/>
      <w:bookmarkStart w:id="435" w:name="_Toc233626118"/>
      <w:r w:rsidRPr="005C4637">
        <w:t>Quand le jury se réunit-il ?</w:t>
      </w:r>
      <w:bookmarkEnd w:id="432"/>
      <w:bookmarkEnd w:id="433"/>
      <w:bookmarkEnd w:id="434"/>
      <w:bookmarkEnd w:id="435"/>
    </w:p>
    <w:p w14:paraId="3A7B7FE5"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Avant ou après le vote du budget, suivant la décision du Conseil communal.</w:t>
      </w:r>
    </w:p>
    <w:p w14:paraId="2EE63634" w14:textId="77777777" w:rsidR="003960D9" w:rsidRPr="005C4637" w:rsidRDefault="003960D9" w:rsidP="003960D9">
      <w:pPr>
        <w:pStyle w:val="Titre3"/>
      </w:pPr>
      <w:bookmarkStart w:id="436" w:name="_Toc225504191"/>
      <w:bookmarkStart w:id="437" w:name="_Toc225772280"/>
      <w:bookmarkStart w:id="438" w:name="_Toc226445335"/>
      <w:bookmarkStart w:id="439" w:name="_Toc233626119"/>
      <w:r w:rsidRPr="005C4637">
        <w:t>Comment est réparti le budget participatif ?</w:t>
      </w:r>
      <w:bookmarkEnd w:id="436"/>
      <w:bookmarkEnd w:id="437"/>
      <w:bookmarkEnd w:id="438"/>
      <w:bookmarkEnd w:id="439"/>
    </w:p>
    <w:p w14:paraId="50BA43B4"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Le jury propose les projets retenus, et le Conseil communal affecte le budget :</w:t>
      </w:r>
    </w:p>
    <w:p w14:paraId="14C42FED" w14:textId="77777777" w:rsidR="003960D9" w:rsidRPr="005C4637" w:rsidRDefault="003960D9">
      <w:pPr>
        <w:pStyle w:val="Paragraphedeliste"/>
        <w:numPr>
          <w:ilvl w:val="0"/>
          <w:numId w:val="191"/>
        </w:numPr>
        <w:rPr>
          <w:rFonts w:ascii="Cambria" w:eastAsia="MS Mincho" w:hAnsi="Cambria" w:cs="Times New Roman"/>
        </w:rPr>
      </w:pPr>
      <w:r w:rsidRPr="005C4637">
        <w:rPr>
          <w:rFonts w:ascii="Cambria" w:eastAsia="MS Mincho" w:hAnsi="Cambria" w:cs="Times New Roman"/>
        </w:rPr>
        <w:t>partiellement,</w:t>
      </w:r>
    </w:p>
    <w:p w14:paraId="456F6147" w14:textId="77777777" w:rsidR="003960D9" w:rsidRPr="005C4637" w:rsidRDefault="003960D9">
      <w:pPr>
        <w:pStyle w:val="Paragraphedeliste"/>
        <w:numPr>
          <w:ilvl w:val="0"/>
          <w:numId w:val="191"/>
        </w:numPr>
        <w:rPr>
          <w:rFonts w:ascii="Cambria" w:eastAsia="MS Mincho" w:hAnsi="Cambria" w:cs="Times New Roman"/>
        </w:rPr>
      </w:pPr>
      <w:r w:rsidRPr="005C4637">
        <w:rPr>
          <w:rFonts w:ascii="Cambria" w:eastAsia="MS Mincho" w:hAnsi="Cambria" w:cs="Times New Roman"/>
        </w:rPr>
        <w:t>totalement,</w:t>
      </w:r>
    </w:p>
    <w:p w14:paraId="5CF3B3E3"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et selon les priorités jugées pertinentes.</w:t>
      </w:r>
    </w:p>
    <w:p w14:paraId="0C48F62B" w14:textId="77777777" w:rsidR="003960D9" w:rsidRPr="005C4637" w:rsidRDefault="003960D9" w:rsidP="003960D9">
      <w:pPr>
        <w:pStyle w:val="Titre3"/>
      </w:pPr>
      <w:bookmarkStart w:id="440" w:name="_Toc225504192"/>
      <w:bookmarkStart w:id="441" w:name="_Toc225772281"/>
      <w:bookmarkStart w:id="442" w:name="_Toc226445336"/>
      <w:bookmarkStart w:id="443" w:name="_Toc233626120"/>
      <w:r w:rsidRPr="005C4637">
        <w:t>Quel code fonctionnel utiliser pour identifier ces budgets ?</w:t>
      </w:r>
      <w:bookmarkEnd w:id="440"/>
      <w:bookmarkEnd w:id="441"/>
      <w:bookmarkEnd w:id="442"/>
      <w:bookmarkEnd w:id="443"/>
    </w:p>
    <w:p w14:paraId="661875E8"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Le code FFF27 doit être utilisé pour permettre le suivi statistique.</w:t>
      </w:r>
    </w:p>
    <w:p w14:paraId="53703E84" w14:textId="77777777" w:rsidR="003960D9" w:rsidRPr="005C4637" w:rsidRDefault="003960D9" w:rsidP="003960D9">
      <w:pPr>
        <w:pStyle w:val="Titre2"/>
      </w:pPr>
      <w:bookmarkStart w:id="444" w:name="_Toc225504193"/>
      <w:bookmarkStart w:id="445" w:name="_Toc225772282"/>
      <w:bookmarkStart w:id="446" w:name="_Toc226445337"/>
      <w:bookmarkStart w:id="447" w:name="_Toc233626121"/>
      <w:r w:rsidRPr="005C4637">
        <w:t>Prévisions budgétaires pluriannuelles</w:t>
      </w:r>
      <w:bookmarkEnd w:id="444"/>
      <w:bookmarkEnd w:id="445"/>
      <w:bookmarkEnd w:id="446"/>
      <w:bookmarkEnd w:id="447"/>
    </w:p>
    <w:p w14:paraId="141B23C0" w14:textId="77777777" w:rsidR="003960D9" w:rsidRPr="005C4637" w:rsidRDefault="003960D9">
      <w:pPr>
        <w:pStyle w:val="Titre3"/>
        <w:numPr>
          <w:ilvl w:val="0"/>
          <w:numId w:val="192"/>
        </w:numPr>
      </w:pPr>
      <w:bookmarkStart w:id="448" w:name="_Toc225504194"/>
      <w:bookmarkStart w:id="449" w:name="_Toc225772283"/>
      <w:bookmarkStart w:id="450" w:name="_Toc226445338"/>
      <w:bookmarkStart w:id="451" w:name="_Toc233626122"/>
      <w:r w:rsidRPr="005C4637">
        <w:t>Comment transmettre les prévisions budgétaires pluriannuelles ?</w:t>
      </w:r>
      <w:bookmarkEnd w:id="448"/>
      <w:bookmarkEnd w:id="449"/>
      <w:bookmarkEnd w:id="450"/>
      <w:bookmarkEnd w:id="451"/>
    </w:p>
    <w:p w14:paraId="77314216" w14:textId="77777777" w:rsidR="0029411D" w:rsidRDefault="003960D9" w:rsidP="0029411D">
      <w:pPr>
        <w:rPr>
          <w:rFonts w:ascii="Cambria" w:eastAsia="MS Mincho" w:hAnsi="Cambria" w:cs="Times New Roman"/>
        </w:rPr>
      </w:pPr>
      <w:r w:rsidRPr="005C4637">
        <w:rPr>
          <w:rFonts w:ascii="Cambria" w:eastAsia="MS Mincho" w:hAnsi="Cambria" w:cs="Times New Roman"/>
        </w:rPr>
        <w:t>Elles doivent être transmises via un fichier XML disponible dans eComptes, au moment de la transmission :</w:t>
      </w:r>
    </w:p>
    <w:p w14:paraId="05F324ED" w14:textId="77777777" w:rsidR="0029411D" w:rsidRDefault="003960D9">
      <w:pPr>
        <w:pStyle w:val="Paragraphedeliste"/>
        <w:numPr>
          <w:ilvl w:val="0"/>
          <w:numId w:val="193"/>
        </w:numPr>
        <w:rPr>
          <w:rFonts w:ascii="Cambria" w:eastAsia="MS Mincho" w:hAnsi="Cambria" w:cs="Times New Roman"/>
        </w:rPr>
      </w:pPr>
      <w:r w:rsidRPr="0029411D">
        <w:rPr>
          <w:rFonts w:ascii="Cambria" w:eastAsia="MS Mincho" w:hAnsi="Cambria" w:cs="Times New Roman"/>
        </w:rPr>
        <w:t>du budget initial,</w:t>
      </w:r>
    </w:p>
    <w:p w14:paraId="1003AFB2" w14:textId="4AC1C018" w:rsidR="003960D9" w:rsidRPr="0029411D" w:rsidRDefault="003960D9">
      <w:pPr>
        <w:pStyle w:val="Paragraphedeliste"/>
        <w:numPr>
          <w:ilvl w:val="0"/>
          <w:numId w:val="193"/>
        </w:numPr>
        <w:rPr>
          <w:rFonts w:ascii="Cambria" w:eastAsia="MS Mincho" w:hAnsi="Cambria" w:cs="Times New Roman"/>
        </w:rPr>
      </w:pPr>
      <w:r w:rsidRPr="0029411D">
        <w:rPr>
          <w:rFonts w:ascii="Cambria" w:eastAsia="MS Mincho" w:hAnsi="Cambria" w:cs="Times New Roman"/>
        </w:rPr>
        <w:t>ou d’une modification budgétaire.</w:t>
      </w:r>
    </w:p>
    <w:p w14:paraId="7877EA5F" w14:textId="77777777" w:rsidR="003960D9" w:rsidRPr="005C4637" w:rsidRDefault="003960D9" w:rsidP="003960D9">
      <w:pPr>
        <w:pStyle w:val="Titre3"/>
      </w:pPr>
      <w:bookmarkStart w:id="452" w:name="_Toc225504195"/>
      <w:bookmarkStart w:id="453" w:name="_Toc225772284"/>
      <w:bookmarkStart w:id="454" w:name="_Toc226445339"/>
      <w:bookmarkStart w:id="455" w:name="_Toc233626123"/>
      <w:r w:rsidRPr="005C4637">
        <w:t>Sur quoi les prévisions doivent-elles se baser ?</w:t>
      </w:r>
      <w:bookmarkEnd w:id="452"/>
      <w:bookmarkEnd w:id="453"/>
      <w:bookmarkEnd w:id="454"/>
      <w:bookmarkEnd w:id="455"/>
    </w:p>
    <w:p w14:paraId="2B672CE2"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Elles doivent tenir compte :</w:t>
      </w:r>
    </w:p>
    <w:p w14:paraId="3031A302" w14:textId="77777777" w:rsidR="003960D9" w:rsidRPr="005C4637" w:rsidRDefault="003960D9">
      <w:pPr>
        <w:pStyle w:val="Paragraphedeliste"/>
        <w:numPr>
          <w:ilvl w:val="0"/>
          <w:numId w:val="193"/>
        </w:numPr>
        <w:rPr>
          <w:rFonts w:ascii="Cambria" w:eastAsia="MS Mincho" w:hAnsi="Cambria" w:cs="Times New Roman"/>
        </w:rPr>
      </w:pPr>
      <w:r w:rsidRPr="1EBE8CDE">
        <w:rPr>
          <w:rFonts w:ascii="Cambria" w:eastAsia="MS Mincho" w:hAnsi="Cambria" w:cs="Times New Roman"/>
        </w:rPr>
        <w:t>des options stratégiques du programme stratégique transversal (PST),</w:t>
      </w:r>
    </w:p>
    <w:p w14:paraId="7B475372" w14:textId="77777777" w:rsidR="003960D9" w:rsidRPr="005C4637" w:rsidRDefault="003960D9">
      <w:pPr>
        <w:pStyle w:val="Paragraphedeliste"/>
        <w:numPr>
          <w:ilvl w:val="0"/>
          <w:numId w:val="193"/>
        </w:numPr>
        <w:rPr>
          <w:rFonts w:ascii="Cambria" w:eastAsia="MS Mincho" w:hAnsi="Cambria" w:cs="Times New Roman"/>
        </w:rPr>
      </w:pPr>
      <w:r w:rsidRPr="005C4637">
        <w:rPr>
          <w:rFonts w:ascii="Cambria" w:eastAsia="MS Mincho" w:hAnsi="Cambria" w:cs="Times New Roman"/>
        </w:rPr>
        <w:t>des politiques prévues pour la mandature 2025-2030,</w:t>
      </w:r>
    </w:p>
    <w:p w14:paraId="7A5946CE" w14:textId="77777777" w:rsidR="003960D9" w:rsidRPr="005C4637" w:rsidRDefault="003960D9">
      <w:pPr>
        <w:pStyle w:val="Paragraphedeliste"/>
        <w:numPr>
          <w:ilvl w:val="0"/>
          <w:numId w:val="193"/>
        </w:numPr>
        <w:rPr>
          <w:rFonts w:ascii="Cambria" w:eastAsia="MS Mincho" w:hAnsi="Cambria" w:cs="Times New Roman"/>
        </w:rPr>
      </w:pPr>
      <w:r w:rsidRPr="005C4637">
        <w:rPr>
          <w:rFonts w:ascii="Cambria" w:eastAsia="MS Mincho" w:hAnsi="Cambria" w:cs="Times New Roman"/>
        </w:rPr>
        <w:t>des contraintes financières actuelles des pouvoirs locaux,</w:t>
      </w:r>
    </w:p>
    <w:p w14:paraId="4DFE398E" w14:textId="77777777" w:rsidR="003960D9" w:rsidRPr="005C4637" w:rsidRDefault="003960D9">
      <w:pPr>
        <w:pStyle w:val="Paragraphedeliste"/>
        <w:numPr>
          <w:ilvl w:val="0"/>
          <w:numId w:val="193"/>
        </w:numPr>
        <w:rPr>
          <w:rFonts w:ascii="Cambria" w:eastAsia="MS Mincho" w:hAnsi="Cambria" w:cs="Times New Roman"/>
        </w:rPr>
      </w:pPr>
      <w:r w:rsidRPr="005C4637">
        <w:rPr>
          <w:rFonts w:ascii="Cambria" w:eastAsia="MS Mincho" w:hAnsi="Cambria" w:cs="Times New Roman"/>
        </w:rPr>
        <w:t>des dernières prévisions pluriannuelles,</w:t>
      </w:r>
    </w:p>
    <w:p w14:paraId="2CF2EC01" w14:textId="77777777" w:rsidR="003960D9" w:rsidRPr="005C4637" w:rsidRDefault="003960D9">
      <w:pPr>
        <w:pStyle w:val="Paragraphedeliste"/>
        <w:numPr>
          <w:ilvl w:val="0"/>
          <w:numId w:val="193"/>
        </w:numPr>
        <w:rPr>
          <w:rFonts w:ascii="Cambria" w:eastAsia="MS Mincho" w:hAnsi="Cambria" w:cs="Times New Roman"/>
        </w:rPr>
      </w:pPr>
      <w:r w:rsidRPr="005C4637">
        <w:rPr>
          <w:rFonts w:ascii="Cambria" w:eastAsia="MS Mincho" w:hAnsi="Cambria" w:cs="Times New Roman"/>
        </w:rPr>
        <w:t>des indexations de recettes et de dépenses,</w:t>
      </w:r>
    </w:p>
    <w:p w14:paraId="7E54C005" w14:textId="77777777" w:rsidR="003960D9" w:rsidRPr="005C4637" w:rsidRDefault="003960D9">
      <w:pPr>
        <w:pStyle w:val="Paragraphedeliste"/>
        <w:numPr>
          <w:ilvl w:val="0"/>
          <w:numId w:val="193"/>
        </w:numPr>
        <w:rPr>
          <w:rFonts w:ascii="Cambria" w:eastAsia="MS Mincho" w:hAnsi="Cambria" w:cs="Times New Roman"/>
        </w:rPr>
      </w:pPr>
      <w:r w:rsidRPr="005C4637">
        <w:rPr>
          <w:rFonts w:ascii="Cambria" w:eastAsia="MS Mincho" w:hAnsi="Cambria" w:cs="Times New Roman"/>
        </w:rPr>
        <w:t>des charges d’emprunts liées aux investissements.</w:t>
      </w:r>
    </w:p>
    <w:p w14:paraId="145781F8" w14:textId="77777777" w:rsidR="003960D9" w:rsidRPr="005C4637" w:rsidRDefault="003960D9" w:rsidP="003960D9">
      <w:pPr>
        <w:pStyle w:val="Titre3"/>
      </w:pPr>
      <w:bookmarkStart w:id="456" w:name="_Toc225504196"/>
      <w:bookmarkStart w:id="457" w:name="_Toc225772285"/>
      <w:bookmarkStart w:id="458" w:name="_Toc226445340"/>
      <w:bookmarkStart w:id="459" w:name="_Toc233626124"/>
      <w:r w:rsidRPr="005C4637">
        <w:lastRenderedPageBreak/>
        <w:t>Peut-on inscrire un montant supérieur à la prévision régionale pour le précompte immobilier ?</w:t>
      </w:r>
      <w:bookmarkEnd w:id="456"/>
      <w:bookmarkEnd w:id="457"/>
      <w:bookmarkEnd w:id="458"/>
      <w:bookmarkEnd w:id="459"/>
    </w:p>
    <w:p w14:paraId="7C21CE33"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Oui, mais uniquement si la commune peut justifier clairement et documenter ce choix, par exemple :</w:t>
      </w:r>
      <w:r>
        <w:rPr>
          <w:rFonts w:ascii="Cambria" w:eastAsia="MS Mincho" w:hAnsi="Cambria" w:cs="Times New Roman"/>
        </w:rPr>
        <w:t xml:space="preserve"> </w:t>
      </w:r>
      <w:r w:rsidRPr="005C4637">
        <w:rPr>
          <w:rFonts w:ascii="Cambria" w:eastAsia="MS Mincho" w:hAnsi="Cambria" w:cs="Times New Roman"/>
        </w:rPr>
        <w:t>ouverture d’un nouveau zoning,</w:t>
      </w:r>
      <w:r>
        <w:rPr>
          <w:rFonts w:ascii="Cambria" w:eastAsia="MS Mincho" w:hAnsi="Cambria" w:cs="Times New Roman"/>
        </w:rPr>
        <w:t xml:space="preserve"> </w:t>
      </w:r>
      <w:r w:rsidRPr="005C4637">
        <w:rPr>
          <w:rFonts w:ascii="Cambria" w:eastAsia="MS Mincho" w:hAnsi="Cambria" w:cs="Times New Roman"/>
        </w:rPr>
        <w:t>urbanisation d’un quartier,</w:t>
      </w:r>
      <w:r>
        <w:rPr>
          <w:rFonts w:ascii="Cambria" w:eastAsia="MS Mincho" w:hAnsi="Cambria" w:cs="Times New Roman"/>
        </w:rPr>
        <w:t xml:space="preserve"> </w:t>
      </w:r>
      <w:r w:rsidRPr="005C4637">
        <w:rPr>
          <w:rFonts w:ascii="Cambria" w:eastAsia="MS Mincho" w:hAnsi="Cambria" w:cs="Times New Roman"/>
        </w:rPr>
        <w:t>augmentation notable de l’assiette taxable.</w:t>
      </w:r>
    </w:p>
    <w:p w14:paraId="37F062D4" w14:textId="77777777" w:rsidR="003960D9" w:rsidRPr="005C4637" w:rsidRDefault="003960D9" w:rsidP="003960D9">
      <w:pPr>
        <w:pStyle w:val="Titre3"/>
      </w:pPr>
      <w:bookmarkStart w:id="460" w:name="_Toc225504197"/>
      <w:bookmarkStart w:id="461" w:name="_Toc225772286"/>
      <w:bookmarkStart w:id="462" w:name="_Toc226445341"/>
      <w:bookmarkStart w:id="463" w:name="_Toc233626125"/>
      <w:r w:rsidRPr="005C4637">
        <w:t>Que se passe-t-il si la justification n’est pas suffisante ?</w:t>
      </w:r>
      <w:bookmarkEnd w:id="460"/>
      <w:bookmarkEnd w:id="461"/>
      <w:bookmarkEnd w:id="462"/>
      <w:bookmarkEnd w:id="463"/>
    </w:p>
    <w:p w14:paraId="1C0C32DD"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 xml:space="preserve">Le montant </w:t>
      </w:r>
      <w:r w:rsidRPr="62298347">
        <w:rPr>
          <w:rFonts w:ascii="Cambria" w:eastAsia="MS Mincho" w:hAnsi="Cambria" w:cs="Times New Roman"/>
        </w:rPr>
        <w:t>devra</w:t>
      </w:r>
      <w:r w:rsidRPr="005C4637">
        <w:rPr>
          <w:rFonts w:ascii="Cambria" w:eastAsia="MS Mincho" w:hAnsi="Cambria" w:cs="Times New Roman"/>
        </w:rPr>
        <w:t xml:space="preserve"> rester strictement conforme à la prévision régionale.</w:t>
      </w:r>
    </w:p>
    <w:p w14:paraId="1B080594" w14:textId="77777777" w:rsidR="003960D9" w:rsidRPr="005C4637" w:rsidRDefault="003960D9" w:rsidP="003960D9">
      <w:pPr>
        <w:spacing w:before="120"/>
      </w:pPr>
    </w:p>
    <w:p w14:paraId="1DCAC893" w14:textId="77777777" w:rsidR="003960D9" w:rsidRPr="005C4637" w:rsidRDefault="003960D9" w:rsidP="003960D9">
      <w:pPr>
        <w:pStyle w:val="Titre2"/>
      </w:pPr>
      <w:bookmarkStart w:id="464" w:name="_Toc143778994"/>
      <w:bookmarkStart w:id="465" w:name="_Toc208321530"/>
      <w:bookmarkStart w:id="466" w:name="_Toc208419918"/>
      <w:bookmarkStart w:id="467" w:name="_Toc225504198"/>
      <w:bookmarkStart w:id="468" w:name="_Toc225772287"/>
      <w:bookmarkStart w:id="469" w:name="_Toc226445342"/>
      <w:bookmarkStart w:id="470" w:name="_Toc233626126"/>
      <w:r w:rsidRPr="005C4637">
        <w:t>Indicateurs socio-économiques pouvant être pris en compte</w:t>
      </w:r>
      <w:bookmarkEnd w:id="464"/>
      <w:bookmarkEnd w:id="465"/>
      <w:bookmarkEnd w:id="466"/>
      <w:bookmarkEnd w:id="467"/>
      <w:bookmarkEnd w:id="468"/>
      <w:bookmarkEnd w:id="469"/>
      <w:bookmarkEnd w:id="470"/>
    </w:p>
    <w:p w14:paraId="077D5FA9" w14:textId="77777777" w:rsidR="003960D9" w:rsidRDefault="003960D9" w:rsidP="003960D9">
      <w:pPr>
        <w:rPr>
          <w:rFonts w:ascii="Cambria" w:eastAsia="MS Mincho" w:hAnsi="Cambria" w:cs="Times New Roman"/>
        </w:rPr>
      </w:pPr>
      <w:r w:rsidRPr="005C4637">
        <w:rPr>
          <w:rFonts w:ascii="Cambria" w:eastAsia="MS Mincho" w:hAnsi="Cambria" w:cs="Times New Roman"/>
        </w:rPr>
        <w:t xml:space="preserve">Les dépenses et les recettes ordinaires pouvant varier selon des paramètres socio-économiques comme le taux d’inflation, l’indice santé ou encore le taux de croissance du PIB, je vous recommande de consulter les actualisations que le Bureau fédéral du Plan publie chaque mois à ce sujet sur son site : www.plan.be. Au moment de rédiger la présente, les projections suivantes sont établies comme suit au </w:t>
      </w:r>
      <w:r>
        <w:rPr>
          <w:rFonts w:ascii="Cambria" w:eastAsia="MS Mincho" w:hAnsi="Cambria" w:cs="Times New Roman"/>
        </w:rPr>
        <w:t>17 mars 2026</w:t>
      </w:r>
      <w:r w:rsidRPr="005C4637">
        <w:rPr>
          <w:rFonts w:ascii="Cambria" w:eastAsia="MS Mincho" w:hAnsi="Cambria" w:cs="Times New Roman"/>
        </w:rPr>
        <w:t xml:space="preserve"> : </w:t>
      </w:r>
    </w:p>
    <w:tbl>
      <w:tblPr>
        <w:tblW w:w="0" w:type="auto"/>
        <w:jc w:val="center"/>
        <w:tblCellMar>
          <w:left w:w="0" w:type="dxa"/>
          <w:right w:w="0" w:type="dxa"/>
        </w:tblCellMar>
        <w:tblLook w:val="04A0" w:firstRow="1" w:lastRow="0" w:firstColumn="1" w:lastColumn="0" w:noHBand="0" w:noVBand="1"/>
      </w:tblPr>
      <w:tblGrid>
        <w:gridCol w:w="1659"/>
        <w:gridCol w:w="1899"/>
        <w:gridCol w:w="1802"/>
        <w:gridCol w:w="1835"/>
        <w:gridCol w:w="1425"/>
      </w:tblGrid>
      <w:tr w:rsidR="003960D9" w:rsidRPr="00D554A6" w14:paraId="3AB323D2" w14:textId="77777777" w:rsidTr="005560EF">
        <w:trPr>
          <w:jc w:val="center"/>
        </w:trPr>
        <w:tc>
          <w:tcPr>
            <w:tcW w:w="17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CB88F8"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b/>
                <w:bCs/>
                <w:lang w:val="en-US"/>
              </w:rPr>
              <w:t>Exercice</w:t>
            </w:r>
          </w:p>
        </w:tc>
        <w:tc>
          <w:tcPr>
            <w:tcW w:w="20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52833C" w14:textId="77777777" w:rsidR="003960D9" w:rsidRPr="00D554A6" w:rsidRDefault="003960D9" w:rsidP="005560EF">
            <w:pPr>
              <w:rPr>
                <w:rFonts w:ascii="Cambria" w:eastAsia="MS Mincho" w:hAnsi="Cambria" w:cs="Times New Roman"/>
              </w:rPr>
            </w:pPr>
            <w:r w:rsidRPr="005560EF">
              <w:rPr>
                <w:rFonts w:ascii="Cambria" w:eastAsia="MS Mincho" w:hAnsi="Cambria" w:cs="Times New Roman"/>
                <w:b/>
                <w:bCs/>
              </w:rPr>
              <w:t>Taux de croissance du PIB national</w:t>
            </w:r>
          </w:p>
        </w:tc>
        <w:tc>
          <w:tcPr>
            <w:tcW w:w="1968" w:type="dxa"/>
            <w:tcBorders>
              <w:top w:val="single" w:sz="8" w:space="0" w:color="auto"/>
              <w:left w:val="nil"/>
              <w:bottom w:val="single" w:sz="8" w:space="0" w:color="auto"/>
              <w:right w:val="single" w:sz="8" w:space="0" w:color="auto"/>
            </w:tcBorders>
            <w:hideMark/>
          </w:tcPr>
          <w:p w14:paraId="6E81796C" w14:textId="77777777" w:rsidR="003960D9" w:rsidRPr="005560EF" w:rsidRDefault="003960D9" w:rsidP="005560EF">
            <w:pPr>
              <w:rPr>
                <w:rFonts w:ascii="Cambria" w:eastAsia="MS Mincho" w:hAnsi="Cambria" w:cs="Times New Roman"/>
                <w:b/>
                <w:bCs/>
              </w:rPr>
            </w:pPr>
            <w:r w:rsidRPr="005560EF">
              <w:rPr>
                <w:rFonts w:ascii="Cambria" w:eastAsia="MS Mincho" w:hAnsi="Cambria" w:cs="Times New Roman"/>
                <w:b/>
                <w:bCs/>
              </w:rPr>
              <w:t>Taux de croissance PIB régional</w:t>
            </w:r>
          </w:p>
        </w:tc>
        <w:tc>
          <w:tcPr>
            <w:tcW w:w="19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1C2256"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b/>
                <w:bCs/>
                <w:lang w:val="en-US"/>
              </w:rPr>
              <w:t>Taux d’inflation</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5E320E"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b/>
                <w:bCs/>
                <w:lang w:val="en-US"/>
              </w:rPr>
              <w:t>Indice santé</w:t>
            </w:r>
          </w:p>
        </w:tc>
      </w:tr>
      <w:tr w:rsidR="003960D9" w:rsidRPr="00D554A6" w14:paraId="0D67799B" w14:textId="77777777" w:rsidTr="005560EF">
        <w:trPr>
          <w:jc w:val="center"/>
        </w:trPr>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71F5E0"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b/>
                <w:bCs/>
                <w:lang w:val="en-US"/>
              </w:rPr>
              <w:t>2020</w:t>
            </w:r>
          </w:p>
        </w:tc>
        <w:tc>
          <w:tcPr>
            <w:tcW w:w="2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F249E5"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-4.8%</w:t>
            </w:r>
          </w:p>
        </w:tc>
        <w:tc>
          <w:tcPr>
            <w:tcW w:w="1968" w:type="dxa"/>
            <w:tcBorders>
              <w:top w:val="nil"/>
              <w:left w:val="nil"/>
              <w:bottom w:val="single" w:sz="8" w:space="0" w:color="auto"/>
              <w:right w:val="single" w:sz="8" w:space="0" w:color="auto"/>
            </w:tcBorders>
          </w:tcPr>
          <w:p w14:paraId="0D09C6E3" w14:textId="77777777" w:rsidR="003960D9" w:rsidRPr="00D554A6" w:rsidRDefault="003960D9" w:rsidP="005560EF">
            <w:pPr>
              <w:rPr>
                <w:rFonts w:ascii="Cambria" w:eastAsia="MS Mincho" w:hAnsi="Cambria" w:cs="Times New Roman"/>
                <w:lang w:val="en-US"/>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1FAD22"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+0.7%</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41D3CF"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+1.0%</w:t>
            </w:r>
          </w:p>
        </w:tc>
      </w:tr>
      <w:tr w:rsidR="003960D9" w:rsidRPr="00D554A6" w14:paraId="4021795D" w14:textId="77777777" w:rsidTr="005560EF">
        <w:trPr>
          <w:jc w:val="center"/>
        </w:trPr>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B0D4C6"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b/>
                <w:bCs/>
                <w:lang w:val="en-US"/>
              </w:rPr>
              <w:t>2021</w:t>
            </w:r>
          </w:p>
        </w:tc>
        <w:tc>
          <w:tcPr>
            <w:tcW w:w="2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F82DF"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+6.3%</w:t>
            </w:r>
          </w:p>
        </w:tc>
        <w:tc>
          <w:tcPr>
            <w:tcW w:w="1968" w:type="dxa"/>
            <w:tcBorders>
              <w:top w:val="nil"/>
              <w:left w:val="nil"/>
              <w:bottom w:val="single" w:sz="8" w:space="0" w:color="auto"/>
              <w:right w:val="single" w:sz="8" w:space="0" w:color="auto"/>
            </w:tcBorders>
            <w:hideMark/>
          </w:tcPr>
          <w:p w14:paraId="48ACA823" w14:textId="77777777" w:rsidR="003960D9" w:rsidRPr="00D554A6" w:rsidRDefault="003960D9" w:rsidP="005560EF">
            <w:pPr>
              <w:rPr>
                <w:rFonts w:ascii="Cambria" w:eastAsia="MS Mincho" w:hAnsi="Cambria" w:cs="Times New Roman"/>
                <w:lang w:val="en-US"/>
              </w:rPr>
            </w:pPr>
            <w:r w:rsidRPr="00D554A6">
              <w:rPr>
                <w:rFonts w:ascii="Cambria" w:eastAsia="MS Mincho" w:hAnsi="Cambria" w:cs="Times New Roman"/>
                <w:lang w:val="en-US"/>
              </w:rPr>
              <w:t>+3.6%</w:t>
            </w:r>
          </w:p>
        </w:tc>
        <w:tc>
          <w:tcPr>
            <w:tcW w:w="1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B1BC3"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+2.4%</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24C188"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+2.0%</w:t>
            </w:r>
          </w:p>
        </w:tc>
      </w:tr>
      <w:tr w:rsidR="003960D9" w:rsidRPr="00D554A6" w14:paraId="5DC29D50" w14:textId="77777777" w:rsidTr="005560EF">
        <w:trPr>
          <w:jc w:val="center"/>
        </w:trPr>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39C178"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b/>
                <w:bCs/>
                <w:lang w:val="en-US"/>
              </w:rPr>
              <w:t>2022</w:t>
            </w:r>
          </w:p>
        </w:tc>
        <w:tc>
          <w:tcPr>
            <w:tcW w:w="2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00CE2"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+4.0%</w:t>
            </w:r>
          </w:p>
        </w:tc>
        <w:tc>
          <w:tcPr>
            <w:tcW w:w="1968" w:type="dxa"/>
            <w:tcBorders>
              <w:top w:val="nil"/>
              <w:left w:val="nil"/>
              <w:bottom w:val="single" w:sz="8" w:space="0" w:color="auto"/>
              <w:right w:val="single" w:sz="8" w:space="0" w:color="auto"/>
            </w:tcBorders>
            <w:hideMark/>
          </w:tcPr>
          <w:p w14:paraId="73BB1057" w14:textId="77777777" w:rsidR="003960D9" w:rsidRPr="00D554A6" w:rsidRDefault="003960D9" w:rsidP="005560EF">
            <w:pPr>
              <w:rPr>
                <w:rFonts w:ascii="Cambria" w:eastAsia="MS Mincho" w:hAnsi="Cambria" w:cs="Times New Roman"/>
                <w:lang w:val="en-US"/>
              </w:rPr>
            </w:pPr>
            <w:r w:rsidRPr="00D554A6">
              <w:rPr>
                <w:rFonts w:ascii="Cambria" w:eastAsia="MS Mincho" w:hAnsi="Cambria" w:cs="Times New Roman"/>
                <w:lang w:val="en-US"/>
              </w:rPr>
              <w:t>+3.8%</w:t>
            </w:r>
          </w:p>
        </w:tc>
        <w:tc>
          <w:tcPr>
            <w:tcW w:w="1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EDC6E"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+9.6%</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0B477F"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+9.3%</w:t>
            </w:r>
          </w:p>
        </w:tc>
      </w:tr>
      <w:tr w:rsidR="003960D9" w:rsidRPr="00D554A6" w14:paraId="1A522C61" w14:textId="77777777" w:rsidTr="005560EF">
        <w:trPr>
          <w:jc w:val="center"/>
        </w:trPr>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19FF86"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b/>
                <w:bCs/>
                <w:lang w:val="en-US"/>
              </w:rPr>
              <w:t>2023</w:t>
            </w:r>
          </w:p>
        </w:tc>
        <w:tc>
          <w:tcPr>
            <w:tcW w:w="2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6C7C04"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+1.7%</w:t>
            </w:r>
          </w:p>
        </w:tc>
        <w:tc>
          <w:tcPr>
            <w:tcW w:w="1968" w:type="dxa"/>
            <w:tcBorders>
              <w:top w:val="nil"/>
              <w:left w:val="nil"/>
              <w:bottom w:val="single" w:sz="8" w:space="0" w:color="auto"/>
              <w:right w:val="single" w:sz="8" w:space="0" w:color="auto"/>
            </w:tcBorders>
            <w:hideMark/>
          </w:tcPr>
          <w:p w14:paraId="5ADE721A" w14:textId="77777777" w:rsidR="003960D9" w:rsidRPr="00D554A6" w:rsidRDefault="003960D9" w:rsidP="005560EF">
            <w:pPr>
              <w:rPr>
                <w:rFonts w:ascii="Cambria" w:eastAsia="MS Mincho" w:hAnsi="Cambria" w:cs="Times New Roman"/>
                <w:lang w:val="en-US"/>
              </w:rPr>
            </w:pPr>
            <w:r w:rsidRPr="00D554A6">
              <w:rPr>
                <w:rFonts w:ascii="Cambria" w:eastAsia="MS Mincho" w:hAnsi="Cambria" w:cs="Times New Roman"/>
                <w:lang w:val="en-US"/>
              </w:rPr>
              <w:t>+1.4%</w:t>
            </w:r>
          </w:p>
        </w:tc>
        <w:tc>
          <w:tcPr>
            <w:tcW w:w="1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C48AE"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+4.06%</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0D1102"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+4.3%</w:t>
            </w:r>
          </w:p>
        </w:tc>
      </w:tr>
      <w:tr w:rsidR="003960D9" w:rsidRPr="00D554A6" w14:paraId="24B370A0" w14:textId="77777777" w:rsidTr="005560EF">
        <w:trPr>
          <w:jc w:val="center"/>
        </w:trPr>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7D56FC"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b/>
                <w:bCs/>
                <w:lang w:val="en-US"/>
              </w:rPr>
              <w:t>2024</w:t>
            </w:r>
          </w:p>
        </w:tc>
        <w:tc>
          <w:tcPr>
            <w:tcW w:w="2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EE1E8"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+1.1%</w:t>
            </w:r>
          </w:p>
        </w:tc>
        <w:tc>
          <w:tcPr>
            <w:tcW w:w="1968" w:type="dxa"/>
            <w:tcBorders>
              <w:top w:val="nil"/>
              <w:left w:val="nil"/>
              <w:bottom w:val="single" w:sz="8" w:space="0" w:color="auto"/>
              <w:right w:val="single" w:sz="8" w:space="0" w:color="auto"/>
            </w:tcBorders>
            <w:hideMark/>
          </w:tcPr>
          <w:p w14:paraId="1AAD4B63" w14:textId="77777777" w:rsidR="003960D9" w:rsidRPr="00D554A6" w:rsidRDefault="003960D9" w:rsidP="005560EF">
            <w:pPr>
              <w:rPr>
                <w:rFonts w:ascii="Cambria" w:eastAsia="MS Mincho" w:hAnsi="Cambria" w:cs="Times New Roman"/>
                <w:lang w:val="en-US"/>
              </w:rPr>
            </w:pPr>
            <w:r w:rsidRPr="00D554A6">
              <w:rPr>
                <w:rFonts w:ascii="Cambria" w:eastAsia="MS Mincho" w:hAnsi="Cambria" w:cs="Times New Roman"/>
                <w:lang w:val="en-US"/>
              </w:rPr>
              <w:t>+1.0%</w:t>
            </w:r>
          </w:p>
        </w:tc>
        <w:tc>
          <w:tcPr>
            <w:tcW w:w="1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31E119"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+3.14%</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51E2C"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+3.3%</w:t>
            </w:r>
          </w:p>
        </w:tc>
      </w:tr>
      <w:tr w:rsidR="003960D9" w:rsidRPr="00D554A6" w14:paraId="61257F0D" w14:textId="77777777" w:rsidTr="005560EF">
        <w:trPr>
          <w:jc w:val="center"/>
        </w:trPr>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F48085"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b/>
                <w:bCs/>
                <w:lang w:val="en-US"/>
              </w:rPr>
              <w:t>2025</w:t>
            </w:r>
          </w:p>
        </w:tc>
        <w:tc>
          <w:tcPr>
            <w:tcW w:w="2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3325A"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+1.0%</w:t>
            </w:r>
          </w:p>
        </w:tc>
        <w:tc>
          <w:tcPr>
            <w:tcW w:w="1968" w:type="dxa"/>
            <w:tcBorders>
              <w:top w:val="nil"/>
              <w:left w:val="nil"/>
              <w:bottom w:val="single" w:sz="8" w:space="0" w:color="auto"/>
              <w:right w:val="single" w:sz="8" w:space="0" w:color="auto"/>
            </w:tcBorders>
            <w:hideMark/>
          </w:tcPr>
          <w:p w14:paraId="34DF7DD7" w14:textId="77777777" w:rsidR="003960D9" w:rsidRPr="00D554A6" w:rsidRDefault="003960D9" w:rsidP="005560EF">
            <w:pPr>
              <w:rPr>
                <w:rFonts w:ascii="Cambria" w:eastAsia="MS Mincho" w:hAnsi="Cambria" w:cs="Times New Roman"/>
                <w:lang w:val="en-US"/>
              </w:rPr>
            </w:pPr>
            <w:r w:rsidRPr="00D554A6">
              <w:rPr>
                <w:rFonts w:ascii="Cambria" w:eastAsia="MS Mincho" w:hAnsi="Cambria" w:cs="Times New Roman"/>
                <w:lang w:val="en-US"/>
              </w:rPr>
              <w:t>+1.2%</w:t>
            </w:r>
          </w:p>
        </w:tc>
        <w:tc>
          <w:tcPr>
            <w:tcW w:w="1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B5E18"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+2.5%</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5B960"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+2.6%</w:t>
            </w:r>
          </w:p>
        </w:tc>
      </w:tr>
      <w:tr w:rsidR="003960D9" w:rsidRPr="00D554A6" w14:paraId="59C6B184" w14:textId="77777777" w:rsidTr="005560EF">
        <w:trPr>
          <w:jc w:val="center"/>
        </w:trPr>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87F434"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b/>
                <w:bCs/>
                <w:lang w:val="en-US"/>
              </w:rPr>
              <w:t>2026</w:t>
            </w:r>
          </w:p>
        </w:tc>
        <w:tc>
          <w:tcPr>
            <w:tcW w:w="2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070F7"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+1.1%</w:t>
            </w:r>
          </w:p>
        </w:tc>
        <w:tc>
          <w:tcPr>
            <w:tcW w:w="1968" w:type="dxa"/>
            <w:tcBorders>
              <w:top w:val="nil"/>
              <w:left w:val="nil"/>
              <w:bottom w:val="single" w:sz="8" w:space="0" w:color="auto"/>
              <w:right w:val="single" w:sz="8" w:space="0" w:color="auto"/>
            </w:tcBorders>
            <w:hideMark/>
          </w:tcPr>
          <w:p w14:paraId="03EA9A29" w14:textId="77777777" w:rsidR="003960D9" w:rsidRPr="00D554A6" w:rsidRDefault="003960D9" w:rsidP="005560EF">
            <w:pPr>
              <w:rPr>
                <w:rFonts w:ascii="Cambria" w:eastAsia="MS Mincho" w:hAnsi="Cambria" w:cs="Times New Roman"/>
                <w:lang w:val="en-US"/>
              </w:rPr>
            </w:pPr>
            <w:r w:rsidRPr="00D554A6">
              <w:rPr>
                <w:rFonts w:ascii="Cambria" w:eastAsia="MS Mincho" w:hAnsi="Cambria" w:cs="Times New Roman"/>
                <w:lang w:val="en-US"/>
              </w:rPr>
              <w:t>+1.1%</w:t>
            </w:r>
          </w:p>
        </w:tc>
        <w:tc>
          <w:tcPr>
            <w:tcW w:w="1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28D5FC"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+1.9%</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5FC23"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+2.1%</w:t>
            </w:r>
          </w:p>
        </w:tc>
      </w:tr>
      <w:tr w:rsidR="003960D9" w:rsidRPr="00D554A6" w14:paraId="28B854E9" w14:textId="77777777" w:rsidTr="005560EF">
        <w:trPr>
          <w:jc w:val="center"/>
        </w:trPr>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4F6E3"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b/>
                <w:bCs/>
                <w:lang w:val="en-US"/>
              </w:rPr>
              <w:t>2027</w:t>
            </w:r>
          </w:p>
        </w:tc>
        <w:tc>
          <w:tcPr>
            <w:tcW w:w="2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D02574"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+1.1%</w:t>
            </w:r>
          </w:p>
        </w:tc>
        <w:tc>
          <w:tcPr>
            <w:tcW w:w="1968" w:type="dxa"/>
            <w:tcBorders>
              <w:top w:val="nil"/>
              <w:left w:val="nil"/>
              <w:bottom w:val="single" w:sz="8" w:space="0" w:color="auto"/>
              <w:right w:val="single" w:sz="8" w:space="0" w:color="auto"/>
            </w:tcBorders>
            <w:hideMark/>
          </w:tcPr>
          <w:p w14:paraId="4B399574" w14:textId="77777777" w:rsidR="003960D9" w:rsidRPr="00D554A6" w:rsidRDefault="003960D9" w:rsidP="005560EF">
            <w:pPr>
              <w:rPr>
                <w:rFonts w:ascii="Cambria" w:eastAsia="MS Mincho" w:hAnsi="Cambria" w:cs="Times New Roman"/>
                <w:lang w:val="en-US"/>
              </w:rPr>
            </w:pPr>
            <w:r w:rsidRPr="00D554A6">
              <w:rPr>
                <w:rFonts w:ascii="Cambria" w:eastAsia="MS Mincho" w:hAnsi="Cambria" w:cs="Times New Roman"/>
                <w:lang w:val="en-US"/>
              </w:rPr>
              <w:t>+0.9%</w:t>
            </w:r>
          </w:p>
        </w:tc>
        <w:tc>
          <w:tcPr>
            <w:tcW w:w="1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75376"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+1.6%</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B9CB48"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+1.7%</w:t>
            </w:r>
          </w:p>
        </w:tc>
      </w:tr>
      <w:tr w:rsidR="003960D9" w:rsidRPr="00D554A6" w14:paraId="3581C643" w14:textId="77777777" w:rsidTr="005560EF">
        <w:trPr>
          <w:jc w:val="center"/>
        </w:trPr>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9E3A9F"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b/>
                <w:bCs/>
                <w:lang w:val="en-US"/>
              </w:rPr>
              <w:t>2028</w:t>
            </w:r>
          </w:p>
        </w:tc>
        <w:tc>
          <w:tcPr>
            <w:tcW w:w="2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BC6A5"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+1.2%</w:t>
            </w:r>
          </w:p>
        </w:tc>
        <w:tc>
          <w:tcPr>
            <w:tcW w:w="1968" w:type="dxa"/>
            <w:tcBorders>
              <w:top w:val="nil"/>
              <w:left w:val="nil"/>
              <w:bottom w:val="single" w:sz="8" w:space="0" w:color="auto"/>
              <w:right w:val="single" w:sz="8" w:space="0" w:color="auto"/>
            </w:tcBorders>
            <w:hideMark/>
          </w:tcPr>
          <w:p w14:paraId="4F407C76" w14:textId="77777777" w:rsidR="003960D9" w:rsidRPr="00D554A6" w:rsidRDefault="003960D9" w:rsidP="005560EF">
            <w:pPr>
              <w:rPr>
                <w:rFonts w:ascii="Cambria" w:eastAsia="MS Mincho" w:hAnsi="Cambria" w:cs="Times New Roman"/>
                <w:lang w:val="en-US"/>
              </w:rPr>
            </w:pPr>
            <w:r w:rsidRPr="00D554A6">
              <w:rPr>
                <w:rFonts w:ascii="Cambria" w:eastAsia="MS Mincho" w:hAnsi="Cambria" w:cs="Times New Roman"/>
                <w:lang w:val="en-US"/>
              </w:rPr>
              <w:t>+1.1%</w:t>
            </w:r>
          </w:p>
        </w:tc>
        <w:tc>
          <w:tcPr>
            <w:tcW w:w="1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39082"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+2.2%</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FBBCAB"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+2.1%</w:t>
            </w:r>
          </w:p>
        </w:tc>
      </w:tr>
      <w:tr w:rsidR="003960D9" w:rsidRPr="00D554A6" w14:paraId="237854E4" w14:textId="77777777" w:rsidTr="005560EF">
        <w:trPr>
          <w:jc w:val="center"/>
        </w:trPr>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9FBF85"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b/>
                <w:bCs/>
                <w:lang w:val="en-US"/>
              </w:rPr>
              <w:t>2029</w:t>
            </w:r>
          </w:p>
        </w:tc>
        <w:tc>
          <w:tcPr>
            <w:tcW w:w="2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34095"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+1,2%</w:t>
            </w:r>
          </w:p>
        </w:tc>
        <w:tc>
          <w:tcPr>
            <w:tcW w:w="1968" w:type="dxa"/>
            <w:tcBorders>
              <w:top w:val="nil"/>
              <w:left w:val="nil"/>
              <w:bottom w:val="single" w:sz="8" w:space="0" w:color="auto"/>
              <w:right w:val="single" w:sz="8" w:space="0" w:color="auto"/>
            </w:tcBorders>
            <w:hideMark/>
          </w:tcPr>
          <w:p w14:paraId="03518A38" w14:textId="77777777" w:rsidR="003960D9" w:rsidRPr="00D554A6" w:rsidRDefault="003960D9" w:rsidP="005560EF">
            <w:pPr>
              <w:rPr>
                <w:rFonts w:ascii="Cambria" w:eastAsia="MS Mincho" w:hAnsi="Cambria" w:cs="Times New Roman"/>
                <w:lang w:val="en-US"/>
              </w:rPr>
            </w:pPr>
            <w:r w:rsidRPr="00D554A6">
              <w:rPr>
                <w:rFonts w:ascii="Cambria" w:eastAsia="MS Mincho" w:hAnsi="Cambria" w:cs="Times New Roman"/>
                <w:lang w:val="en-US"/>
              </w:rPr>
              <w:t>+1.1%</w:t>
            </w:r>
          </w:p>
        </w:tc>
        <w:tc>
          <w:tcPr>
            <w:tcW w:w="1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04402"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+1,8%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DED60" w14:textId="77777777" w:rsidR="003960D9" w:rsidRPr="00D554A6" w:rsidRDefault="003960D9" w:rsidP="005560EF">
            <w:pPr>
              <w:rPr>
                <w:rFonts w:ascii="Cambria" w:eastAsia="MS Mincho" w:hAnsi="Cambria" w:cs="Times New Roman"/>
              </w:rPr>
            </w:pPr>
            <w:r w:rsidRPr="00D554A6">
              <w:rPr>
                <w:rFonts w:ascii="Cambria" w:eastAsia="MS Mincho" w:hAnsi="Cambria" w:cs="Times New Roman"/>
                <w:lang w:val="en-US"/>
              </w:rPr>
              <w:t>+1,8%</w:t>
            </w:r>
          </w:p>
        </w:tc>
      </w:tr>
      <w:tr w:rsidR="003960D9" w:rsidRPr="00D554A6" w14:paraId="7A66D57D" w14:textId="77777777" w:rsidTr="005560EF">
        <w:trPr>
          <w:jc w:val="center"/>
        </w:trPr>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5D8093" w14:textId="77777777" w:rsidR="003960D9" w:rsidRPr="00D554A6" w:rsidRDefault="003960D9" w:rsidP="005560EF">
            <w:pPr>
              <w:rPr>
                <w:rFonts w:ascii="Cambria" w:eastAsia="MS Mincho" w:hAnsi="Cambria" w:cs="Times New Roman"/>
                <w:b/>
                <w:bCs/>
                <w:lang w:val="en-US"/>
              </w:rPr>
            </w:pPr>
            <w:r w:rsidRPr="00D554A6">
              <w:rPr>
                <w:rFonts w:ascii="Cambria" w:eastAsia="MS Mincho" w:hAnsi="Cambria" w:cs="Times New Roman"/>
                <w:b/>
                <w:bCs/>
                <w:lang w:val="en-US"/>
              </w:rPr>
              <w:t>2030</w:t>
            </w:r>
          </w:p>
        </w:tc>
        <w:tc>
          <w:tcPr>
            <w:tcW w:w="2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1A67C2" w14:textId="77777777" w:rsidR="003960D9" w:rsidRPr="00D554A6" w:rsidRDefault="003960D9" w:rsidP="005560EF">
            <w:pPr>
              <w:rPr>
                <w:rFonts w:ascii="Cambria" w:eastAsia="MS Mincho" w:hAnsi="Cambria" w:cs="Times New Roman"/>
                <w:lang w:val="en-US"/>
              </w:rPr>
            </w:pPr>
            <w:r w:rsidRPr="00D554A6">
              <w:rPr>
                <w:rFonts w:ascii="Cambria" w:eastAsia="MS Mincho" w:hAnsi="Cambria" w:cs="Times New Roman"/>
                <w:lang w:val="en-US"/>
              </w:rPr>
              <w:t>+1.4%</w:t>
            </w:r>
          </w:p>
        </w:tc>
        <w:tc>
          <w:tcPr>
            <w:tcW w:w="1968" w:type="dxa"/>
            <w:tcBorders>
              <w:top w:val="nil"/>
              <w:left w:val="nil"/>
              <w:bottom w:val="single" w:sz="8" w:space="0" w:color="auto"/>
              <w:right w:val="single" w:sz="8" w:space="0" w:color="auto"/>
            </w:tcBorders>
          </w:tcPr>
          <w:p w14:paraId="200B6DF2" w14:textId="77777777" w:rsidR="003960D9" w:rsidRPr="00D554A6" w:rsidRDefault="003960D9" w:rsidP="005560EF">
            <w:pPr>
              <w:rPr>
                <w:rFonts w:ascii="Cambria" w:eastAsia="MS Mincho" w:hAnsi="Cambria" w:cs="Times New Roman"/>
                <w:lang w:val="en-US"/>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85A90A" w14:textId="77777777" w:rsidR="003960D9" w:rsidRPr="00D554A6" w:rsidRDefault="003960D9" w:rsidP="005560EF">
            <w:pPr>
              <w:rPr>
                <w:rFonts w:ascii="Cambria" w:eastAsia="MS Mincho" w:hAnsi="Cambria" w:cs="Times New Roman"/>
                <w:lang w:val="en-US"/>
              </w:rPr>
            </w:pPr>
            <w:r w:rsidRPr="00D554A6">
              <w:rPr>
                <w:rFonts w:ascii="Cambria" w:eastAsia="MS Mincho" w:hAnsi="Cambria" w:cs="Times New Roman"/>
                <w:lang w:val="en-US"/>
              </w:rPr>
              <w:t>+1,7%</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2D374" w14:textId="77777777" w:rsidR="003960D9" w:rsidRPr="00D554A6" w:rsidRDefault="003960D9" w:rsidP="005560EF">
            <w:pPr>
              <w:rPr>
                <w:rFonts w:ascii="Cambria" w:eastAsia="MS Mincho" w:hAnsi="Cambria" w:cs="Times New Roman"/>
                <w:lang w:val="en-US"/>
              </w:rPr>
            </w:pPr>
            <w:r w:rsidRPr="00D554A6">
              <w:rPr>
                <w:rFonts w:ascii="Cambria" w:eastAsia="MS Mincho" w:hAnsi="Cambria" w:cs="Times New Roman"/>
                <w:lang w:val="en-US"/>
              </w:rPr>
              <w:t>+1.7%</w:t>
            </w:r>
          </w:p>
        </w:tc>
      </w:tr>
      <w:tr w:rsidR="003960D9" w:rsidRPr="00D554A6" w14:paraId="2B5CB5B2" w14:textId="77777777" w:rsidTr="005560EF">
        <w:trPr>
          <w:jc w:val="center"/>
        </w:trPr>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192022" w14:textId="77777777" w:rsidR="003960D9" w:rsidRPr="00D554A6" w:rsidRDefault="003960D9" w:rsidP="005560EF">
            <w:pPr>
              <w:rPr>
                <w:rFonts w:ascii="Cambria" w:eastAsia="MS Mincho" w:hAnsi="Cambria" w:cs="Times New Roman"/>
                <w:b/>
                <w:bCs/>
                <w:lang w:val="en-US"/>
              </w:rPr>
            </w:pPr>
            <w:r w:rsidRPr="00D554A6">
              <w:rPr>
                <w:rFonts w:ascii="Cambria" w:eastAsia="MS Mincho" w:hAnsi="Cambria" w:cs="Times New Roman"/>
                <w:b/>
                <w:bCs/>
                <w:lang w:val="en-US"/>
              </w:rPr>
              <w:t>2031</w:t>
            </w:r>
          </w:p>
        </w:tc>
        <w:tc>
          <w:tcPr>
            <w:tcW w:w="2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F29EC8" w14:textId="77777777" w:rsidR="003960D9" w:rsidRPr="00D554A6" w:rsidRDefault="003960D9" w:rsidP="005560EF">
            <w:pPr>
              <w:rPr>
                <w:rFonts w:ascii="Cambria" w:eastAsia="MS Mincho" w:hAnsi="Cambria" w:cs="Times New Roman"/>
                <w:lang w:val="en-US"/>
              </w:rPr>
            </w:pPr>
            <w:r w:rsidRPr="00D554A6">
              <w:rPr>
                <w:rFonts w:ascii="Cambria" w:eastAsia="MS Mincho" w:hAnsi="Cambria" w:cs="Times New Roman"/>
                <w:lang w:val="en-US"/>
              </w:rPr>
              <w:t>+1,2%</w:t>
            </w:r>
          </w:p>
        </w:tc>
        <w:tc>
          <w:tcPr>
            <w:tcW w:w="1968" w:type="dxa"/>
            <w:tcBorders>
              <w:top w:val="nil"/>
              <w:left w:val="nil"/>
              <w:bottom w:val="single" w:sz="8" w:space="0" w:color="auto"/>
              <w:right w:val="single" w:sz="8" w:space="0" w:color="auto"/>
            </w:tcBorders>
          </w:tcPr>
          <w:p w14:paraId="22C21DBF" w14:textId="77777777" w:rsidR="003960D9" w:rsidRPr="00D554A6" w:rsidRDefault="003960D9" w:rsidP="005560EF">
            <w:pPr>
              <w:rPr>
                <w:rFonts w:ascii="Cambria" w:eastAsia="MS Mincho" w:hAnsi="Cambria" w:cs="Times New Roman"/>
                <w:lang w:val="en-US"/>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FBFFFB" w14:textId="77777777" w:rsidR="003960D9" w:rsidRPr="00D554A6" w:rsidRDefault="003960D9" w:rsidP="005560EF">
            <w:pPr>
              <w:rPr>
                <w:rFonts w:ascii="Cambria" w:eastAsia="MS Mincho" w:hAnsi="Cambria" w:cs="Times New Roman"/>
                <w:lang w:val="en-US"/>
              </w:rPr>
            </w:pPr>
            <w:r w:rsidRPr="00D554A6">
              <w:rPr>
                <w:rFonts w:ascii="Cambria" w:eastAsia="MS Mincho" w:hAnsi="Cambria" w:cs="Times New Roman"/>
                <w:lang w:val="en-US"/>
              </w:rPr>
              <w:t>+1,7%</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8009F" w14:textId="77777777" w:rsidR="003960D9" w:rsidRPr="00D554A6" w:rsidRDefault="003960D9" w:rsidP="005560EF">
            <w:pPr>
              <w:rPr>
                <w:rFonts w:ascii="Cambria" w:eastAsia="MS Mincho" w:hAnsi="Cambria" w:cs="Times New Roman"/>
                <w:lang w:val="en-US"/>
              </w:rPr>
            </w:pPr>
            <w:r w:rsidRPr="00D554A6">
              <w:rPr>
                <w:rFonts w:ascii="Cambria" w:eastAsia="MS Mincho" w:hAnsi="Cambria" w:cs="Times New Roman"/>
                <w:lang w:val="en-US"/>
              </w:rPr>
              <w:t>+1.7%</w:t>
            </w:r>
          </w:p>
        </w:tc>
      </w:tr>
    </w:tbl>
    <w:p w14:paraId="1EB330A7" w14:textId="77777777" w:rsidR="003960D9" w:rsidRPr="005C4637" w:rsidRDefault="003960D9" w:rsidP="003960D9">
      <w:pPr>
        <w:rPr>
          <w:rFonts w:ascii="Cambria" w:eastAsia="MS Mincho" w:hAnsi="Cambria" w:cs="Times New Roman"/>
        </w:rPr>
      </w:pPr>
    </w:p>
    <w:p w14:paraId="68473042" w14:textId="77777777" w:rsidR="003960D9" w:rsidRPr="005C4637" w:rsidRDefault="003960D9" w:rsidP="003960D9">
      <w:pPr>
        <w:rPr>
          <w:rFonts w:ascii="Cambria" w:eastAsia="MS Mincho" w:hAnsi="Cambria" w:cs="Times New Roman"/>
        </w:rPr>
      </w:pPr>
    </w:p>
    <w:p w14:paraId="0E134C77" w14:textId="77777777" w:rsidR="003960D9" w:rsidRDefault="003960D9" w:rsidP="003960D9">
      <w:pPr>
        <w:rPr>
          <w:rFonts w:ascii="Cambria" w:eastAsia="MS Mincho" w:hAnsi="Cambria" w:cs="Times New Roman"/>
        </w:rPr>
      </w:pPr>
      <w:r w:rsidRPr="005C4637">
        <w:rPr>
          <w:rFonts w:ascii="Cambria" w:eastAsia="MS Mincho" w:hAnsi="Cambria" w:cs="Times New Roman"/>
        </w:rPr>
        <w:t>Par ailleurs, compte tenu de l’évolution de l’indice santé, je vous invite également à en tenir compte dans le calcul de vos prévisions budgétaires, et plus particulièrement celles liées aux allocations sociales et aux dépenses de personnel. Le Bureau fédéral du plan actualise tous les mois les prévisions du taux d’inflation et de l’éventuelle indexation des allocations sociales et des traitements, je vous recommande dès lors d’être attentif à l’évolution de ces prévisions.</w:t>
      </w:r>
    </w:p>
    <w:p w14:paraId="156927B5" w14:textId="77777777" w:rsidR="003960D9" w:rsidRPr="001D7BB9" w:rsidRDefault="003960D9" w:rsidP="003960D9">
      <w:pPr>
        <w:rPr>
          <w:rFonts w:ascii="Cambria" w:eastAsia="MS Mincho" w:hAnsi="Cambria" w:cs="Times New Roman"/>
        </w:rPr>
      </w:pPr>
    </w:p>
    <w:tbl>
      <w:tblPr>
        <w:tblW w:w="0" w:type="auto"/>
        <w:jc w:val="center"/>
        <w:tblCellMar>
          <w:left w:w="0" w:type="dxa"/>
          <w:right w:w="0" w:type="dxa"/>
        </w:tblCellMar>
        <w:tblLook w:val="04A0" w:firstRow="1" w:lastRow="0" w:firstColumn="1" w:lastColumn="0" w:noHBand="0" w:noVBand="1"/>
      </w:tblPr>
      <w:tblGrid>
        <w:gridCol w:w="2338"/>
        <w:gridCol w:w="2551"/>
        <w:gridCol w:w="2114"/>
      </w:tblGrid>
      <w:tr w:rsidR="003960D9" w:rsidRPr="001D7BB9" w14:paraId="5B34A02C" w14:textId="77777777" w:rsidTr="005560EF">
        <w:trPr>
          <w:trHeight w:val="1024"/>
          <w:jc w:val="center"/>
        </w:trPr>
        <w:tc>
          <w:tcPr>
            <w:tcW w:w="2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250040" w14:textId="77777777" w:rsidR="003960D9" w:rsidRPr="001D7BB9" w:rsidRDefault="003960D9" w:rsidP="005560EF">
            <w:pPr>
              <w:rPr>
                <w:rFonts w:ascii="Cambria" w:eastAsia="MS Mincho" w:hAnsi="Cambria" w:cs="Times New Roman"/>
              </w:rPr>
            </w:pPr>
            <w:r w:rsidRPr="001D7BB9">
              <w:rPr>
                <w:rFonts w:ascii="Cambria" w:eastAsia="MS Mincho" w:hAnsi="Cambria" w:cs="Times New Roman"/>
                <w:b/>
                <w:bCs/>
                <w:lang w:val="en-US"/>
              </w:rPr>
              <w:t>Dépassement indice pivot</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878B9C" w14:textId="77777777" w:rsidR="003960D9" w:rsidRPr="001D7BB9" w:rsidRDefault="003960D9" w:rsidP="005560EF">
            <w:pPr>
              <w:rPr>
                <w:rFonts w:ascii="Cambria" w:eastAsia="MS Mincho" w:hAnsi="Cambria" w:cs="Times New Roman"/>
              </w:rPr>
            </w:pPr>
            <w:r w:rsidRPr="001D7BB9">
              <w:rPr>
                <w:rFonts w:ascii="Cambria" w:eastAsia="MS Mincho" w:hAnsi="Cambria" w:cs="Times New Roman"/>
                <w:b/>
                <w:bCs/>
                <w:lang w:val="en-US"/>
              </w:rPr>
              <w:t>Indexation allocations sociales</w:t>
            </w:r>
          </w:p>
        </w:tc>
        <w:tc>
          <w:tcPr>
            <w:tcW w:w="21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03E353" w14:textId="77777777" w:rsidR="003960D9" w:rsidRPr="001D7BB9" w:rsidRDefault="003960D9" w:rsidP="005560EF">
            <w:pPr>
              <w:rPr>
                <w:rFonts w:ascii="Cambria" w:eastAsia="MS Mincho" w:hAnsi="Cambria" w:cs="Times New Roman"/>
              </w:rPr>
            </w:pPr>
            <w:r w:rsidRPr="001D7BB9">
              <w:rPr>
                <w:rFonts w:ascii="Cambria" w:eastAsia="MS Mincho" w:hAnsi="Cambria" w:cs="Times New Roman"/>
                <w:b/>
                <w:bCs/>
                <w:lang w:val="en-US"/>
              </w:rPr>
              <w:t>Indexation traitements</w:t>
            </w:r>
          </w:p>
        </w:tc>
      </w:tr>
      <w:tr w:rsidR="003960D9" w:rsidRPr="001D7BB9" w14:paraId="679B9471" w14:textId="77777777" w:rsidTr="005560EF">
        <w:trPr>
          <w:jc w:val="center"/>
        </w:trPr>
        <w:tc>
          <w:tcPr>
            <w:tcW w:w="2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F19A98" w14:textId="77777777" w:rsidR="003960D9" w:rsidRPr="001D7BB9" w:rsidRDefault="003960D9" w:rsidP="005560EF">
            <w:pPr>
              <w:rPr>
                <w:rFonts w:ascii="Cambria" w:eastAsia="MS Mincho" w:hAnsi="Cambria" w:cs="Times New Roman"/>
              </w:rPr>
            </w:pPr>
            <w:r w:rsidRPr="001D7BB9">
              <w:rPr>
                <w:rFonts w:ascii="Cambria" w:eastAsia="MS Mincho" w:hAnsi="Cambria" w:cs="Times New Roman"/>
                <w:lang w:val="en-US"/>
              </w:rPr>
              <w:t>Décembre 2025</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C46E32" w14:textId="77777777" w:rsidR="003960D9" w:rsidRPr="001D7BB9" w:rsidRDefault="003960D9" w:rsidP="005560EF">
            <w:pPr>
              <w:rPr>
                <w:rFonts w:ascii="Cambria" w:eastAsia="MS Mincho" w:hAnsi="Cambria" w:cs="Times New Roman"/>
              </w:rPr>
            </w:pPr>
            <w:r w:rsidRPr="001D7BB9">
              <w:rPr>
                <w:rFonts w:ascii="Cambria" w:eastAsia="MS Mincho" w:hAnsi="Cambria" w:cs="Times New Roman"/>
                <w:lang w:val="en-US"/>
              </w:rPr>
              <w:t>Mars 2026</w:t>
            </w:r>
          </w:p>
        </w:tc>
        <w:tc>
          <w:tcPr>
            <w:tcW w:w="21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C437C0" w14:textId="77777777" w:rsidR="003960D9" w:rsidRPr="001D7BB9" w:rsidRDefault="003960D9" w:rsidP="005560EF">
            <w:pPr>
              <w:rPr>
                <w:rFonts w:ascii="Cambria" w:eastAsia="MS Mincho" w:hAnsi="Cambria" w:cs="Times New Roman"/>
              </w:rPr>
            </w:pPr>
            <w:r w:rsidRPr="001D7BB9">
              <w:rPr>
                <w:rFonts w:ascii="Cambria" w:eastAsia="MS Mincho" w:hAnsi="Cambria" w:cs="Times New Roman"/>
                <w:lang w:val="en-US"/>
              </w:rPr>
              <w:t>Mars 2026</w:t>
            </w:r>
          </w:p>
        </w:tc>
      </w:tr>
      <w:tr w:rsidR="003960D9" w:rsidRPr="001D7BB9" w14:paraId="786B48B7" w14:textId="77777777" w:rsidTr="005560EF">
        <w:trPr>
          <w:jc w:val="center"/>
        </w:trPr>
        <w:tc>
          <w:tcPr>
            <w:tcW w:w="2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AAF22" w14:textId="77777777" w:rsidR="003960D9" w:rsidRPr="001D7BB9" w:rsidRDefault="003960D9" w:rsidP="005560EF">
            <w:pPr>
              <w:rPr>
                <w:rFonts w:ascii="Cambria" w:eastAsia="MS Mincho" w:hAnsi="Cambria" w:cs="Times New Roman"/>
                <w:lang w:val="en-US"/>
              </w:rPr>
            </w:pPr>
            <w:r w:rsidRPr="001D7BB9">
              <w:rPr>
                <w:rFonts w:ascii="Cambria" w:eastAsia="MS Mincho" w:hAnsi="Cambria" w:cs="Times New Roman"/>
                <w:lang w:val="en-US"/>
              </w:rPr>
              <w:t>Juillet 2026</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3D7D67" w14:textId="77777777" w:rsidR="003960D9" w:rsidRPr="001D7BB9" w:rsidRDefault="003960D9" w:rsidP="005560EF">
            <w:pPr>
              <w:rPr>
                <w:rFonts w:ascii="Cambria" w:eastAsia="MS Mincho" w:hAnsi="Cambria" w:cs="Times New Roman"/>
                <w:lang w:val="en-US"/>
              </w:rPr>
            </w:pPr>
            <w:r w:rsidRPr="001D7BB9">
              <w:rPr>
                <w:rFonts w:ascii="Cambria" w:eastAsia="MS Mincho" w:hAnsi="Cambria" w:cs="Times New Roman"/>
                <w:lang w:val="en-US"/>
              </w:rPr>
              <w:t>Octobre 2026</w:t>
            </w:r>
          </w:p>
        </w:tc>
        <w:tc>
          <w:tcPr>
            <w:tcW w:w="21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0087EC" w14:textId="77777777" w:rsidR="003960D9" w:rsidRPr="001D7BB9" w:rsidRDefault="003960D9" w:rsidP="005560EF">
            <w:pPr>
              <w:rPr>
                <w:rFonts w:ascii="Cambria" w:eastAsia="MS Mincho" w:hAnsi="Cambria" w:cs="Times New Roman"/>
                <w:lang w:val="en-US"/>
              </w:rPr>
            </w:pPr>
            <w:r w:rsidRPr="001D7BB9">
              <w:rPr>
                <w:rFonts w:ascii="Cambria" w:eastAsia="MS Mincho" w:hAnsi="Cambria" w:cs="Times New Roman"/>
                <w:lang w:val="en-US"/>
              </w:rPr>
              <w:t>Octobre 2026</w:t>
            </w:r>
          </w:p>
        </w:tc>
      </w:tr>
      <w:tr w:rsidR="003960D9" w:rsidRPr="001D7BB9" w14:paraId="1B13CA1F" w14:textId="77777777" w:rsidTr="005560EF">
        <w:trPr>
          <w:jc w:val="center"/>
        </w:trPr>
        <w:tc>
          <w:tcPr>
            <w:tcW w:w="2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D18878" w14:textId="77777777" w:rsidR="003960D9" w:rsidRPr="001D7BB9" w:rsidRDefault="003960D9" w:rsidP="005560EF">
            <w:pPr>
              <w:rPr>
                <w:rFonts w:ascii="Cambria" w:eastAsia="MS Mincho" w:hAnsi="Cambria" w:cs="Times New Roman"/>
                <w:lang w:val="en-US"/>
              </w:rPr>
            </w:pPr>
            <w:r w:rsidRPr="001D7BB9">
              <w:rPr>
                <w:rFonts w:ascii="Cambria" w:eastAsia="MS Mincho" w:hAnsi="Cambria" w:cs="Times New Roman"/>
                <w:lang w:val="en-US"/>
              </w:rPr>
              <w:t>Août 2027</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D4453" w14:textId="77777777" w:rsidR="003960D9" w:rsidRPr="001D7BB9" w:rsidRDefault="003960D9" w:rsidP="005560EF">
            <w:pPr>
              <w:rPr>
                <w:rFonts w:ascii="Cambria" w:eastAsia="MS Mincho" w:hAnsi="Cambria" w:cs="Times New Roman"/>
                <w:lang w:val="en-US"/>
              </w:rPr>
            </w:pPr>
            <w:r w:rsidRPr="001D7BB9">
              <w:rPr>
                <w:rFonts w:ascii="Cambria" w:eastAsia="MS Mincho" w:hAnsi="Cambria" w:cs="Times New Roman"/>
                <w:lang w:val="en-US"/>
              </w:rPr>
              <w:t>Novembre 2027</w:t>
            </w:r>
          </w:p>
        </w:tc>
        <w:tc>
          <w:tcPr>
            <w:tcW w:w="21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E31119" w14:textId="77777777" w:rsidR="003960D9" w:rsidRPr="001D7BB9" w:rsidRDefault="003960D9" w:rsidP="005560EF">
            <w:pPr>
              <w:rPr>
                <w:rFonts w:ascii="Cambria" w:eastAsia="MS Mincho" w:hAnsi="Cambria" w:cs="Times New Roman"/>
                <w:lang w:val="en-US"/>
              </w:rPr>
            </w:pPr>
            <w:r w:rsidRPr="001D7BB9">
              <w:rPr>
                <w:rFonts w:ascii="Cambria" w:eastAsia="MS Mincho" w:hAnsi="Cambria" w:cs="Times New Roman"/>
                <w:lang w:val="en-US"/>
              </w:rPr>
              <w:t>Novembre 2027</w:t>
            </w:r>
          </w:p>
        </w:tc>
      </w:tr>
    </w:tbl>
    <w:p w14:paraId="70906606" w14:textId="77777777" w:rsidR="003960D9" w:rsidRPr="005C4637" w:rsidRDefault="003960D9" w:rsidP="003960D9">
      <w:pPr>
        <w:rPr>
          <w:rFonts w:ascii="Cambria" w:eastAsia="MS Mincho" w:hAnsi="Cambria" w:cs="Times New Roman"/>
          <w:b/>
          <w:u w:val="single"/>
        </w:rPr>
      </w:pPr>
    </w:p>
    <w:p w14:paraId="6EA6F115" w14:textId="77777777" w:rsidR="003960D9" w:rsidRPr="005C4637" w:rsidRDefault="003960D9" w:rsidP="003960D9">
      <w:pPr>
        <w:pStyle w:val="Titre2"/>
      </w:pPr>
      <w:bookmarkStart w:id="471" w:name="_Toc143778995"/>
      <w:bookmarkStart w:id="472" w:name="_Toc208321531"/>
      <w:bookmarkStart w:id="473" w:name="_Toc208419919"/>
      <w:bookmarkStart w:id="474" w:name="_Toc225504199"/>
      <w:bookmarkStart w:id="475" w:name="_Toc225772288"/>
      <w:bookmarkStart w:id="476" w:name="_Toc226445343"/>
      <w:bookmarkStart w:id="477" w:name="_Toc233626127"/>
      <w:r w:rsidRPr="005C4637">
        <w:t>Informations communiquées par la Région</w:t>
      </w:r>
      <w:bookmarkEnd w:id="471"/>
      <w:bookmarkEnd w:id="472"/>
      <w:bookmarkEnd w:id="473"/>
      <w:bookmarkEnd w:id="474"/>
      <w:bookmarkEnd w:id="475"/>
      <w:bookmarkEnd w:id="476"/>
      <w:bookmarkEnd w:id="477"/>
    </w:p>
    <w:p w14:paraId="157BAB0B" w14:textId="77777777" w:rsidR="003960D9" w:rsidRPr="005C4637" w:rsidRDefault="003960D9">
      <w:pPr>
        <w:pStyle w:val="Titre3"/>
        <w:numPr>
          <w:ilvl w:val="0"/>
          <w:numId w:val="194"/>
        </w:numPr>
      </w:pPr>
      <w:bookmarkStart w:id="478" w:name="_Toc225504200"/>
      <w:bookmarkStart w:id="479" w:name="_Toc225772289"/>
      <w:bookmarkStart w:id="480" w:name="_Toc226445344"/>
      <w:bookmarkStart w:id="481" w:name="_Toc233626128"/>
      <w:r w:rsidRPr="005C4637">
        <w:t>Quelles prévisions budgétaires le SPW Intérieur et Action sociale communique-t-il aux communes ?</w:t>
      </w:r>
      <w:bookmarkEnd w:id="478"/>
      <w:bookmarkEnd w:id="479"/>
      <w:bookmarkEnd w:id="480"/>
      <w:bookmarkEnd w:id="481"/>
    </w:p>
    <w:p w14:paraId="445D7493"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Le SPW transmet deux fois par an des prévisions concernant :</w:t>
      </w:r>
    </w:p>
    <w:p w14:paraId="504E125A" w14:textId="77777777" w:rsidR="003960D9" w:rsidRPr="005C4637" w:rsidRDefault="003960D9">
      <w:pPr>
        <w:numPr>
          <w:ilvl w:val="0"/>
          <w:numId w:val="137"/>
        </w:numPr>
        <w:rPr>
          <w:rFonts w:ascii="Cambria" w:eastAsia="MS Mincho" w:hAnsi="Cambria" w:cs="Times New Roman"/>
        </w:rPr>
      </w:pPr>
      <w:r w:rsidRPr="005C4637">
        <w:rPr>
          <w:rFonts w:ascii="Cambria" w:eastAsia="MS Mincho" w:hAnsi="Cambria" w:cs="Times New Roman"/>
        </w:rPr>
        <w:t xml:space="preserve">le </w:t>
      </w:r>
      <w:r w:rsidRPr="005C4637">
        <w:rPr>
          <w:rFonts w:ascii="Cambria" w:eastAsia="MS Mincho" w:hAnsi="Cambria" w:cs="Times New Roman"/>
          <w:b/>
          <w:bCs/>
        </w:rPr>
        <w:t>Fonds des communes</w:t>
      </w:r>
      <w:r>
        <w:rPr>
          <w:rFonts w:ascii="Cambria" w:eastAsia="MS Mincho" w:hAnsi="Cambria" w:cs="Times New Roman"/>
        </w:rPr>
        <w:t> ;</w:t>
      </w:r>
    </w:p>
    <w:p w14:paraId="5E22F690" w14:textId="77777777" w:rsidR="003960D9" w:rsidRPr="005C4637" w:rsidRDefault="003960D9">
      <w:pPr>
        <w:numPr>
          <w:ilvl w:val="0"/>
          <w:numId w:val="137"/>
        </w:numPr>
        <w:rPr>
          <w:rFonts w:ascii="Cambria" w:eastAsia="MS Mincho" w:hAnsi="Cambria" w:cs="Times New Roman"/>
        </w:rPr>
      </w:pPr>
      <w:r w:rsidRPr="005C4637">
        <w:rPr>
          <w:rFonts w:ascii="Cambria" w:eastAsia="MS Mincho" w:hAnsi="Cambria" w:cs="Times New Roman"/>
        </w:rPr>
        <w:t xml:space="preserve">le </w:t>
      </w:r>
      <w:r w:rsidRPr="005C4637">
        <w:rPr>
          <w:rFonts w:ascii="Cambria" w:eastAsia="MS Mincho" w:hAnsi="Cambria" w:cs="Times New Roman"/>
          <w:b/>
          <w:bCs/>
        </w:rPr>
        <w:t>Fonds spécial de l’aide sociale</w:t>
      </w:r>
      <w:r>
        <w:rPr>
          <w:rFonts w:ascii="Cambria" w:eastAsia="MS Mincho" w:hAnsi="Cambria" w:cs="Times New Roman"/>
        </w:rPr>
        <w:t> ;</w:t>
      </w:r>
    </w:p>
    <w:p w14:paraId="7E59D36B" w14:textId="26A12511" w:rsidR="003960D9" w:rsidRPr="005C4637" w:rsidRDefault="003960D9">
      <w:pPr>
        <w:numPr>
          <w:ilvl w:val="0"/>
          <w:numId w:val="137"/>
        </w:numPr>
        <w:rPr>
          <w:rFonts w:ascii="Cambria" w:eastAsia="MS Mincho" w:hAnsi="Cambria" w:cs="Times New Roman"/>
        </w:rPr>
      </w:pPr>
      <w:r w:rsidRPr="005C4637">
        <w:rPr>
          <w:rFonts w:ascii="Cambria" w:eastAsia="MS Mincho" w:hAnsi="Cambria" w:cs="Times New Roman"/>
        </w:rPr>
        <w:t>le</w:t>
      </w:r>
      <w:r>
        <w:rPr>
          <w:rFonts w:ascii="Cambria" w:eastAsia="MS Mincho" w:hAnsi="Cambria" w:cs="Times New Roman"/>
        </w:rPr>
        <w:t>s aides compensatoires (ancien complément régional Plan Marshall</w:t>
      </w:r>
      <w:r w:rsidR="00C3617D">
        <w:rPr>
          <w:rFonts w:ascii="Cambria" w:eastAsia="MS Mincho" w:hAnsi="Cambria" w:cs="Times New Roman"/>
        </w:rPr>
        <w:t>) ;</w:t>
      </w:r>
    </w:p>
    <w:p w14:paraId="5710994B" w14:textId="77777777" w:rsidR="003960D9" w:rsidRPr="005C4637" w:rsidRDefault="003960D9">
      <w:pPr>
        <w:numPr>
          <w:ilvl w:val="0"/>
          <w:numId w:val="137"/>
        </w:numPr>
        <w:rPr>
          <w:rFonts w:ascii="Cambria" w:eastAsia="MS Mincho" w:hAnsi="Cambria" w:cs="Times New Roman"/>
        </w:rPr>
      </w:pPr>
      <w:r w:rsidRPr="005C4637">
        <w:rPr>
          <w:rFonts w:ascii="Cambria" w:eastAsia="MS Mincho" w:hAnsi="Cambria" w:cs="Times New Roman"/>
        </w:rPr>
        <w:t xml:space="preserve">la </w:t>
      </w:r>
      <w:r w:rsidRPr="005C4637">
        <w:rPr>
          <w:rFonts w:ascii="Cambria" w:eastAsia="MS Mincho" w:hAnsi="Cambria" w:cs="Times New Roman"/>
          <w:b/>
          <w:bCs/>
        </w:rPr>
        <w:t>compensation liée à la forfaitarisation</w:t>
      </w:r>
      <w:r w:rsidRPr="005C4637">
        <w:rPr>
          <w:rFonts w:ascii="Cambria" w:eastAsia="MS Mincho" w:hAnsi="Cambria" w:cs="Times New Roman"/>
        </w:rPr>
        <w:t xml:space="preserve"> des réductions du précompte immobilier pour enfants et personnes à charge</w:t>
      </w:r>
      <w:r>
        <w:rPr>
          <w:rFonts w:ascii="Cambria" w:eastAsia="MS Mincho" w:hAnsi="Cambria" w:cs="Times New Roman"/>
        </w:rPr>
        <w:t> ;</w:t>
      </w:r>
    </w:p>
    <w:p w14:paraId="32D5C1F7" w14:textId="77777777" w:rsidR="003960D9" w:rsidRPr="005C4637" w:rsidRDefault="003960D9">
      <w:pPr>
        <w:numPr>
          <w:ilvl w:val="0"/>
          <w:numId w:val="137"/>
        </w:numPr>
        <w:rPr>
          <w:rFonts w:ascii="Cambria" w:eastAsia="MS Mincho" w:hAnsi="Cambria" w:cs="Times New Roman"/>
        </w:rPr>
      </w:pPr>
      <w:r w:rsidRPr="005C4637">
        <w:rPr>
          <w:rFonts w:ascii="Cambria" w:eastAsia="MS Mincho" w:hAnsi="Cambria" w:cs="Times New Roman"/>
        </w:rPr>
        <w:t xml:space="preserve">les </w:t>
      </w:r>
      <w:r w:rsidRPr="005C4637">
        <w:rPr>
          <w:rFonts w:ascii="Cambria" w:eastAsia="MS Mincho" w:hAnsi="Cambria" w:cs="Times New Roman"/>
          <w:b/>
          <w:bCs/>
        </w:rPr>
        <w:t>additionnels au précompte immobilie</w:t>
      </w:r>
      <w:r>
        <w:rPr>
          <w:rFonts w:ascii="Cambria" w:eastAsia="MS Mincho" w:hAnsi="Cambria" w:cs="Times New Roman"/>
          <w:b/>
          <w:bCs/>
        </w:rPr>
        <w:t>r</w:t>
      </w:r>
      <w:r w:rsidRPr="05AA40E8">
        <w:rPr>
          <w:rFonts w:ascii="Cambria" w:eastAsia="MS Mincho" w:hAnsi="Cambria" w:cs="Times New Roman"/>
          <w:b/>
          <w:bCs/>
        </w:rPr>
        <w:t>.</w:t>
      </w:r>
    </w:p>
    <w:p w14:paraId="4D7EF3E6" w14:textId="77777777" w:rsidR="003960D9" w:rsidRPr="005C4637" w:rsidRDefault="003960D9" w:rsidP="003960D9">
      <w:pPr>
        <w:pStyle w:val="Titre3"/>
      </w:pPr>
      <w:bookmarkStart w:id="482" w:name="_Toc225504201"/>
      <w:bookmarkStart w:id="483" w:name="_Toc225772290"/>
      <w:bookmarkStart w:id="484" w:name="_Toc226445345"/>
      <w:bookmarkStart w:id="485" w:name="_Toc233626129"/>
      <w:r w:rsidRPr="005C4637">
        <w:t>À quelle fréquence ces prévisions sont-elles transmises ?</w:t>
      </w:r>
      <w:bookmarkEnd w:id="482"/>
      <w:bookmarkEnd w:id="483"/>
      <w:bookmarkEnd w:id="484"/>
      <w:bookmarkEnd w:id="485"/>
    </w:p>
    <w:p w14:paraId="1A5FB039"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Deux fois par an, généralement :</w:t>
      </w:r>
    </w:p>
    <w:p w14:paraId="63F8433C" w14:textId="77777777" w:rsidR="003960D9" w:rsidRPr="005C4637" w:rsidRDefault="003960D9">
      <w:pPr>
        <w:numPr>
          <w:ilvl w:val="0"/>
          <w:numId w:val="138"/>
        </w:numPr>
        <w:rPr>
          <w:rFonts w:ascii="Cambria" w:eastAsia="MS Mincho" w:hAnsi="Cambria" w:cs="Times New Roman"/>
        </w:rPr>
      </w:pPr>
      <w:r w:rsidRPr="005C4637">
        <w:rPr>
          <w:rFonts w:ascii="Cambria" w:eastAsia="MS Mincho" w:hAnsi="Cambria" w:cs="Times New Roman"/>
          <w:b/>
          <w:bCs/>
        </w:rPr>
        <w:t>août / septembre de N-1</w:t>
      </w:r>
      <w:r w:rsidRPr="005C4637">
        <w:rPr>
          <w:rFonts w:ascii="Cambria" w:eastAsia="MS Mincho" w:hAnsi="Cambria" w:cs="Times New Roman"/>
        </w:rPr>
        <w:t xml:space="preserve"> → pour préparer le </w:t>
      </w:r>
      <w:r w:rsidRPr="005C4637">
        <w:rPr>
          <w:rFonts w:ascii="Cambria" w:eastAsia="MS Mincho" w:hAnsi="Cambria" w:cs="Times New Roman"/>
          <w:b/>
          <w:bCs/>
        </w:rPr>
        <w:t>budget initial de l’année N</w:t>
      </w:r>
      <w:r w:rsidRPr="005C4637">
        <w:rPr>
          <w:rFonts w:ascii="Cambria" w:eastAsia="MS Mincho" w:hAnsi="Cambria" w:cs="Times New Roman"/>
        </w:rPr>
        <w:t>,</w:t>
      </w:r>
    </w:p>
    <w:p w14:paraId="46384E68" w14:textId="77777777" w:rsidR="003960D9" w:rsidRPr="005C4637" w:rsidRDefault="003960D9">
      <w:pPr>
        <w:numPr>
          <w:ilvl w:val="0"/>
          <w:numId w:val="138"/>
        </w:numPr>
        <w:rPr>
          <w:rFonts w:ascii="Cambria" w:eastAsia="MS Mincho" w:hAnsi="Cambria" w:cs="Times New Roman"/>
        </w:rPr>
      </w:pPr>
      <w:r w:rsidRPr="005C4637">
        <w:rPr>
          <w:rFonts w:ascii="Cambria" w:eastAsia="MS Mincho" w:hAnsi="Cambria" w:cs="Times New Roman"/>
          <w:b/>
          <w:bCs/>
        </w:rPr>
        <w:t>avril / mai de l’année N</w:t>
      </w:r>
      <w:r w:rsidRPr="005C4637">
        <w:rPr>
          <w:rFonts w:ascii="Cambria" w:eastAsia="MS Mincho" w:hAnsi="Cambria" w:cs="Times New Roman"/>
        </w:rPr>
        <w:t xml:space="preserve"> → pour préparer la </w:t>
      </w:r>
      <w:r w:rsidRPr="005C4637">
        <w:rPr>
          <w:rFonts w:ascii="Cambria" w:eastAsia="MS Mincho" w:hAnsi="Cambria" w:cs="Times New Roman"/>
          <w:b/>
          <w:bCs/>
        </w:rPr>
        <w:t>modification budgétaire de l’année N</w:t>
      </w:r>
      <w:r w:rsidRPr="005C4637">
        <w:rPr>
          <w:rFonts w:ascii="Cambria" w:eastAsia="MS Mincho" w:hAnsi="Cambria" w:cs="Times New Roman"/>
        </w:rPr>
        <w:t>.</w:t>
      </w:r>
    </w:p>
    <w:p w14:paraId="7924BE0D"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Sous réserve des informations reçues d’autres administrations.</w:t>
      </w:r>
    </w:p>
    <w:p w14:paraId="119BE380" w14:textId="77777777" w:rsidR="003960D9" w:rsidRPr="005C4637" w:rsidRDefault="003960D9" w:rsidP="003960D9">
      <w:pPr>
        <w:pStyle w:val="Titre3"/>
      </w:pPr>
      <w:bookmarkStart w:id="486" w:name="_Toc225504202"/>
      <w:bookmarkStart w:id="487" w:name="_Toc225772291"/>
      <w:bookmarkStart w:id="488" w:name="_Toc226445346"/>
      <w:bookmarkStart w:id="489" w:name="_Toc233626130"/>
      <w:r w:rsidRPr="005C4637">
        <w:lastRenderedPageBreak/>
        <w:t>Les prévisions tiennent-elles compte de toutes les régularisations ou de tous les événements particuliers ?</w:t>
      </w:r>
      <w:bookmarkEnd w:id="486"/>
      <w:bookmarkEnd w:id="487"/>
      <w:bookmarkEnd w:id="488"/>
      <w:bookmarkEnd w:id="489"/>
    </w:p>
    <w:p w14:paraId="247352D5"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Non.</w:t>
      </w:r>
      <w:r w:rsidRPr="005C4637">
        <w:rPr>
          <w:rFonts w:ascii="Cambria" w:eastAsia="MS Mincho" w:hAnsi="Cambria" w:cs="Times New Roman"/>
        </w:rPr>
        <w:br/>
        <w:t>Le SPW ne peut pas intégrer :</w:t>
      </w:r>
    </w:p>
    <w:p w14:paraId="773D8B18" w14:textId="77777777" w:rsidR="003960D9" w:rsidRPr="005C4637" w:rsidRDefault="003960D9">
      <w:pPr>
        <w:numPr>
          <w:ilvl w:val="0"/>
          <w:numId w:val="139"/>
        </w:numPr>
        <w:rPr>
          <w:rFonts w:ascii="Cambria" w:eastAsia="MS Mincho" w:hAnsi="Cambria" w:cs="Times New Roman"/>
        </w:rPr>
      </w:pPr>
      <w:r w:rsidRPr="005C4637">
        <w:rPr>
          <w:rFonts w:ascii="Cambria" w:eastAsia="MS Mincho" w:hAnsi="Cambria" w:cs="Times New Roman"/>
        </w:rPr>
        <w:t xml:space="preserve">les </w:t>
      </w:r>
      <w:r w:rsidRPr="005C4637">
        <w:rPr>
          <w:rFonts w:ascii="Cambria" w:eastAsia="MS Mincho" w:hAnsi="Cambria" w:cs="Times New Roman"/>
          <w:b/>
          <w:bCs/>
        </w:rPr>
        <w:t>régularisations spécifiques</w:t>
      </w:r>
      <w:r w:rsidRPr="005C4637">
        <w:rPr>
          <w:rFonts w:ascii="Cambria" w:eastAsia="MS Mincho" w:hAnsi="Cambria" w:cs="Times New Roman"/>
        </w:rPr>
        <w:t xml:space="preserve"> initiées par la commune,</w:t>
      </w:r>
    </w:p>
    <w:p w14:paraId="0F0E1022" w14:textId="77777777" w:rsidR="003960D9" w:rsidRPr="005C4637" w:rsidRDefault="003960D9">
      <w:pPr>
        <w:numPr>
          <w:ilvl w:val="0"/>
          <w:numId w:val="139"/>
        </w:numPr>
        <w:rPr>
          <w:rFonts w:ascii="Cambria" w:eastAsia="MS Mincho" w:hAnsi="Cambria" w:cs="Times New Roman"/>
        </w:rPr>
      </w:pPr>
      <w:r w:rsidRPr="005C4637">
        <w:rPr>
          <w:rFonts w:ascii="Cambria" w:eastAsia="MS Mincho" w:hAnsi="Cambria" w:cs="Times New Roman"/>
        </w:rPr>
        <w:t xml:space="preserve">les </w:t>
      </w:r>
      <w:r w:rsidRPr="005C4637">
        <w:rPr>
          <w:rFonts w:ascii="Cambria" w:eastAsia="MS Mincho" w:hAnsi="Cambria" w:cs="Times New Roman"/>
          <w:b/>
          <w:bCs/>
        </w:rPr>
        <w:t>événements exceptionnels</w:t>
      </w:r>
      <w:r w:rsidRPr="005C4637">
        <w:rPr>
          <w:rFonts w:ascii="Cambria" w:eastAsia="MS Mincho" w:hAnsi="Cambria" w:cs="Times New Roman"/>
        </w:rPr>
        <w:t xml:space="preserve"> ayant un impact sur les prévisions.</w:t>
      </w:r>
    </w:p>
    <w:p w14:paraId="298D97EF" w14:textId="77777777" w:rsidR="003960D9" w:rsidRPr="005C4637" w:rsidRDefault="003960D9" w:rsidP="003960D9">
      <w:pPr>
        <w:pStyle w:val="Titre3"/>
      </w:pPr>
      <w:bookmarkStart w:id="490" w:name="_Toc225504203"/>
      <w:bookmarkStart w:id="491" w:name="_Toc225772292"/>
      <w:bookmarkStart w:id="492" w:name="_Toc226445347"/>
      <w:bookmarkStart w:id="493" w:name="_Toc233626131"/>
      <w:r w:rsidRPr="005C4637">
        <w:t>L’administration peut-elle aider les communes à simuler l’impact d’un changement fiscal ?</w:t>
      </w:r>
      <w:bookmarkEnd w:id="490"/>
      <w:bookmarkEnd w:id="491"/>
      <w:bookmarkEnd w:id="492"/>
      <w:bookmarkEnd w:id="493"/>
    </w:p>
    <w:p w14:paraId="380A6C6A"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Oui.</w:t>
      </w:r>
      <w:r w:rsidRPr="005C4637">
        <w:rPr>
          <w:rFonts w:ascii="Cambria" w:eastAsia="MS Mincho" w:hAnsi="Cambria" w:cs="Times New Roman"/>
        </w:rPr>
        <w:br/>
        <w:t xml:space="preserve">À la demande d’une commune, le SPW peut </w:t>
      </w:r>
      <w:r w:rsidRPr="005C4637">
        <w:rPr>
          <w:rFonts w:ascii="Cambria" w:eastAsia="MS Mincho" w:hAnsi="Cambria" w:cs="Times New Roman"/>
          <w:b/>
          <w:bCs/>
        </w:rPr>
        <w:t>simuler l’impact</w:t>
      </w:r>
      <w:r w:rsidRPr="005C4637">
        <w:rPr>
          <w:rFonts w:ascii="Cambria" w:eastAsia="MS Mincho" w:hAnsi="Cambria" w:cs="Times New Roman"/>
        </w:rPr>
        <w:t xml:space="preserve"> sur :</w:t>
      </w:r>
    </w:p>
    <w:p w14:paraId="02EDE804" w14:textId="77777777" w:rsidR="003960D9" w:rsidRPr="005C4637" w:rsidRDefault="003960D9">
      <w:pPr>
        <w:numPr>
          <w:ilvl w:val="0"/>
          <w:numId w:val="140"/>
        </w:numPr>
        <w:rPr>
          <w:rFonts w:ascii="Cambria" w:eastAsia="MS Mincho" w:hAnsi="Cambria" w:cs="Times New Roman"/>
        </w:rPr>
      </w:pPr>
      <w:r w:rsidRPr="005C4637">
        <w:rPr>
          <w:rFonts w:ascii="Cambria" w:eastAsia="MS Mincho" w:hAnsi="Cambria" w:cs="Times New Roman"/>
        </w:rPr>
        <w:t xml:space="preserve">la </w:t>
      </w:r>
      <w:r w:rsidRPr="005C4637">
        <w:rPr>
          <w:rFonts w:ascii="Cambria" w:eastAsia="MS Mincho" w:hAnsi="Cambria" w:cs="Times New Roman"/>
          <w:b/>
          <w:bCs/>
        </w:rPr>
        <w:t>dotation au Fonds des communes</w:t>
      </w:r>
      <w:r w:rsidRPr="005C4637">
        <w:rPr>
          <w:rFonts w:ascii="Cambria" w:eastAsia="MS Mincho" w:hAnsi="Cambria" w:cs="Times New Roman"/>
        </w:rPr>
        <w:t>,</w:t>
      </w:r>
    </w:p>
    <w:p w14:paraId="7BEA9C32" w14:textId="77777777" w:rsidR="003960D9" w:rsidRPr="005C4637" w:rsidRDefault="003960D9">
      <w:pPr>
        <w:numPr>
          <w:ilvl w:val="0"/>
          <w:numId w:val="140"/>
        </w:numPr>
        <w:rPr>
          <w:rFonts w:ascii="Cambria" w:eastAsia="MS Mincho" w:hAnsi="Cambria" w:cs="Times New Roman"/>
        </w:rPr>
      </w:pPr>
      <w:r w:rsidRPr="005C4637">
        <w:rPr>
          <w:rFonts w:ascii="Cambria" w:eastAsia="MS Mincho" w:hAnsi="Cambria" w:cs="Times New Roman"/>
        </w:rPr>
        <w:t xml:space="preserve">les </w:t>
      </w:r>
      <w:r w:rsidRPr="005C4637">
        <w:rPr>
          <w:rFonts w:ascii="Cambria" w:eastAsia="MS Mincho" w:hAnsi="Cambria" w:cs="Times New Roman"/>
          <w:b/>
          <w:bCs/>
        </w:rPr>
        <w:t>additionnels au précompte immobilier</w:t>
      </w:r>
      <w:r w:rsidRPr="005C4637">
        <w:rPr>
          <w:rFonts w:ascii="Cambria" w:eastAsia="MS Mincho" w:hAnsi="Cambria" w:cs="Times New Roman"/>
        </w:rPr>
        <w:t>,</w:t>
      </w:r>
    </w:p>
    <w:p w14:paraId="72771396" w14:textId="77777777" w:rsidR="003960D9" w:rsidRPr="005C4637" w:rsidRDefault="003960D9" w:rsidP="003960D9">
      <w:pPr>
        <w:rPr>
          <w:rFonts w:ascii="Cambria" w:eastAsia="MS Mincho" w:hAnsi="Cambria" w:cs="Times New Roman"/>
        </w:rPr>
      </w:pPr>
      <w:r w:rsidRPr="005C4637">
        <w:rPr>
          <w:rFonts w:ascii="Cambria" w:eastAsia="MS Mincho" w:hAnsi="Cambria" w:cs="Times New Roman"/>
        </w:rPr>
        <w:t>lorsque la commune modifie sa politique fiscale, notamment :</w:t>
      </w:r>
    </w:p>
    <w:p w14:paraId="5D376823" w14:textId="77777777" w:rsidR="003960D9" w:rsidRPr="005C4637" w:rsidRDefault="003960D9">
      <w:pPr>
        <w:numPr>
          <w:ilvl w:val="0"/>
          <w:numId w:val="141"/>
        </w:numPr>
        <w:rPr>
          <w:rFonts w:ascii="Cambria" w:eastAsia="MS Mincho" w:hAnsi="Cambria" w:cs="Times New Roman"/>
        </w:rPr>
      </w:pPr>
      <w:r w:rsidRPr="005C4637">
        <w:rPr>
          <w:rFonts w:ascii="Cambria" w:eastAsia="MS Mincho" w:hAnsi="Cambria" w:cs="Times New Roman"/>
        </w:rPr>
        <w:t xml:space="preserve">le </w:t>
      </w:r>
      <w:r w:rsidRPr="005C4637">
        <w:rPr>
          <w:rFonts w:ascii="Cambria" w:eastAsia="MS Mincho" w:hAnsi="Cambria" w:cs="Times New Roman"/>
          <w:b/>
          <w:bCs/>
        </w:rPr>
        <w:t>taux des additionnels à l’impôt des personnes physiques (IPP)</w:t>
      </w:r>
      <w:r w:rsidRPr="005C4637">
        <w:rPr>
          <w:rFonts w:ascii="Cambria" w:eastAsia="MS Mincho" w:hAnsi="Cambria" w:cs="Times New Roman"/>
        </w:rPr>
        <w:t>,</w:t>
      </w:r>
    </w:p>
    <w:p w14:paraId="31A2F04A" w14:textId="77777777" w:rsidR="003960D9" w:rsidRPr="005C4637" w:rsidRDefault="003960D9">
      <w:pPr>
        <w:numPr>
          <w:ilvl w:val="0"/>
          <w:numId w:val="141"/>
        </w:numPr>
        <w:rPr>
          <w:rFonts w:ascii="Cambria" w:eastAsia="MS Mincho" w:hAnsi="Cambria" w:cs="Times New Roman"/>
        </w:rPr>
      </w:pPr>
      <w:r w:rsidRPr="005C4637">
        <w:rPr>
          <w:rFonts w:ascii="Cambria" w:eastAsia="MS Mincho" w:hAnsi="Cambria" w:cs="Times New Roman"/>
        </w:rPr>
        <w:t xml:space="preserve">le </w:t>
      </w:r>
      <w:r w:rsidRPr="005C4637">
        <w:rPr>
          <w:rFonts w:ascii="Cambria" w:eastAsia="MS Mincho" w:hAnsi="Cambria" w:cs="Times New Roman"/>
          <w:b/>
          <w:bCs/>
        </w:rPr>
        <w:t>taux des additionnels au précompte immobilier (PrI)</w:t>
      </w:r>
      <w:r w:rsidRPr="005C4637">
        <w:rPr>
          <w:rFonts w:ascii="Cambria" w:eastAsia="MS Mincho" w:hAnsi="Cambria" w:cs="Times New Roman"/>
        </w:rPr>
        <w:t>.</w:t>
      </w:r>
    </w:p>
    <w:p w14:paraId="20FA9762" w14:textId="77777777" w:rsidR="00130C96" w:rsidRPr="005C4637" w:rsidRDefault="00130C96" w:rsidP="00130C96">
      <w:pPr>
        <w:pStyle w:val="Titre1"/>
      </w:pPr>
      <w:bookmarkStart w:id="494" w:name="_Toc225504204"/>
      <w:bookmarkStart w:id="495" w:name="_Toc225772293"/>
      <w:bookmarkStart w:id="496" w:name="_Toc226445348"/>
      <w:bookmarkStart w:id="497" w:name="_Toc233626132"/>
      <w:r w:rsidRPr="005C4637">
        <w:t>Service ordinaire — Recettes</w:t>
      </w:r>
      <w:bookmarkEnd w:id="494"/>
      <w:bookmarkEnd w:id="495"/>
      <w:bookmarkEnd w:id="496"/>
      <w:bookmarkEnd w:id="497"/>
      <w:r w:rsidRPr="005C4637">
        <w:t xml:space="preserve"> </w:t>
      </w:r>
    </w:p>
    <w:p w14:paraId="488E3F33" w14:textId="77777777" w:rsidR="00130C96" w:rsidRPr="005C4637" w:rsidRDefault="00130C96" w:rsidP="00130C96">
      <w:pPr>
        <w:pStyle w:val="Titre4"/>
        <w:ind w:left="720"/>
      </w:pPr>
      <w:r w:rsidRPr="005C4637">
        <w:t>Quelle méthode appliquer quand des montants de recettes ne sont pas encore connus ?</w:t>
      </w:r>
    </w:p>
    <w:p w14:paraId="2D68C509" w14:textId="5B63F3CB" w:rsidR="00130C96" w:rsidRDefault="00130C96" w:rsidP="0097524C">
      <w:r w:rsidRPr="005C4637">
        <w:t>Lorsque le montant d’une recette du service ordinaire n’est pas encore connu au moment du bouclage budgétaire, elle doit être estimée en appliquant un taux de progression en pourcentage calculé sur la base de la moyenne des 5 dernières années.</w:t>
      </w:r>
    </w:p>
    <w:p w14:paraId="275BA7A3" w14:textId="77777777" w:rsidR="00130C96" w:rsidRPr="004A125D" w:rsidRDefault="00130C96">
      <w:pPr>
        <w:pStyle w:val="Titre2"/>
        <w:numPr>
          <w:ilvl w:val="0"/>
          <w:numId w:val="154"/>
        </w:numPr>
        <w:tabs>
          <w:tab w:val="num" w:pos="360"/>
        </w:tabs>
        <w:rPr>
          <w:caps/>
        </w:rPr>
      </w:pPr>
      <w:bookmarkStart w:id="498" w:name="_Toc143778997"/>
      <w:bookmarkStart w:id="499" w:name="_Toc208321533"/>
      <w:bookmarkStart w:id="500" w:name="_Toc208419921"/>
      <w:bookmarkStart w:id="501" w:name="_Toc225504205"/>
      <w:bookmarkStart w:id="502" w:name="_Toc225772294"/>
      <w:bookmarkStart w:id="503" w:name="_Toc226445349"/>
      <w:bookmarkStart w:id="504" w:name="_Toc233626133"/>
      <w:r w:rsidRPr="005C4637">
        <w:t>Financement général des communes</w:t>
      </w:r>
      <w:bookmarkEnd w:id="498"/>
      <w:bookmarkEnd w:id="499"/>
      <w:bookmarkEnd w:id="500"/>
      <w:bookmarkEnd w:id="501"/>
      <w:bookmarkEnd w:id="502"/>
      <w:bookmarkEnd w:id="503"/>
      <w:bookmarkEnd w:id="504"/>
    </w:p>
    <w:p w14:paraId="023AE8FE" w14:textId="77777777" w:rsidR="00130C96" w:rsidRPr="005C4637" w:rsidRDefault="00130C96" w:rsidP="00130C96">
      <w:pPr>
        <w:spacing w:before="120"/>
      </w:pPr>
      <w:r w:rsidRPr="005C4637">
        <w:t xml:space="preserve">Dans le cadre du financement général, c’est-à-dire du financement libre de toute affectation, les communes bénéficient de plusieurs dotations ou compensations octroyées par la Région wallonne ou le Fédéral. </w:t>
      </w:r>
    </w:p>
    <w:p w14:paraId="29090468" w14:textId="77777777" w:rsidR="00130C96" w:rsidRPr="005C4637" w:rsidRDefault="00130C96" w:rsidP="00130C96">
      <w:pPr>
        <w:spacing w:before="120"/>
      </w:pPr>
      <w:r w:rsidRPr="005C4637">
        <w:t>Le tableau suivant reprend les informations relatives à la comptabilisation des prévisions qui sont communiquées par les diverses administrations régionales ou fédérales. J’insiste pour que les articles budgétaires renseignés soient scrupuleusement respectés.</w:t>
      </w:r>
    </w:p>
    <w:tbl>
      <w:tblPr>
        <w:tblStyle w:val="Grilledutableau"/>
        <w:tblW w:w="0" w:type="auto"/>
        <w:jc w:val="center"/>
        <w:tblLook w:val="04A0" w:firstRow="1" w:lastRow="0" w:firstColumn="1" w:lastColumn="0" w:noHBand="0" w:noVBand="1"/>
      </w:tblPr>
      <w:tblGrid>
        <w:gridCol w:w="1537"/>
        <w:gridCol w:w="3995"/>
        <w:gridCol w:w="3098"/>
      </w:tblGrid>
      <w:tr w:rsidR="00130C96" w:rsidRPr="005C4637" w14:paraId="514FB0B8" w14:textId="77777777" w:rsidTr="005560EF">
        <w:trPr>
          <w:jc w:val="center"/>
        </w:trPr>
        <w:tc>
          <w:tcPr>
            <w:tcW w:w="1555" w:type="dxa"/>
            <w:vAlign w:val="center"/>
          </w:tcPr>
          <w:p w14:paraId="59FAE319" w14:textId="77777777" w:rsidR="00130C96" w:rsidRPr="005C4637" w:rsidRDefault="00130C96" w:rsidP="005560EF">
            <w:pPr>
              <w:jc w:val="center"/>
              <w:rPr>
                <w:rFonts w:cstheme="minorHAnsi"/>
                <w:b/>
              </w:rPr>
            </w:pPr>
            <w:r w:rsidRPr="005C4637">
              <w:rPr>
                <w:rFonts w:cstheme="minorHAnsi"/>
                <w:b/>
              </w:rPr>
              <w:t>Article budgétaire</w:t>
            </w:r>
          </w:p>
        </w:tc>
        <w:tc>
          <w:tcPr>
            <w:tcW w:w="4252" w:type="dxa"/>
            <w:vAlign w:val="center"/>
          </w:tcPr>
          <w:p w14:paraId="08E71458" w14:textId="77777777" w:rsidR="00130C96" w:rsidRPr="005C4637" w:rsidRDefault="00130C96" w:rsidP="005560EF">
            <w:pPr>
              <w:jc w:val="center"/>
              <w:rPr>
                <w:rFonts w:cstheme="minorHAnsi"/>
                <w:b/>
              </w:rPr>
            </w:pPr>
            <w:r w:rsidRPr="005C4637">
              <w:rPr>
                <w:rFonts w:cstheme="minorHAnsi"/>
                <w:b/>
              </w:rPr>
              <w:t>Libellé</w:t>
            </w:r>
          </w:p>
        </w:tc>
        <w:tc>
          <w:tcPr>
            <w:tcW w:w="3255" w:type="dxa"/>
            <w:vAlign w:val="center"/>
          </w:tcPr>
          <w:p w14:paraId="24043AC7" w14:textId="77777777" w:rsidR="00130C96" w:rsidRPr="005C4637" w:rsidRDefault="00130C96" w:rsidP="005560EF">
            <w:pPr>
              <w:jc w:val="center"/>
              <w:rPr>
                <w:rFonts w:cstheme="minorHAnsi"/>
                <w:b/>
              </w:rPr>
            </w:pPr>
            <w:r w:rsidRPr="005C4637">
              <w:rPr>
                <w:rFonts w:cstheme="minorHAnsi"/>
                <w:b/>
              </w:rPr>
              <w:t>Prévision budgétaire</w:t>
            </w:r>
          </w:p>
        </w:tc>
      </w:tr>
      <w:tr w:rsidR="00130C96" w:rsidRPr="005C4637" w14:paraId="7ABD5F38" w14:textId="77777777" w:rsidTr="005560EF">
        <w:tblPrEx>
          <w:jc w:val="left"/>
        </w:tblPrEx>
        <w:tc>
          <w:tcPr>
            <w:tcW w:w="1555" w:type="dxa"/>
            <w:vAlign w:val="center"/>
          </w:tcPr>
          <w:p w14:paraId="793B672B" w14:textId="77777777" w:rsidR="00130C96" w:rsidRPr="005C4637" w:rsidRDefault="00130C96" w:rsidP="005560EF">
            <w:pPr>
              <w:jc w:val="center"/>
              <w:rPr>
                <w:rFonts w:cstheme="minorHAnsi"/>
              </w:rPr>
            </w:pPr>
            <w:r w:rsidRPr="005C4637">
              <w:rPr>
                <w:rFonts w:cstheme="minorHAnsi"/>
              </w:rPr>
              <w:t>00010/466-48</w:t>
            </w:r>
          </w:p>
        </w:tc>
        <w:tc>
          <w:tcPr>
            <w:tcW w:w="4252" w:type="dxa"/>
            <w:vAlign w:val="center"/>
          </w:tcPr>
          <w:p w14:paraId="76F1E523" w14:textId="77777777" w:rsidR="00130C96" w:rsidRPr="005C4637" w:rsidRDefault="00130C96" w:rsidP="005560EF">
            <w:pPr>
              <w:rPr>
                <w:rFonts w:cstheme="minorHAnsi"/>
              </w:rPr>
            </w:pPr>
            <w:r w:rsidRPr="005C4637">
              <w:rPr>
                <w:rFonts w:cstheme="minorHAnsi"/>
              </w:rPr>
              <w:t>Compensation travailleurs frontaliers luxembourgeois</w:t>
            </w:r>
          </w:p>
        </w:tc>
        <w:tc>
          <w:tcPr>
            <w:tcW w:w="3255" w:type="dxa"/>
            <w:vAlign w:val="center"/>
          </w:tcPr>
          <w:p w14:paraId="38F06E1F" w14:textId="77777777" w:rsidR="00130C96" w:rsidRPr="005C4637" w:rsidRDefault="00130C96" w:rsidP="005560EF">
            <w:pPr>
              <w:rPr>
                <w:rFonts w:cstheme="minorHAnsi"/>
              </w:rPr>
            </w:pPr>
            <w:r w:rsidRPr="005C4637">
              <w:rPr>
                <w:rFonts w:cstheme="minorHAnsi"/>
              </w:rPr>
              <w:t>La prévision correspondra au dernier montant communiqué par le SPF Finances.</w:t>
            </w:r>
          </w:p>
        </w:tc>
      </w:tr>
      <w:tr w:rsidR="00130C96" w:rsidRPr="005C4637" w14:paraId="7C758AF5" w14:textId="77777777" w:rsidTr="005560EF">
        <w:trPr>
          <w:jc w:val="center"/>
        </w:trPr>
        <w:tc>
          <w:tcPr>
            <w:tcW w:w="1555" w:type="dxa"/>
            <w:vAlign w:val="center"/>
          </w:tcPr>
          <w:p w14:paraId="4DFADDE1" w14:textId="77777777" w:rsidR="00130C96" w:rsidRPr="005C4637" w:rsidRDefault="00130C96" w:rsidP="005560EF">
            <w:pPr>
              <w:jc w:val="center"/>
              <w:rPr>
                <w:rFonts w:cstheme="minorHAnsi"/>
              </w:rPr>
            </w:pPr>
            <w:r w:rsidRPr="005C4637">
              <w:rPr>
                <w:rFonts w:cstheme="minorHAnsi"/>
              </w:rPr>
              <w:lastRenderedPageBreak/>
              <w:t>021/466-01</w:t>
            </w:r>
          </w:p>
        </w:tc>
        <w:tc>
          <w:tcPr>
            <w:tcW w:w="4252" w:type="dxa"/>
            <w:vAlign w:val="center"/>
          </w:tcPr>
          <w:p w14:paraId="2C1EE85E" w14:textId="77777777" w:rsidR="00130C96" w:rsidRPr="005C4637" w:rsidRDefault="00130C96" w:rsidP="005560EF">
            <w:pPr>
              <w:rPr>
                <w:rFonts w:cstheme="minorHAnsi"/>
              </w:rPr>
            </w:pPr>
            <w:r w:rsidRPr="005C4637">
              <w:rPr>
                <w:rFonts w:cstheme="minorHAnsi"/>
              </w:rPr>
              <w:t>Dotation générale au fonds des communes</w:t>
            </w:r>
          </w:p>
        </w:tc>
        <w:tc>
          <w:tcPr>
            <w:tcW w:w="3255" w:type="dxa"/>
            <w:vAlign w:val="center"/>
          </w:tcPr>
          <w:p w14:paraId="38C519A4" w14:textId="55B8919D" w:rsidR="00130C96" w:rsidRPr="005C4637" w:rsidRDefault="00130C96" w:rsidP="005560EF">
            <w:pPr>
              <w:rPr>
                <w:rFonts w:cstheme="minorHAnsi"/>
              </w:rPr>
            </w:pPr>
            <w:r w:rsidRPr="005C4637">
              <w:rPr>
                <w:rFonts w:cstheme="minorHAnsi"/>
              </w:rPr>
              <w:t xml:space="preserve">La prévision sera calculée sur la base des dernières statistiques disponibles et vous sera communiquée de manière électronique via NEMO par </w:t>
            </w:r>
            <w:r w:rsidR="005A728D" w:rsidRPr="005C4637">
              <w:rPr>
                <w:rFonts w:cstheme="minorHAnsi"/>
              </w:rPr>
              <w:t>le SPW</w:t>
            </w:r>
            <w:r w:rsidRPr="005C4637">
              <w:rPr>
                <w:rFonts w:cstheme="minorHAnsi"/>
              </w:rPr>
              <w:t xml:space="preserve"> Intérieur et Action sociale. </w:t>
            </w:r>
          </w:p>
        </w:tc>
      </w:tr>
      <w:tr w:rsidR="00130C96" w:rsidRPr="005C4637" w14:paraId="2218464F" w14:textId="77777777" w:rsidTr="005560EF">
        <w:trPr>
          <w:jc w:val="center"/>
        </w:trPr>
        <w:tc>
          <w:tcPr>
            <w:tcW w:w="1555" w:type="dxa"/>
            <w:vAlign w:val="center"/>
          </w:tcPr>
          <w:p w14:paraId="4460C5CD" w14:textId="77777777" w:rsidR="00130C96" w:rsidRPr="005C4637" w:rsidRDefault="00130C96" w:rsidP="005560EF">
            <w:pPr>
              <w:jc w:val="center"/>
              <w:rPr>
                <w:rFonts w:cstheme="minorHAnsi"/>
              </w:rPr>
            </w:pPr>
          </w:p>
          <w:p w14:paraId="4F91196C" w14:textId="77777777" w:rsidR="00130C96" w:rsidRPr="005C4637" w:rsidRDefault="00130C96" w:rsidP="005560EF">
            <w:pPr>
              <w:jc w:val="center"/>
              <w:rPr>
                <w:rFonts w:cstheme="minorHAnsi"/>
              </w:rPr>
            </w:pPr>
            <w:r w:rsidRPr="005C4637">
              <w:rPr>
                <w:rFonts w:cstheme="minorHAnsi"/>
              </w:rPr>
              <w:t>02110/466-01</w:t>
            </w:r>
          </w:p>
          <w:p w14:paraId="0C8916CF" w14:textId="77777777" w:rsidR="00130C96" w:rsidRPr="005C4637" w:rsidRDefault="00130C96" w:rsidP="005560EF">
            <w:pPr>
              <w:jc w:val="center"/>
              <w:rPr>
                <w:rFonts w:cstheme="minorHAnsi"/>
              </w:rPr>
            </w:pPr>
          </w:p>
        </w:tc>
        <w:tc>
          <w:tcPr>
            <w:tcW w:w="4252" w:type="dxa"/>
            <w:vAlign w:val="center"/>
          </w:tcPr>
          <w:p w14:paraId="023CBD1F" w14:textId="77777777" w:rsidR="00130C96" w:rsidRPr="005C4637" w:rsidRDefault="00130C96" w:rsidP="005560EF">
            <w:pPr>
              <w:rPr>
                <w:rFonts w:cstheme="minorHAnsi"/>
              </w:rPr>
            </w:pPr>
            <w:r w:rsidRPr="005C4637">
              <w:rPr>
                <w:rFonts w:cstheme="minorHAnsi"/>
              </w:rPr>
              <w:t>Dotation complémentaire au fonds des communes</w:t>
            </w:r>
          </w:p>
        </w:tc>
        <w:tc>
          <w:tcPr>
            <w:tcW w:w="3255" w:type="dxa"/>
            <w:vAlign w:val="center"/>
          </w:tcPr>
          <w:p w14:paraId="6F301165" w14:textId="211A13D4" w:rsidR="00130C96" w:rsidRPr="005C4637" w:rsidRDefault="00130C96" w:rsidP="005560EF">
            <w:pPr>
              <w:rPr>
                <w:rFonts w:cstheme="minorHAnsi"/>
              </w:rPr>
            </w:pPr>
            <w:r w:rsidRPr="005C4637">
              <w:rPr>
                <w:rFonts w:cstheme="minorHAnsi"/>
              </w:rPr>
              <w:t xml:space="preserve">La prévision sera calculée sur la base des dernières statistiques disponibles et vous sera communiquée de manière électronique via NEMO par </w:t>
            </w:r>
            <w:r w:rsidR="005A728D" w:rsidRPr="005C4637">
              <w:rPr>
                <w:rFonts w:cstheme="minorHAnsi"/>
              </w:rPr>
              <w:t>le SPW</w:t>
            </w:r>
            <w:r w:rsidRPr="005C4637">
              <w:rPr>
                <w:rFonts w:cstheme="minorHAnsi"/>
              </w:rPr>
              <w:t xml:space="preserve"> Intérieur et Action sociale.</w:t>
            </w:r>
          </w:p>
        </w:tc>
      </w:tr>
      <w:tr w:rsidR="00130C96" w:rsidRPr="005C4637" w14:paraId="498B2AAD" w14:textId="77777777" w:rsidTr="005560EF">
        <w:trPr>
          <w:jc w:val="center"/>
        </w:trPr>
        <w:tc>
          <w:tcPr>
            <w:tcW w:w="1555" w:type="dxa"/>
            <w:vAlign w:val="center"/>
          </w:tcPr>
          <w:p w14:paraId="184DFD6C" w14:textId="77777777" w:rsidR="00130C96" w:rsidRPr="005C4637" w:rsidRDefault="00130C96" w:rsidP="005560EF">
            <w:pPr>
              <w:jc w:val="center"/>
              <w:rPr>
                <w:rFonts w:cstheme="minorHAnsi"/>
              </w:rPr>
            </w:pPr>
            <w:r w:rsidRPr="005C4637">
              <w:rPr>
                <w:rFonts w:cstheme="minorHAnsi"/>
              </w:rPr>
              <w:t>025/466-09</w:t>
            </w:r>
          </w:p>
        </w:tc>
        <w:tc>
          <w:tcPr>
            <w:tcW w:w="4252" w:type="dxa"/>
            <w:vAlign w:val="center"/>
          </w:tcPr>
          <w:p w14:paraId="02FFDEF9" w14:textId="77777777" w:rsidR="00130C96" w:rsidRPr="005C4637" w:rsidRDefault="00130C96" w:rsidP="005560EF">
            <w:pPr>
              <w:rPr>
                <w:rFonts w:cstheme="minorHAnsi"/>
              </w:rPr>
            </w:pPr>
            <w:r w:rsidRPr="005C4637">
              <w:rPr>
                <w:rFonts w:cstheme="minorHAnsi"/>
              </w:rPr>
              <w:t>Compensation main morte</w:t>
            </w:r>
          </w:p>
        </w:tc>
        <w:tc>
          <w:tcPr>
            <w:tcW w:w="3255" w:type="dxa"/>
            <w:vAlign w:val="center"/>
          </w:tcPr>
          <w:p w14:paraId="2D19958E" w14:textId="77777777" w:rsidR="00130C96" w:rsidRPr="005C4637" w:rsidRDefault="00130C96" w:rsidP="005560EF">
            <w:pPr>
              <w:rPr>
                <w:rFonts w:cstheme="minorHAnsi"/>
              </w:rPr>
            </w:pPr>
            <w:r w:rsidRPr="005C4637">
              <w:rPr>
                <w:rFonts w:cstheme="minorHAnsi"/>
              </w:rPr>
              <w:t>La prévision correspondra au dernier montant communiqué par le SPF Finances.</w:t>
            </w:r>
          </w:p>
        </w:tc>
      </w:tr>
      <w:tr w:rsidR="00130C96" w:rsidRPr="005C4637" w14:paraId="2E3BC2D6" w14:textId="77777777" w:rsidTr="005560EF">
        <w:trPr>
          <w:jc w:val="center"/>
        </w:trPr>
        <w:tc>
          <w:tcPr>
            <w:tcW w:w="1555" w:type="dxa"/>
            <w:vAlign w:val="center"/>
          </w:tcPr>
          <w:p w14:paraId="7AF10144" w14:textId="77777777" w:rsidR="00130C96" w:rsidRPr="005C4637" w:rsidRDefault="00130C96" w:rsidP="005560EF">
            <w:pPr>
              <w:jc w:val="center"/>
              <w:rPr>
                <w:rFonts w:cstheme="minorHAnsi"/>
              </w:rPr>
            </w:pPr>
            <w:r w:rsidRPr="005C4637">
              <w:rPr>
                <w:rFonts w:cstheme="minorHAnsi"/>
              </w:rPr>
              <w:t>02510/466-09</w:t>
            </w:r>
          </w:p>
        </w:tc>
        <w:tc>
          <w:tcPr>
            <w:tcW w:w="4252" w:type="dxa"/>
            <w:vAlign w:val="center"/>
          </w:tcPr>
          <w:p w14:paraId="0ACA866B" w14:textId="77777777" w:rsidR="00130C96" w:rsidRPr="005C4637" w:rsidRDefault="00130C96" w:rsidP="005560EF">
            <w:pPr>
              <w:rPr>
                <w:rFonts w:cstheme="minorHAnsi"/>
              </w:rPr>
            </w:pPr>
            <w:r w:rsidRPr="005C4637">
              <w:rPr>
                <w:rFonts w:cstheme="minorHAnsi"/>
              </w:rPr>
              <w:t>Compensation liée à la forfaitarisation des réductions du précompte immobilier pour enfants et personnes à charge</w:t>
            </w:r>
          </w:p>
        </w:tc>
        <w:tc>
          <w:tcPr>
            <w:tcW w:w="3255" w:type="dxa"/>
            <w:vAlign w:val="center"/>
          </w:tcPr>
          <w:p w14:paraId="16935BF7" w14:textId="77777777" w:rsidR="00130C96" w:rsidRPr="005C4637" w:rsidRDefault="00130C96" w:rsidP="005560EF">
            <w:r w:rsidRPr="005C4637">
              <w:t>La prévision vous sera communiquée de manière électronique via NEMO par le SPW Intérieur et Action sociale .</w:t>
            </w:r>
          </w:p>
        </w:tc>
      </w:tr>
      <w:tr w:rsidR="00130C96" w:rsidRPr="005C4637" w14:paraId="1ABA975D" w14:textId="77777777" w:rsidTr="005560EF">
        <w:trPr>
          <w:jc w:val="center"/>
        </w:trPr>
        <w:tc>
          <w:tcPr>
            <w:tcW w:w="1555" w:type="dxa"/>
            <w:vAlign w:val="center"/>
          </w:tcPr>
          <w:p w14:paraId="45AE56BF" w14:textId="77777777" w:rsidR="00130C96" w:rsidRPr="005C4637" w:rsidRDefault="00130C96" w:rsidP="005560EF">
            <w:pPr>
              <w:jc w:val="center"/>
              <w:rPr>
                <w:rFonts w:cstheme="minorHAnsi"/>
              </w:rPr>
            </w:pPr>
            <w:r w:rsidRPr="005C4637">
              <w:rPr>
                <w:rFonts w:cstheme="minorHAnsi"/>
              </w:rPr>
              <w:t>040/371-01</w:t>
            </w:r>
          </w:p>
        </w:tc>
        <w:tc>
          <w:tcPr>
            <w:tcW w:w="4252" w:type="dxa"/>
            <w:vAlign w:val="center"/>
          </w:tcPr>
          <w:p w14:paraId="4C42B068" w14:textId="77777777" w:rsidR="00130C96" w:rsidRPr="005C4637" w:rsidRDefault="00130C96" w:rsidP="005560EF">
            <w:pPr>
              <w:rPr>
                <w:rFonts w:cstheme="minorHAnsi"/>
              </w:rPr>
            </w:pPr>
            <w:r w:rsidRPr="005C4637">
              <w:rPr>
                <w:rFonts w:cstheme="minorHAnsi"/>
              </w:rPr>
              <w:t>Additionnels au PrI</w:t>
            </w:r>
          </w:p>
        </w:tc>
        <w:tc>
          <w:tcPr>
            <w:tcW w:w="3255" w:type="dxa"/>
            <w:vAlign w:val="center"/>
          </w:tcPr>
          <w:p w14:paraId="35766983" w14:textId="77777777" w:rsidR="00130C96" w:rsidRPr="005C4637" w:rsidRDefault="00130C96" w:rsidP="005560EF">
            <w:r w:rsidRPr="005C4637">
              <w:t>La prévision vous sera communiquée de manière électronique via NEMO par le SPW Intérieur et Action sociale .</w:t>
            </w:r>
          </w:p>
        </w:tc>
      </w:tr>
      <w:tr w:rsidR="00130C96" w:rsidRPr="005C4637" w14:paraId="7BF7D5DB" w14:textId="77777777" w:rsidTr="005560EF">
        <w:trPr>
          <w:jc w:val="center"/>
        </w:trPr>
        <w:tc>
          <w:tcPr>
            <w:tcW w:w="1555" w:type="dxa"/>
            <w:vAlign w:val="center"/>
          </w:tcPr>
          <w:p w14:paraId="034D9D49" w14:textId="77777777" w:rsidR="00130C96" w:rsidRPr="005C4637" w:rsidRDefault="00130C96" w:rsidP="005560EF">
            <w:pPr>
              <w:jc w:val="center"/>
              <w:rPr>
                <w:rFonts w:cstheme="minorHAnsi"/>
              </w:rPr>
            </w:pPr>
            <w:r w:rsidRPr="005C4637">
              <w:rPr>
                <w:rFonts w:cstheme="minorHAnsi"/>
              </w:rPr>
              <w:t>040/372-01</w:t>
            </w:r>
          </w:p>
        </w:tc>
        <w:tc>
          <w:tcPr>
            <w:tcW w:w="4252" w:type="dxa"/>
            <w:vAlign w:val="center"/>
          </w:tcPr>
          <w:p w14:paraId="5397AC78" w14:textId="77777777" w:rsidR="00130C96" w:rsidRPr="005C4637" w:rsidRDefault="00130C96" w:rsidP="005560EF">
            <w:pPr>
              <w:rPr>
                <w:rFonts w:cstheme="minorHAnsi"/>
              </w:rPr>
            </w:pPr>
            <w:r w:rsidRPr="005C4637">
              <w:rPr>
                <w:rFonts w:cstheme="minorHAnsi"/>
              </w:rPr>
              <w:t>Additionnels à l’IPP</w:t>
            </w:r>
          </w:p>
        </w:tc>
        <w:tc>
          <w:tcPr>
            <w:tcW w:w="3255" w:type="dxa"/>
            <w:vAlign w:val="center"/>
          </w:tcPr>
          <w:p w14:paraId="7CC06536" w14:textId="77777777" w:rsidR="00130C96" w:rsidRPr="005C4637" w:rsidRDefault="00130C96" w:rsidP="005560EF">
            <w:pPr>
              <w:rPr>
                <w:rFonts w:cstheme="minorHAnsi"/>
              </w:rPr>
            </w:pPr>
            <w:r w:rsidRPr="005C4637">
              <w:rPr>
                <w:rFonts w:cstheme="minorHAnsi"/>
              </w:rPr>
              <w:t>La prévision correspondra au dernier montant communiqué par le SPF Finances.</w:t>
            </w:r>
          </w:p>
        </w:tc>
      </w:tr>
      <w:tr w:rsidR="00130C96" w:rsidRPr="005C4637" w14:paraId="2D93BC64" w14:textId="77777777" w:rsidTr="005560EF">
        <w:trPr>
          <w:jc w:val="center"/>
        </w:trPr>
        <w:tc>
          <w:tcPr>
            <w:tcW w:w="1555" w:type="dxa"/>
            <w:vAlign w:val="center"/>
          </w:tcPr>
          <w:p w14:paraId="6DD41B88" w14:textId="77777777" w:rsidR="00130C96" w:rsidRPr="005C4637" w:rsidRDefault="00130C96" w:rsidP="005560EF">
            <w:pPr>
              <w:jc w:val="center"/>
              <w:rPr>
                <w:rFonts w:cstheme="minorHAnsi"/>
              </w:rPr>
            </w:pPr>
            <w:r>
              <w:rPr>
                <w:rFonts w:cstheme="minorHAnsi"/>
              </w:rPr>
              <w:t>023/466-02</w:t>
            </w:r>
          </w:p>
        </w:tc>
        <w:tc>
          <w:tcPr>
            <w:tcW w:w="4252" w:type="dxa"/>
            <w:vAlign w:val="center"/>
          </w:tcPr>
          <w:p w14:paraId="7D311CAD" w14:textId="77777777" w:rsidR="00130C96" w:rsidRPr="005C4637" w:rsidRDefault="00130C96" w:rsidP="005560EF">
            <w:pPr>
              <w:rPr>
                <w:rFonts w:cstheme="minorHAnsi"/>
              </w:rPr>
            </w:pPr>
            <w:r>
              <w:rPr>
                <w:rFonts w:cstheme="minorHAnsi"/>
              </w:rPr>
              <w:t xml:space="preserve">Aides compensatoires </w:t>
            </w:r>
            <w:r w:rsidRPr="005C4637">
              <w:rPr>
                <w:rFonts w:cstheme="minorHAnsi"/>
              </w:rPr>
              <w:t>(</w:t>
            </w:r>
            <w:r>
              <w:rPr>
                <w:rFonts w:cstheme="minorHAnsi"/>
              </w:rPr>
              <w:t xml:space="preserve">anciennement </w:t>
            </w:r>
            <w:r w:rsidRPr="005C4637">
              <w:rPr>
                <w:rFonts w:cstheme="minorHAnsi"/>
              </w:rPr>
              <w:t>compensation Plan Marshall)</w:t>
            </w:r>
          </w:p>
        </w:tc>
        <w:tc>
          <w:tcPr>
            <w:tcW w:w="3255" w:type="dxa"/>
            <w:vAlign w:val="center"/>
          </w:tcPr>
          <w:p w14:paraId="602604D1" w14:textId="77777777" w:rsidR="00130C96" w:rsidRPr="005C4637" w:rsidRDefault="00130C96" w:rsidP="005560EF">
            <w:pPr>
              <w:rPr>
                <w:rFonts w:cstheme="minorHAnsi"/>
              </w:rPr>
            </w:pPr>
            <w:r w:rsidRPr="005C4637">
              <w:rPr>
                <w:rFonts w:cstheme="minorHAnsi"/>
              </w:rPr>
              <w:t>La prévision vous sera communiquée de manière électronique via NEMO par le SPW Intérieur et Action sociale.</w:t>
            </w:r>
          </w:p>
        </w:tc>
      </w:tr>
      <w:tr w:rsidR="00130C96" w:rsidRPr="005C4637" w14:paraId="59A2F8AB" w14:textId="77777777" w:rsidTr="005560EF">
        <w:trPr>
          <w:jc w:val="center"/>
        </w:trPr>
        <w:tc>
          <w:tcPr>
            <w:tcW w:w="1555" w:type="dxa"/>
            <w:vAlign w:val="center"/>
          </w:tcPr>
          <w:p w14:paraId="17AF027A" w14:textId="77777777" w:rsidR="00130C96" w:rsidRPr="005C4637" w:rsidRDefault="00130C96" w:rsidP="005560EF">
            <w:pPr>
              <w:jc w:val="center"/>
              <w:rPr>
                <w:rFonts w:cstheme="minorHAnsi"/>
              </w:rPr>
            </w:pPr>
            <w:r w:rsidRPr="005C4637">
              <w:rPr>
                <w:rFonts w:cstheme="minorHAnsi"/>
              </w:rPr>
              <w:t>04030/465-48</w:t>
            </w:r>
          </w:p>
        </w:tc>
        <w:tc>
          <w:tcPr>
            <w:tcW w:w="4252" w:type="dxa"/>
            <w:vAlign w:val="center"/>
          </w:tcPr>
          <w:p w14:paraId="2FFEB400" w14:textId="77777777" w:rsidR="00130C96" w:rsidRPr="005C4637" w:rsidRDefault="00130C96" w:rsidP="005560EF">
            <w:pPr>
              <w:rPr>
                <w:rFonts w:cstheme="minorHAnsi"/>
              </w:rPr>
            </w:pPr>
            <w:r w:rsidRPr="005C4637">
              <w:rPr>
                <w:rFonts w:cstheme="minorHAnsi"/>
              </w:rPr>
              <w:t>Compensation Natura 2000</w:t>
            </w:r>
          </w:p>
        </w:tc>
        <w:tc>
          <w:tcPr>
            <w:tcW w:w="3255" w:type="dxa"/>
            <w:vAlign w:val="center"/>
          </w:tcPr>
          <w:p w14:paraId="594C27E2" w14:textId="77777777" w:rsidR="00130C96" w:rsidRPr="005C4637" w:rsidRDefault="00130C96" w:rsidP="005560EF">
            <w:pPr>
              <w:rPr>
                <w:rFonts w:cstheme="minorHAnsi"/>
              </w:rPr>
            </w:pPr>
            <w:r w:rsidRPr="005C4637">
              <w:rPr>
                <w:rFonts w:cstheme="minorHAnsi"/>
              </w:rPr>
              <w:t>La prévision correspondra au dernier montant communiqué par le SPW Agriculture, Ressources naturelles et Environnement.</w:t>
            </w:r>
          </w:p>
        </w:tc>
      </w:tr>
    </w:tbl>
    <w:p w14:paraId="5C2AA3B7" w14:textId="77777777" w:rsidR="00130C96" w:rsidRPr="005C4637" w:rsidRDefault="00130C96" w:rsidP="00130C96">
      <w:pPr>
        <w:rPr>
          <w:rFonts w:ascii="Cambria" w:eastAsia="MS Mincho" w:hAnsi="Cambria" w:cs="Times New Roman"/>
        </w:rPr>
      </w:pPr>
    </w:p>
    <w:p w14:paraId="6AD79D63" w14:textId="77777777" w:rsidR="00130C96" w:rsidRPr="005C4637" w:rsidRDefault="00130C96" w:rsidP="00130C96">
      <w:pPr>
        <w:pStyle w:val="Titre2"/>
      </w:pPr>
      <w:bookmarkStart w:id="505" w:name="_Toc225504206"/>
      <w:bookmarkStart w:id="506" w:name="_Toc225772295"/>
      <w:bookmarkStart w:id="507" w:name="_Toc226445350"/>
      <w:bookmarkStart w:id="508" w:name="_Toc233626134"/>
      <w:r w:rsidRPr="005C4637">
        <w:t>Amendes administratives</w:t>
      </w:r>
      <w:bookmarkEnd w:id="505"/>
      <w:bookmarkEnd w:id="506"/>
      <w:bookmarkEnd w:id="507"/>
      <w:bookmarkEnd w:id="508"/>
    </w:p>
    <w:p w14:paraId="6CBDCD1B" w14:textId="77777777" w:rsidR="00130C96" w:rsidRPr="005C4637" w:rsidRDefault="00130C96">
      <w:pPr>
        <w:pStyle w:val="Titre3"/>
        <w:numPr>
          <w:ilvl w:val="0"/>
          <w:numId w:val="195"/>
        </w:numPr>
      </w:pPr>
      <w:bookmarkStart w:id="509" w:name="_Toc225504207"/>
      <w:bookmarkStart w:id="510" w:name="_Toc225772296"/>
      <w:bookmarkStart w:id="511" w:name="_Toc226445351"/>
      <w:bookmarkStart w:id="512" w:name="_Toc233626135"/>
      <w:r w:rsidRPr="005C4637">
        <w:t>Quels textes de référence ?</w:t>
      </w:r>
      <w:bookmarkEnd w:id="509"/>
      <w:bookmarkEnd w:id="510"/>
      <w:bookmarkEnd w:id="511"/>
      <w:bookmarkEnd w:id="512"/>
    </w:p>
    <w:p w14:paraId="74AF309C" w14:textId="77777777" w:rsidR="00551DC5" w:rsidRDefault="00130C96">
      <w:pPr>
        <w:pStyle w:val="Paragraphedeliste"/>
        <w:numPr>
          <w:ilvl w:val="0"/>
          <w:numId w:val="196"/>
        </w:numPr>
      </w:pPr>
      <w:r w:rsidRPr="005C4637">
        <w:t>Loi du 24 juin 2013 relative aux sanctions administratives communales, telle que modifiée par la loi du 11 décembre 2023.</w:t>
      </w:r>
    </w:p>
    <w:p w14:paraId="135EAB6F" w14:textId="77777777" w:rsidR="00551DC5" w:rsidRDefault="00130C96">
      <w:pPr>
        <w:pStyle w:val="Paragraphedeliste"/>
        <w:numPr>
          <w:ilvl w:val="0"/>
          <w:numId w:val="196"/>
        </w:numPr>
      </w:pPr>
      <w:r w:rsidRPr="005C4637">
        <w:t>Circulaire explicative du 22 juillet 2014.</w:t>
      </w:r>
    </w:p>
    <w:p w14:paraId="1A1C7F99" w14:textId="77777777" w:rsidR="00551DC5" w:rsidRDefault="00130C96">
      <w:pPr>
        <w:pStyle w:val="Paragraphedeliste"/>
        <w:numPr>
          <w:ilvl w:val="0"/>
          <w:numId w:val="196"/>
        </w:numPr>
      </w:pPr>
      <w:r w:rsidRPr="005C4637">
        <w:lastRenderedPageBreak/>
        <w:t>AR du 9 mars 2014 relatif aux SAC pour les infractions d’arrêt/stationnement et aux signaux C3 et F103 constatées automatiquement.</w:t>
      </w:r>
    </w:p>
    <w:p w14:paraId="67890F32" w14:textId="77777777" w:rsidR="00551DC5" w:rsidRDefault="00130C96">
      <w:pPr>
        <w:pStyle w:val="Paragraphedeliste"/>
        <w:numPr>
          <w:ilvl w:val="0"/>
          <w:numId w:val="196"/>
        </w:numPr>
      </w:pPr>
      <w:r w:rsidRPr="005C4637">
        <w:t>Décret du 6 mai 2019 (délinquance environnementale) et AGW du 2 juin 2022 (partie réglementaire du Livre Ier du Code de l’environnement).</w:t>
      </w:r>
    </w:p>
    <w:p w14:paraId="156E664A" w14:textId="77777777" w:rsidR="00551DC5" w:rsidRDefault="00130C96">
      <w:pPr>
        <w:pStyle w:val="Paragraphedeliste"/>
        <w:numPr>
          <w:ilvl w:val="0"/>
          <w:numId w:val="196"/>
        </w:numPr>
      </w:pPr>
      <w:r w:rsidRPr="005C4637">
        <w:t>Décret du 1er juin 2017 modifiant le CWLHD (sanction administrative pour maintien d’un bien inoccupé) et AGW du 19 janvier 2022 (art. 85ter CWLHD) – non‑cumul avec la taxe communale sur immeubles inoccupés.</w:t>
      </w:r>
    </w:p>
    <w:p w14:paraId="4872859C" w14:textId="0E6A0C81" w:rsidR="00130C96" w:rsidRPr="005C4637" w:rsidRDefault="00130C96">
      <w:pPr>
        <w:pStyle w:val="Paragraphedeliste"/>
        <w:numPr>
          <w:ilvl w:val="0"/>
          <w:numId w:val="196"/>
        </w:numPr>
      </w:pPr>
      <w:r w:rsidRPr="005C4637">
        <w:t>Loi du 5 mars 2021 harmonisant la procédure pour les infractions de roulage relevant de la loi du 24/06/2013.</w:t>
      </w:r>
    </w:p>
    <w:p w14:paraId="6C7C94CD" w14:textId="77777777" w:rsidR="00130C96" w:rsidRPr="005C4637" w:rsidRDefault="00130C96" w:rsidP="00130C96">
      <w:pPr>
        <w:pStyle w:val="Titre3"/>
      </w:pPr>
      <w:bookmarkStart w:id="513" w:name="_Toc225504208"/>
      <w:bookmarkStart w:id="514" w:name="_Toc225772297"/>
      <w:bookmarkStart w:id="515" w:name="_Toc226445352"/>
      <w:bookmarkStart w:id="516" w:name="_Toc233626136"/>
      <w:r w:rsidRPr="005C4637">
        <w:t>Quelle imputation budgétaire recommander ?</w:t>
      </w:r>
      <w:bookmarkEnd w:id="513"/>
      <w:bookmarkEnd w:id="514"/>
      <w:bookmarkEnd w:id="515"/>
      <w:bookmarkEnd w:id="516"/>
    </w:p>
    <w:p w14:paraId="0265623B" w14:textId="77777777" w:rsidR="00130C96" w:rsidRPr="005C4637" w:rsidRDefault="00130C96" w:rsidP="00130C96">
      <w:r w:rsidRPr="005C4637">
        <w:t>Regrouper les recettes sous l’article 100/380-03 (éventuellement individualisé au niveau du code fonctionnel : 100xx/380-03).</w:t>
      </w:r>
    </w:p>
    <w:p w14:paraId="06761853" w14:textId="77777777" w:rsidR="00130C96" w:rsidRPr="005C4637" w:rsidRDefault="00130C96" w:rsidP="00130C96">
      <w:pPr>
        <w:pStyle w:val="Titre2"/>
      </w:pPr>
      <w:bookmarkStart w:id="517" w:name="_Toc225504209"/>
      <w:bookmarkStart w:id="518" w:name="_Toc225772298"/>
      <w:bookmarkStart w:id="519" w:name="_Toc226445353"/>
      <w:bookmarkStart w:id="520" w:name="_Toc233626137"/>
      <w:r w:rsidRPr="005C4637">
        <w:t>Dividendes et redevances du secteur intercommunal</w:t>
      </w:r>
      <w:bookmarkEnd w:id="517"/>
      <w:bookmarkEnd w:id="518"/>
      <w:bookmarkEnd w:id="519"/>
      <w:bookmarkEnd w:id="520"/>
    </w:p>
    <w:p w14:paraId="7B8FE60B" w14:textId="77777777" w:rsidR="00130C96" w:rsidRPr="005C4637" w:rsidRDefault="00130C96">
      <w:pPr>
        <w:pStyle w:val="Titre3"/>
        <w:numPr>
          <w:ilvl w:val="0"/>
          <w:numId w:val="167"/>
        </w:numPr>
        <w:tabs>
          <w:tab w:val="num" w:pos="360"/>
        </w:tabs>
      </w:pPr>
      <w:bookmarkStart w:id="521" w:name="_Toc225504210"/>
      <w:bookmarkStart w:id="522" w:name="_Toc225772299"/>
      <w:bookmarkStart w:id="523" w:name="_Toc226445354"/>
      <w:bookmarkStart w:id="524" w:name="_Toc233626138"/>
      <w:r w:rsidRPr="005C4637">
        <w:t>Comment estimer les dividendes ?</w:t>
      </w:r>
      <w:bookmarkEnd w:id="521"/>
      <w:bookmarkEnd w:id="522"/>
      <w:bookmarkEnd w:id="523"/>
      <w:bookmarkEnd w:id="524"/>
    </w:p>
    <w:p w14:paraId="5A79262D" w14:textId="77777777" w:rsidR="00130C96" w:rsidRPr="005C4637" w:rsidRDefault="00130C96" w:rsidP="00130C96">
      <w:r w:rsidRPr="005C4637">
        <w:t>À défaut de notification par l’intercommunale, prendre contact avec l’organisme concerné pour obtenir une estimation à inscrire à l’article xxx/272-01 du budget 202</w:t>
      </w:r>
      <w:r>
        <w:t>7</w:t>
      </w:r>
      <w:r w:rsidRPr="005C4637">
        <w:t>.</w:t>
      </w:r>
    </w:p>
    <w:p w14:paraId="74BA7685" w14:textId="77777777" w:rsidR="00130C96" w:rsidRPr="005C4637" w:rsidRDefault="00130C96" w:rsidP="00130C96">
      <w:pPr>
        <w:pStyle w:val="Titre3"/>
      </w:pPr>
      <w:bookmarkStart w:id="525" w:name="_Toc225504211"/>
      <w:bookmarkStart w:id="526" w:name="_Toc225772300"/>
      <w:bookmarkStart w:id="527" w:name="_Toc226445355"/>
      <w:bookmarkStart w:id="528" w:name="_Toc233626139"/>
      <w:r w:rsidRPr="005C4637">
        <w:t xml:space="preserve">Comment </w:t>
      </w:r>
      <w:r>
        <w:t>inscrire</w:t>
      </w:r>
      <w:r w:rsidRPr="005C4637">
        <w:t xml:space="preserve"> les redevances réseau électricité/gaz ?</w:t>
      </w:r>
      <w:bookmarkEnd w:id="525"/>
      <w:bookmarkEnd w:id="526"/>
      <w:bookmarkEnd w:id="527"/>
      <w:bookmarkEnd w:id="528"/>
    </w:p>
    <w:p w14:paraId="3061B4EB" w14:textId="77777777" w:rsidR="00130C96" w:rsidRPr="005C4637" w:rsidRDefault="00130C96" w:rsidP="00130C96">
      <w:r w:rsidRPr="005C4637">
        <w:t xml:space="preserve">Les AR des 28/11/2002 et 15/07/2010 fixent la redevance d’occupation du domaine public par les réseaux. </w:t>
      </w:r>
      <w:r>
        <w:t>Inscription</w:t>
      </w:r>
      <w:r w:rsidRPr="005C4637">
        <w:t xml:space="preserve"> : électricité → 552/161-05, gaz → 551/161-05.</w:t>
      </w:r>
    </w:p>
    <w:p w14:paraId="2F6664BA" w14:textId="77777777" w:rsidR="00130C96" w:rsidRPr="005C4637" w:rsidRDefault="00130C96" w:rsidP="00130C96">
      <w:pPr>
        <w:pStyle w:val="Titre2"/>
      </w:pPr>
      <w:bookmarkStart w:id="529" w:name="_Toc225504212"/>
      <w:bookmarkStart w:id="530" w:name="_Toc225772301"/>
      <w:bookmarkStart w:id="531" w:name="_Toc226445356"/>
      <w:bookmarkStart w:id="532" w:name="_Toc233626140"/>
      <w:r w:rsidRPr="005C4637">
        <w:t>Subventions en général</w:t>
      </w:r>
      <w:bookmarkEnd w:id="529"/>
      <w:bookmarkEnd w:id="530"/>
      <w:bookmarkEnd w:id="531"/>
      <w:bookmarkEnd w:id="532"/>
    </w:p>
    <w:p w14:paraId="063306BF" w14:textId="77777777" w:rsidR="00130C96" w:rsidRPr="005C4637" w:rsidRDefault="00130C96">
      <w:pPr>
        <w:pStyle w:val="Titre3"/>
        <w:numPr>
          <w:ilvl w:val="0"/>
          <w:numId w:val="168"/>
        </w:numPr>
        <w:tabs>
          <w:tab w:val="num" w:pos="360"/>
        </w:tabs>
      </w:pPr>
      <w:bookmarkStart w:id="533" w:name="_Toc225504213"/>
      <w:bookmarkStart w:id="534" w:name="_Toc225772302"/>
      <w:bookmarkStart w:id="535" w:name="_Toc226445357"/>
      <w:bookmarkStart w:id="536" w:name="_Toc233626141"/>
      <w:r w:rsidRPr="005C4637">
        <w:t>Quand comptabiliser la recette ?</w:t>
      </w:r>
      <w:bookmarkEnd w:id="533"/>
      <w:bookmarkEnd w:id="534"/>
      <w:bookmarkEnd w:id="535"/>
      <w:bookmarkEnd w:id="536"/>
    </w:p>
    <w:p w14:paraId="6E967253" w14:textId="77777777" w:rsidR="00130C96" w:rsidRPr="005C4637" w:rsidRDefault="00130C96" w:rsidP="00130C96">
      <w:r w:rsidRPr="005C4637">
        <w:t>La date de notification de la subvention détermine l’exercice d’inscription de la recette comptable.</w:t>
      </w:r>
    </w:p>
    <w:p w14:paraId="1CACC90C" w14:textId="77777777" w:rsidR="00130C96" w:rsidRPr="005C4637" w:rsidRDefault="00130C96" w:rsidP="00130C96">
      <w:pPr>
        <w:pStyle w:val="Titre3"/>
      </w:pPr>
      <w:bookmarkStart w:id="537" w:name="_Toc225504214"/>
      <w:bookmarkStart w:id="538" w:name="_Toc225772303"/>
      <w:bookmarkStart w:id="539" w:name="_Toc226445358"/>
      <w:bookmarkStart w:id="540" w:name="_Toc233626142"/>
      <w:r w:rsidRPr="005C4637">
        <w:t>À qui s’adresser en cas d’objet non identifié (SPW) ?</w:t>
      </w:r>
      <w:bookmarkEnd w:id="537"/>
      <w:bookmarkEnd w:id="538"/>
      <w:bookmarkEnd w:id="539"/>
      <w:bookmarkEnd w:id="540"/>
    </w:p>
    <w:p w14:paraId="2BA9A49B" w14:textId="77777777" w:rsidR="00130C96" w:rsidRPr="005C4637" w:rsidRDefault="00130C96" w:rsidP="00130C96">
      <w:r w:rsidRPr="005C4637">
        <w:t>Contacter info.paiement.finances@spw.wallonie.be (SPW Finances) pour obtenir les précisions utiles.</w:t>
      </w:r>
    </w:p>
    <w:p w14:paraId="261CA095" w14:textId="77777777" w:rsidR="00130C96" w:rsidRPr="000A00AE" w:rsidRDefault="00130C96" w:rsidP="00130C96">
      <w:pPr>
        <w:pStyle w:val="Titre2"/>
      </w:pPr>
      <w:bookmarkStart w:id="541" w:name="_Toc225504215"/>
      <w:bookmarkStart w:id="542" w:name="_Toc225772304"/>
      <w:bookmarkStart w:id="543" w:name="_Toc226445359"/>
      <w:bookmarkStart w:id="544" w:name="_Toc233626143"/>
      <w:r w:rsidRPr="000A00AE">
        <w:t>Plan de cohésion sociale (PCS)</w:t>
      </w:r>
      <w:bookmarkEnd w:id="541"/>
      <w:bookmarkEnd w:id="542"/>
      <w:bookmarkEnd w:id="543"/>
      <w:bookmarkEnd w:id="544"/>
    </w:p>
    <w:p w14:paraId="1B0AD9C1" w14:textId="77777777" w:rsidR="00130C96" w:rsidRPr="000A00AE" w:rsidRDefault="00130C96">
      <w:pPr>
        <w:pStyle w:val="Titre3"/>
        <w:numPr>
          <w:ilvl w:val="0"/>
          <w:numId w:val="213"/>
        </w:numPr>
      </w:pPr>
      <w:bookmarkStart w:id="545" w:name="_Toc225504217"/>
      <w:bookmarkStart w:id="546" w:name="_Toc225772306"/>
      <w:bookmarkStart w:id="547" w:name="_Toc226445361"/>
      <w:bookmarkStart w:id="548" w:name="_Toc233626144"/>
      <w:r w:rsidRPr="000A00AE">
        <w:t>Quelles orientations de la réforme ?</w:t>
      </w:r>
      <w:bookmarkEnd w:id="545"/>
      <w:bookmarkEnd w:id="546"/>
      <w:bookmarkEnd w:id="547"/>
      <w:bookmarkEnd w:id="548"/>
    </w:p>
    <w:p w14:paraId="0A508FDE" w14:textId="77777777" w:rsidR="00130C96" w:rsidRPr="000A00AE" w:rsidRDefault="00130C96" w:rsidP="00130C96">
      <w:r w:rsidRPr="000A00AE">
        <w:t>Conformément à la DPR 2024–2029 : simplification administrative, renforcement de la confiance envers les pouvoirs locaux, politiques sociales ambitieuses, humaines et durables.</w:t>
      </w:r>
    </w:p>
    <w:p w14:paraId="4FABE774" w14:textId="77777777" w:rsidR="00130C96" w:rsidRPr="000A00AE" w:rsidRDefault="00130C96" w:rsidP="00130C96">
      <w:pPr>
        <w:pStyle w:val="Titre3"/>
      </w:pPr>
      <w:bookmarkStart w:id="549" w:name="_Toc225504218"/>
      <w:bookmarkStart w:id="550" w:name="_Toc225772307"/>
      <w:bookmarkStart w:id="551" w:name="_Toc226445362"/>
      <w:bookmarkStart w:id="552" w:name="_Toc233626145"/>
      <w:r w:rsidRPr="000A00AE">
        <w:t>Quelle imputation pour les conventions art. 20 ?</w:t>
      </w:r>
      <w:bookmarkEnd w:id="549"/>
      <w:bookmarkEnd w:id="550"/>
      <w:bookmarkEnd w:id="551"/>
      <w:bookmarkEnd w:id="552"/>
    </w:p>
    <w:p w14:paraId="10DB22A3" w14:textId="77777777" w:rsidR="00130C96" w:rsidRPr="005C4637" w:rsidRDefault="00130C96" w:rsidP="00130C96">
      <w:r w:rsidRPr="000A00AE">
        <w:t>Inscrire recettes et dépenses sous 84011/xxx-xx.</w:t>
      </w:r>
    </w:p>
    <w:p w14:paraId="41CC845B" w14:textId="77777777" w:rsidR="00130C96" w:rsidRPr="005C4637" w:rsidRDefault="00130C96" w:rsidP="00130C96">
      <w:pPr>
        <w:pStyle w:val="Titre2"/>
      </w:pPr>
      <w:bookmarkStart w:id="553" w:name="_Toc225504219"/>
      <w:bookmarkStart w:id="554" w:name="_Toc225772308"/>
      <w:bookmarkStart w:id="555" w:name="_Toc226445363"/>
      <w:bookmarkStart w:id="556" w:name="_Toc233626146"/>
      <w:r w:rsidRPr="005C4637">
        <w:lastRenderedPageBreak/>
        <w:t>Crédit spécial de recettes préfigurant les dépenses non engagées de l’exercice (CSR)</w:t>
      </w:r>
      <w:bookmarkEnd w:id="553"/>
      <w:bookmarkEnd w:id="554"/>
      <w:bookmarkEnd w:id="555"/>
      <w:bookmarkEnd w:id="556"/>
    </w:p>
    <w:p w14:paraId="5DFE794A" w14:textId="77777777" w:rsidR="00130C96" w:rsidRPr="005C4637" w:rsidRDefault="00130C96">
      <w:pPr>
        <w:pStyle w:val="Titre3"/>
        <w:numPr>
          <w:ilvl w:val="0"/>
          <w:numId w:val="169"/>
        </w:numPr>
        <w:tabs>
          <w:tab w:val="num" w:pos="360"/>
        </w:tabs>
      </w:pPr>
      <w:bookmarkStart w:id="557" w:name="_Toc225504220"/>
      <w:bookmarkStart w:id="558" w:name="_Toc225772309"/>
      <w:bookmarkStart w:id="559" w:name="_Toc226445364"/>
      <w:bookmarkStart w:id="560" w:name="_Toc233626147"/>
      <w:r w:rsidRPr="005C4637">
        <w:t>De quoi s’agit</w:t>
      </w:r>
      <w:r w:rsidRPr="00524C15">
        <w:rPr>
          <w:rFonts w:ascii="Cambria Math" w:hAnsi="Cambria Math" w:cs="Cambria Math"/>
        </w:rPr>
        <w:t>‑</w:t>
      </w:r>
      <w:r w:rsidRPr="005C4637">
        <w:t>il ?</w:t>
      </w:r>
      <w:bookmarkEnd w:id="557"/>
      <w:bookmarkEnd w:id="558"/>
      <w:bookmarkEnd w:id="559"/>
      <w:bookmarkEnd w:id="560"/>
    </w:p>
    <w:p w14:paraId="067FEABF" w14:textId="77777777" w:rsidR="00130C96" w:rsidRPr="005C4637" w:rsidRDefault="00130C96" w:rsidP="00130C96">
      <w:r w:rsidRPr="005C4637">
        <w:t>Recette budgétaire spécifique destinée à préfigurer la non‑exécution d’une partie des crédits de l’exercice (admis pour communes et CPAS). Article obligatoire : 00010/106-01. Le CSR ne fait pas l’objet d’un droit constaté et s’annule automatiquement aux comptes.</w:t>
      </w:r>
    </w:p>
    <w:p w14:paraId="745D5336" w14:textId="77777777" w:rsidR="00130C96" w:rsidRPr="005C4637" w:rsidRDefault="00130C96" w:rsidP="00130C96">
      <w:pPr>
        <w:pStyle w:val="Titre3"/>
      </w:pPr>
      <w:bookmarkStart w:id="561" w:name="_Toc225504221"/>
      <w:bookmarkStart w:id="562" w:name="_Toc225772310"/>
      <w:bookmarkStart w:id="563" w:name="_Toc226445365"/>
      <w:bookmarkStart w:id="564" w:name="_Toc233626148"/>
      <w:r w:rsidRPr="005C4637">
        <w:t>Comment le calculer (choix figé pour l’année) ?</w:t>
      </w:r>
      <w:bookmarkEnd w:id="561"/>
      <w:bookmarkEnd w:id="562"/>
      <w:bookmarkEnd w:id="563"/>
      <w:bookmarkEnd w:id="564"/>
    </w:p>
    <w:p w14:paraId="522A6F4E" w14:textId="77777777" w:rsidR="00C16329" w:rsidRDefault="00130C96">
      <w:pPr>
        <w:pStyle w:val="Paragraphedeliste"/>
        <w:numPr>
          <w:ilvl w:val="0"/>
          <w:numId w:val="197"/>
        </w:numPr>
      </w:pPr>
      <w:r w:rsidRPr="005C4637">
        <w:t>Option A : 3 % des dépenses de personnel et de dette (service ordinaire) du budget concerné</w:t>
      </w:r>
      <w:r>
        <w:t> ;</w:t>
      </w:r>
    </w:p>
    <w:p w14:paraId="3B4E36CE" w14:textId="19D9C36A" w:rsidR="00130C96" w:rsidRPr="005C4637" w:rsidRDefault="00130C96">
      <w:pPr>
        <w:pStyle w:val="Paragraphedeliste"/>
        <w:numPr>
          <w:ilvl w:val="0"/>
          <w:numId w:val="197"/>
        </w:numPr>
      </w:pPr>
      <w:r w:rsidRPr="005C4637">
        <w:t>Option B : moyenne 5 ans de la différence entre les dépenses ordinaires budgétisées (exercice propre) du budget initial approuvé et le compte correspondant approuvé.</w:t>
      </w:r>
    </w:p>
    <w:p w14:paraId="42993DCD" w14:textId="77777777" w:rsidR="00130C96" w:rsidRPr="005C4637" w:rsidRDefault="00130C96" w:rsidP="00130C96">
      <w:pPr>
        <w:pStyle w:val="Titre3"/>
      </w:pPr>
      <w:bookmarkStart w:id="565" w:name="_Toc225504222"/>
      <w:bookmarkStart w:id="566" w:name="_Toc225772311"/>
      <w:bookmarkStart w:id="567" w:name="_Toc226445366"/>
      <w:bookmarkStart w:id="568" w:name="_Toc233626149"/>
      <w:r w:rsidRPr="005C4637">
        <w:t>Quelles limites d’utilisation ?</w:t>
      </w:r>
      <w:bookmarkEnd w:id="565"/>
      <w:bookmarkEnd w:id="566"/>
      <w:bookmarkEnd w:id="567"/>
      <w:bookmarkEnd w:id="568"/>
    </w:p>
    <w:p w14:paraId="692DABE0" w14:textId="77777777" w:rsidR="00A2567C" w:rsidRDefault="00130C96">
      <w:pPr>
        <w:pStyle w:val="Paragraphedeliste"/>
        <w:numPr>
          <w:ilvl w:val="0"/>
          <w:numId w:val="198"/>
        </w:numPr>
      </w:pPr>
      <w:r w:rsidRPr="005C4637">
        <w:t>Le CSR n’entre pas dans les projections pluriannuelles.</w:t>
      </w:r>
    </w:p>
    <w:p w14:paraId="78121B49" w14:textId="77777777" w:rsidR="00A2567C" w:rsidRDefault="00130C96">
      <w:pPr>
        <w:pStyle w:val="Paragraphedeliste"/>
        <w:numPr>
          <w:ilvl w:val="0"/>
          <w:numId w:val="198"/>
        </w:numPr>
      </w:pPr>
      <w:r w:rsidRPr="005C4637">
        <w:t>Il ne peut pas servir à constituer une provision ni un fonds de réserve (ces derniers ne sont possibles qu’en présence d’un boni hors CSR).</w:t>
      </w:r>
    </w:p>
    <w:p w14:paraId="5DF90001" w14:textId="031FDA9B" w:rsidR="00130C96" w:rsidRPr="005C4637" w:rsidRDefault="00130C96">
      <w:pPr>
        <w:pStyle w:val="Paragraphedeliste"/>
        <w:numPr>
          <w:ilvl w:val="0"/>
          <w:numId w:val="198"/>
        </w:numPr>
      </w:pPr>
      <w:r w:rsidRPr="005C4637">
        <w:t>Il ne doit pas entraver l’équilibre réel à l’exercice propre (il est toutefois pris en compte pour apprécier l’équilibre du service ordinaire).</w:t>
      </w:r>
    </w:p>
    <w:p w14:paraId="348211A9" w14:textId="77777777" w:rsidR="00130C96" w:rsidRPr="005C4637" w:rsidRDefault="00130C96" w:rsidP="00130C96">
      <w:pPr>
        <w:pStyle w:val="Titre3"/>
      </w:pPr>
      <w:bookmarkStart w:id="569" w:name="_Toc225504223"/>
      <w:bookmarkStart w:id="570" w:name="_Toc225772312"/>
      <w:bookmarkStart w:id="571" w:name="_Toc226445367"/>
      <w:bookmarkStart w:id="572" w:name="_Toc233626150"/>
      <w:r w:rsidRPr="005C4637">
        <w:t>Principe de dégressivité en modifications budgétaires (MB)</w:t>
      </w:r>
      <w:bookmarkEnd w:id="569"/>
      <w:bookmarkEnd w:id="570"/>
      <w:bookmarkEnd w:id="571"/>
      <w:bookmarkEnd w:id="572"/>
    </w:p>
    <w:p w14:paraId="282AA5B5" w14:textId="77777777" w:rsidR="00822B62" w:rsidRDefault="00130C96" w:rsidP="00130C96">
      <w:r w:rsidRPr="005C4637">
        <w:t xml:space="preserve">Le CSR doit être réduit proportionnellement au nombre de mois restants à la date d’adoption de la MB par le Conseil (le mois d’adoption non compris). </w:t>
      </w:r>
    </w:p>
    <w:p w14:paraId="578A1CB4" w14:textId="77777777" w:rsidR="00822B62" w:rsidRDefault="00130C96" w:rsidP="00130C96">
      <w:r w:rsidRPr="005C4637">
        <w:t>Exemple (montant initial : 60.000 €) :</w:t>
      </w:r>
    </w:p>
    <w:p w14:paraId="028F2299" w14:textId="77777777" w:rsidR="00822B62" w:rsidRDefault="00130C96">
      <w:pPr>
        <w:pStyle w:val="Paragraphedeliste"/>
        <w:numPr>
          <w:ilvl w:val="0"/>
          <w:numId w:val="199"/>
        </w:numPr>
      </w:pPr>
      <w:r w:rsidRPr="005C4637">
        <w:t>MB1 adoptée le 15/05/202</w:t>
      </w:r>
      <w:r>
        <w:t>7</w:t>
      </w:r>
      <w:r w:rsidRPr="005C4637">
        <w:t xml:space="preserve"> → 7/12 → 35.000 € ;</w:t>
      </w:r>
    </w:p>
    <w:p w14:paraId="12EF7A3B" w14:textId="3FFAB748" w:rsidR="00130C96" w:rsidRPr="005C4637" w:rsidRDefault="00130C96">
      <w:pPr>
        <w:pStyle w:val="Paragraphedeliste"/>
        <w:numPr>
          <w:ilvl w:val="0"/>
          <w:numId w:val="199"/>
        </w:numPr>
      </w:pPr>
      <w:r w:rsidRPr="005C4637">
        <w:t>MB2 adoptée le 15/10/202</w:t>
      </w:r>
      <w:r>
        <w:t>7</w:t>
      </w:r>
      <w:r w:rsidRPr="005C4637">
        <w:t xml:space="preserve"> → 2/12 → 10.000 €.</w:t>
      </w:r>
    </w:p>
    <w:p w14:paraId="0830DC04" w14:textId="77777777" w:rsidR="00130C96" w:rsidRPr="005C4637" w:rsidRDefault="00130C96" w:rsidP="00130C96">
      <w:pPr>
        <w:pStyle w:val="Titre1"/>
      </w:pPr>
      <w:bookmarkStart w:id="573" w:name="_Toc225504224"/>
      <w:bookmarkStart w:id="574" w:name="_Toc225772313"/>
      <w:bookmarkStart w:id="575" w:name="_Toc226445368"/>
      <w:bookmarkStart w:id="576" w:name="_Toc233626151"/>
      <w:r w:rsidRPr="005C4637">
        <w:t>Service ordinaire : dépenses</w:t>
      </w:r>
      <w:bookmarkEnd w:id="573"/>
      <w:bookmarkEnd w:id="574"/>
      <w:bookmarkEnd w:id="575"/>
      <w:bookmarkEnd w:id="576"/>
      <w:r w:rsidRPr="005C4637">
        <w:t xml:space="preserve"> </w:t>
      </w:r>
    </w:p>
    <w:p w14:paraId="557529DE" w14:textId="77777777" w:rsidR="00130C96" w:rsidRPr="005C4637" w:rsidRDefault="00130C96" w:rsidP="00130C96">
      <w:pPr>
        <w:pStyle w:val="Titre4"/>
        <w:ind w:left="720"/>
      </w:pPr>
      <w:r w:rsidRPr="005C4637">
        <w:t>Comment estimer une dépense quand le montant n’est pas encore connu ?</w:t>
      </w:r>
    </w:p>
    <w:p w14:paraId="0AD40E21" w14:textId="77777777" w:rsidR="00130C96" w:rsidRPr="003144B1" w:rsidRDefault="00130C96" w:rsidP="00130C96">
      <w:r w:rsidRPr="003144B1">
        <w:t xml:space="preserve">Appliquer un taux de progression en pourcentage calculé sur la moyenne des 5 dernières années. </w:t>
      </w:r>
    </w:p>
    <w:p w14:paraId="042ED1B9" w14:textId="77777777" w:rsidR="00130C96" w:rsidRPr="005C4637" w:rsidRDefault="00130C96">
      <w:pPr>
        <w:pStyle w:val="Titre2"/>
        <w:numPr>
          <w:ilvl w:val="0"/>
          <w:numId w:val="155"/>
        </w:numPr>
        <w:tabs>
          <w:tab w:val="num" w:pos="360"/>
        </w:tabs>
      </w:pPr>
      <w:bookmarkStart w:id="577" w:name="_Toc225504225"/>
      <w:bookmarkStart w:id="578" w:name="_Toc225772314"/>
      <w:bookmarkStart w:id="579" w:name="_Toc226445369"/>
      <w:bookmarkStart w:id="580" w:name="_Toc233626152"/>
      <w:r w:rsidRPr="005C4637">
        <w:t>Dépenses de personnel</w:t>
      </w:r>
      <w:bookmarkEnd w:id="577"/>
      <w:bookmarkEnd w:id="578"/>
      <w:bookmarkEnd w:id="579"/>
      <w:bookmarkEnd w:id="580"/>
    </w:p>
    <w:p w14:paraId="13304F7F" w14:textId="77777777" w:rsidR="00130C96" w:rsidRPr="005C4637" w:rsidRDefault="00130C96">
      <w:pPr>
        <w:pStyle w:val="Titre3"/>
        <w:numPr>
          <w:ilvl w:val="0"/>
          <w:numId w:val="200"/>
        </w:numPr>
        <w:tabs>
          <w:tab w:val="num" w:pos="360"/>
        </w:tabs>
      </w:pPr>
      <w:bookmarkStart w:id="581" w:name="_Toc233626153"/>
      <w:r w:rsidRPr="005C4637">
        <w:t>Quels paramètres budgétaires intégrer ?</w:t>
      </w:r>
      <w:bookmarkEnd w:id="581"/>
    </w:p>
    <w:p w14:paraId="3F6671D6" w14:textId="77777777" w:rsidR="00130C96" w:rsidRPr="003144B1" w:rsidRDefault="00130C96" w:rsidP="00130C96">
      <w:r w:rsidRPr="003144B1">
        <w:t>Tenir compte : de l’effectif prévisible, des évolutions de carrière, des départs (retraite, démissions), des engagements, des effets de la loi du 24/12/1999 (promotion de l’emploi) et du plan d’embauche.</w:t>
      </w:r>
    </w:p>
    <w:p w14:paraId="5829E925" w14:textId="77777777" w:rsidR="00130C96" w:rsidRPr="005C4637" w:rsidRDefault="00130C96">
      <w:pPr>
        <w:pStyle w:val="Titre3"/>
        <w:numPr>
          <w:ilvl w:val="0"/>
          <w:numId w:val="200"/>
        </w:numPr>
        <w:tabs>
          <w:tab w:val="num" w:pos="360"/>
        </w:tabs>
      </w:pPr>
      <w:bookmarkStart w:id="582" w:name="_Toc233626154"/>
      <w:r w:rsidRPr="005C4637">
        <w:lastRenderedPageBreak/>
        <w:t>Comment traiter l’indexation des rémunérations ?</w:t>
      </w:r>
      <w:bookmarkEnd w:id="582"/>
    </w:p>
    <w:p w14:paraId="5AE21871" w14:textId="77777777" w:rsidR="00130C96" w:rsidRPr="003144B1" w:rsidRDefault="00130C96" w:rsidP="00130C96">
      <w:r w:rsidRPr="003144B1">
        <w:t>Se référer mensuellement (1er mardi) aux prévisions du Bureau fédéral du Plan sur le dépassement de l’indice pivot (allocations sociales et salaires secteur public) et adapter les crédits en conséquence.</w:t>
      </w:r>
    </w:p>
    <w:p w14:paraId="2ED08563" w14:textId="77777777" w:rsidR="00130C96" w:rsidRPr="005C4637" w:rsidRDefault="00130C96">
      <w:pPr>
        <w:pStyle w:val="Titre3"/>
        <w:numPr>
          <w:ilvl w:val="0"/>
          <w:numId w:val="200"/>
        </w:numPr>
        <w:tabs>
          <w:tab w:val="num" w:pos="360"/>
        </w:tabs>
      </w:pPr>
      <w:bookmarkStart w:id="583" w:name="_Toc233626155"/>
      <w:r w:rsidRPr="005C4637">
        <w:t>Quel contenu pour le tableau du personnel (</w:t>
      </w:r>
      <w:r>
        <w:t>pièce justificative au budget</w:t>
      </w:r>
      <w:r w:rsidRPr="005C4637">
        <w:t>) ?</w:t>
      </w:r>
      <w:bookmarkEnd w:id="583"/>
    </w:p>
    <w:p w14:paraId="1099F4BE" w14:textId="77777777" w:rsidR="00130C96" w:rsidRPr="003144B1" w:rsidRDefault="00130C96" w:rsidP="00130C96">
      <w:r w:rsidRPr="003144B1">
        <w:t>Joindre un tableau détaillant le nombre d’agents et les rémunérations. Le RGPD n’empêche pas la transmission d’une liste par poste (et non par nom) reprenant : grades, anciennetés, statuts (statutaires/contractuels) et barèmes.</w:t>
      </w:r>
    </w:p>
    <w:p w14:paraId="7D4EE553" w14:textId="77777777" w:rsidR="00130C96" w:rsidRPr="005C4637" w:rsidRDefault="00130C96">
      <w:pPr>
        <w:pStyle w:val="Titre3"/>
        <w:numPr>
          <w:ilvl w:val="0"/>
          <w:numId w:val="200"/>
        </w:numPr>
        <w:tabs>
          <w:tab w:val="num" w:pos="360"/>
        </w:tabs>
      </w:pPr>
      <w:bookmarkStart w:id="584" w:name="_Toc233626156"/>
      <w:r w:rsidRPr="005C4637">
        <w:t>Quel plan de mouvement du personnel et d’embauche (≥ 2 ans) ?</w:t>
      </w:r>
      <w:bookmarkEnd w:id="584"/>
    </w:p>
    <w:p w14:paraId="56C0AC38" w14:textId="77777777" w:rsidR="00130C96" w:rsidRPr="003144B1" w:rsidRDefault="00130C96" w:rsidP="00130C96">
      <w:r w:rsidRPr="003144B1">
        <w:t>Établir, à chaque budget initial, un plan pluriannuel (≥ 2 ans) des mouvements (recrutements, remplacements, retraites, promotions, évolutions de carrière, nominations) avec prévisions chiffrées et impact financier - Modèle disponible sur le Portail des Pouvoirs locaux.</w:t>
      </w:r>
    </w:p>
    <w:p w14:paraId="389BBEFB" w14:textId="77777777" w:rsidR="00130C96" w:rsidRPr="005C4637" w:rsidRDefault="00130C96">
      <w:pPr>
        <w:pStyle w:val="Titre3"/>
        <w:numPr>
          <w:ilvl w:val="0"/>
          <w:numId w:val="200"/>
        </w:numPr>
        <w:tabs>
          <w:tab w:val="num" w:pos="360"/>
        </w:tabs>
      </w:pPr>
      <w:bookmarkStart w:id="585" w:name="_Toc233626157"/>
      <w:r w:rsidRPr="005C4637">
        <w:t>Faut</w:t>
      </w:r>
      <w:r w:rsidRPr="005C4637">
        <w:noBreakHyphen/>
        <w:t>il prévoir un plan de formation ?</w:t>
      </w:r>
      <w:bookmarkEnd w:id="585"/>
    </w:p>
    <w:p w14:paraId="49FA6678" w14:textId="77777777" w:rsidR="00130C96" w:rsidRPr="005C4637" w:rsidRDefault="00130C96" w:rsidP="00130C96">
      <w:pPr>
        <w:rPr>
          <w:rFonts w:ascii="Cambria" w:eastAsia="MS Mincho" w:hAnsi="Cambria" w:cs="Times New Roman"/>
        </w:rPr>
      </w:pPr>
      <w:r w:rsidRPr="005C4637">
        <w:rPr>
          <w:rFonts w:ascii="Cambria" w:eastAsia="MS Mincho" w:hAnsi="Cambria" w:cs="Times New Roman"/>
        </w:rPr>
        <w:t>Oui. Sur la base d’un plan de formation, prévoir les crédits permettant de maintenir la carrière et le niveau de compétence du personnel.</w:t>
      </w:r>
    </w:p>
    <w:p w14:paraId="2639E7C8" w14:textId="77777777" w:rsidR="00130C96" w:rsidRPr="005C4637" w:rsidRDefault="00130C96">
      <w:pPr>
        <w:pStyle w:val="Titre3"/>
        <w:numPr>
          <w:ilvl w:val="0"/>
          <w:numId w:val="200"/>
        </w:numPr>
        <w:tabs>
          <w:tab w:val="num" w:pos="360"/>
        </w:tabs>
      </w:pPr>
      <w:bookmarkStart w:id="586" w:name="_Toc233626158"/>
      <w:r w:rsidRPr="005C4637">
        <w:t>Quelles attentes en pilotage RH et justification des engagements ?</w:t>
      </w:r>
      <w:bookmarkEnd w:id="586"/>
    </w:p>
    <w:p w14:paraId="167DA37F" w14:textId="77777777" w:rsidR="00130C96" w:rsidRPr="005C4637" w:rsidRDefault="00130C96" w:rsidP="00130C96">
      <w:pPr>
        <w:rPr>
          <w:rFonts w:ascii="Cambria" w:eastAsia="MS Mincho" w:hAnsi="Cambria" w:cs="Times New Roman"/>
        </w:rPr>
      </w:pPr>
      <w:r w:rsidRPr="005C4637">
        <w:rPr>
          <w:rFonts w:ascii="Cambria" w:eastAsia="MS Mincho" w:hAnsi="Cambria" w:cs="Times New Roman"/>
        </w:rPr>
        <w:t>Formaliser un plan GRH synthétique et lisible. Dans un contexte budgétaire contraint, chaque recrutement doit être motivé par un besoin réel et s’inscrire dans une logique d’efficience et de soutenabilité (continuité, qualité et modernisation du service).</w:t>
      </w:r>
    </w:p>
    <w:p w14:paraId="6CF60FAF" w14:textId="77777777" w:rsidR="00130C96" w:rsidRPr="005C4637" w:rsidRDefault="00130C96">
      <w:pPr>
        <w:pStyle w:val="Titre3"/>
        <w:numPr>
          <w:ilvl w:val="0"/>
          <w:numId w:val="200"/>
        </w:numPr>
        <w:tabs>
          <w:tab w:val="num" w:pos="360"/>
        </w:tabs>
      </w:pPr>
      <w:bookmarkStart w:id="587" w:name="_Toc233626159"/>
      <w:r w:rsidRPr="005C4637">
        <w:t>Comment budgéter la cotisation de solidarité (pensions statutaires) en 202</w:t>
      </w:r>
      <w:r>
        <w:t>7</w:t>
      </w:r>
      <w:r w:rsidRPr="005C4637">
        <w:t xml:space="preserve"> ?</w:t>
      </w:r>
      <w:bookmarkEnd w:id="587"/>
    </w:p>
    <w:p w14:paraId="36C49088" w14:textId="77777777" w:rsidR="00130C96" w:rsidRPr="005C4637" w:rsidRDefault="00130C96" w:rsidP="00130C96">
      <w:pPr>
        <w:rPr>
          <w:rFonts w:ascii="Cambria" w:eastAsia="MS Mincho" w:hAnsi="Cambria" w:cs="Times New Roman"/>
        </w:rPr>
      </w:pPr>
      <w:r w:rsidRPr="66F5B241">
        <w:rPr>
          <w:rFonts w:ascii="Cambria" w:eastAsia="MS Mincho" w:hAnsi="Cambria" w:cs="Times New Roman"/>
        </w:rPr>
        <w:t xml:space="preserve">Appliquer le taux 2027 : 45 % ; imputer la dépense à l’exercice propre du service ordinaire (financement du Fonds de pension solidarisé du SFP, calculé sur les salaires des agents nommés pris en compte pour la pension du secteur public). </w:t>
      </w:r>
    </w:p>
    <w:p w14:paraId="2DE970DF" w14:textId="77777777" w:rsidR="00130C96" w:rsidRPr="005C4637" w:rsidRDefault="00130C96">
      <w:pPr>
        <w:pStyle w:val="Titre3"/>
        <w:numPr>
          <w:ilvl w:val="0"/>
          <w:numId w:val="200"/>
        </w:numPr>
        <w:tabs>
          <w:tab w:val="num" w:pos="360"/>
        </w:tabs>
      </w:pPr>
      <w:bookmarkStart w:id="588" w:name="_Toc233626160"/>
      <w:r w:rsidRPr="005C4637">
        <w:t>Et la cotisation de responsabilisation ONSS (millésime 202</w:t>
      </w:r>
      <w:r>
        <w:t>6</w:t>
      </w:r>
      <w:r w:rsidRPr="005C4637">
        <w:t>) ?</w:t>
      </w:r>
      <w:bookmarkEnd w:id="588"/>
    </w:p>
    <w:p w14:paraId="6F9BEF14" w14:textId="77777777" w:rsidR="00130C96" w:rsidRPr="005C4637" w:rsidRDefault="00130C96" w:rsidP="00130C96">
      <w:pPr>
        <w:rPr>
          <w:rFonts w:ascii="Cambria" w:eastAsia="MS Mincho" w:hAnsi="Cambria" w:cs="Times New Roman"/>
        </w:rPr>
      </w:pPr>
      <w:r w:rsidRPr="62298347">
        <w:rPr>
          <w:rFonts w:ascii="Cambria" w:eastAsia="MS Mincho" w:hAnsi="Cambria" w:cs="Times New Roman"/>
        </w:rPr>
        <w:t>(Sauf pour les communes qui financent leur cotisation de responsabilisation par un emprunt CRAC),</w:t>
      </w:r>
      <w:r w:rsidRPr="005C4637">
        <w:rPr>
          <w:rFonts w:ascii="Cambria" w:eastAsia="MS Mincho" w:hAnsi="Cambria" w:cs="Times New Roman"/>
        </w:rPr>
        <w:t xml:space="preserve"> l’inscrire aux exercices antérieurs du service ordinaire, sur base des prévisions ONSS. Article recommandé : 13110/</w:t>
      </w:r>
      <w:r w:rsidRPr="62298347">
        <w:rPr>
          <w:rFonts w:ascii="Cambria" w:eastAsia="MS Mincho" w:hAnsi="Cambria" w:cs="Times New Roman"/>
        </w:rPr>
        <w:t>11321.</w:t>
      </w:r>
      <w:r w:rsidRPr="005C4637">
        <w:rPr>
          <w:rFonts w:ascii="Cambria" w:eastAsia="MS Mincho" w:hAnsi="Cambria" w:cs="Times New Roman"/>
        </w:rPr>
        <w:t xml:space="preserve"> Si la commune octroie une dotation exceptionnelle au CPAS pour cette facture, utiliser 831XX/</w:t>
      </w:r>
      <w:r w:rsidRPr="62298347">
        <w:rPr>
          <w:rFonts w:ascii="Cambria" w:eastAsia="MS Mincho" w:hAnsi="Cambria" w:cs="Times New Roman"/>
        </w:rPr>
        <w:t>43501.</w:t>
      </w:r>
    </w:p>
    <w:p w14:paraId="4C2FCAD3" w14:textId="77777777" w:rsidR="00130C96" w:rsidRPr="005C4637" w:rsidRDefault="00130C96">
      <w:pPr>
        <w:pStyle w:val="Titre3"/>
        <w:numPr>
          <w:ilvl w:val="0"/>
          <w:numId w:val="200"/>
        </w:numPr>
        <w:tabs>
          <w:tab w:val="num" w:pos="360"/>
        </w:tabs>
      </w:pPr>
      <w:bookmarkStart w:id="589" w:name="_Toc233626161"/>
      <w:r>
        <w:t>Cas des communes finançant la cotisation de responsabilisation via un emprunt CRAC rapatrié à l’exercice propre ?</w:t>
      </w:r>
      <w:bookmarkEnd w:id="589"/>
    </w:p>
    <w:p w14:paraId="6084E488" w14:textId="77777777" w:rsidR="00130C96" w:rsidRPr="00D63502" w:rsidRDefault="00130C96" w:rsidP="00130C96">
      <w:r w:rsidRPr="00D63502">
        <w:t xml:space="preserve">Dans ce cas, interdiction d’inscrire en </w:t>
      </w:r>
      <w:r w:rsidRPr="003144B1">
        <w:t>exercices</w:t>
      </w:r>
      <w:r w:rsidRPr="00D63502">
        <w:t xml:space="preserve"> antérieurs : la dépense doit être imputée à l’exercice propre pour éviter de biaiser le résultat propre. La recette (emprunt) doit être inscrite sur le même exercice que la dépense.</w:t>
      </w:r>
    </w:p>
    <w:p w14:paraId="6540141D" w14:textId="77777777" w:rsidR="00130C96" w:rsidRPr="005C4637" w:rsidRDefault="00130C96">
      <w:pPr>
        <w:pStyle w:val="Titre3"/>
        <w:numPr>
          <w:ilvl w:val="0"/>
          <w:numId w:val="200"/>
        </w:numPr>
        <w:tabs>
          <w:tab w:val="num" w:pos="360"/>
        </w:tabs>
      </w:pPr>
      <w:bookmarkStart w:id="590" w:name="_Toc233626162"/>
      <w:r w:rsidRPr="005C4637">
        <w:t>Second pilier de pension : quels régimes et quel incitant fédéral ?</w:t>
      </w:r>
      <w:bookmarkEnd w:id="590"/>
    </w:p>
    <w:p w14:paraId="66508D26" w14:textId="669BB23B" w:rsidR="00130C96" w:rsidRPr="005C4637" w:rsidRDefault="00130C96" w:rsidP="00130C96">
      <w:pPr>
        <w:rPr>
          <w:rFonts w:ascii="Cambria" w:eastAsia="MS Mincho" w:hAnsi="Cambria" w:cs="Times New Roman"/>
        </w:rPr>
      </w:pPr>
      <w:r w:rsidRPr="005C4637">
        <w:rPr>
          <w:rFonts w:ascii="Cambria" w:eastAsia="MS Mincho" w:hAnsi="Cambria" w:cs="Times New Roman"/>
        </w:rPr>
        <w:t>Régimes : prestations définies, contributions définies, cash balance. Les contributions/prestations doivent rester proportionnées au salaire. À la suite de la réforme du 25/04/2024 (incitant réduit à 10 %</w:t>
      </w:r>
      <w:r w:rsidR="003E2B5F" w:rsidRPr="005C4637">
        <w:rPr>
          <w:rFonts w:ascii="Cambria" w:eastAsia="MS Mincho" w:hAnsi="Cambria" w:cs="Times New Roman"/>
        </w:rPr>
        <w:t>), la</w:t>
      </w:r>
      <w:r w:rsidRPr="7A0B198B">
        <w:rPr>
          <w:rFonts w:ascii="Cambria" w:eastAsia="MS Mincho" w:hAnsi="Cambria" w:cs="Times New Roman"/>
        </w:rPr>
        <w:t xml:space="preserve"> loi du 18 décembre 2025 </w:t>
      </w:r>
      <w:r w:rsidRPr="005C4637">
        <w:rPr>
          <w:rFonts w:ascii="Cambria" w:eastAsia="MS Mincho" w:hAnsi="Cambria" w:cs="Times New Roman"/>
        </w:rPr>
        <w:t xml:space="preserve">porte l’incitant à 30 % </w:t>
      </w:r>
      <w:r w:rsidRPr="005C4637">
        <w:rPr>
          <w:rFonts w:ascii="Cambria" w:eastAsia="MS Mincho" w:hAnsi="Cambria" w:cs="Times New Roman"/>
        </w:rPr>
        <w:lastRenderedPageBreak/>
        <w:t>du coût de constitution. Parallèlement, le Fédéral vise l’équilibre 2025</w:t>
      </w:r>
      <w:r w:rsidRPr="7A0B198B">
        <w:rPr>
          <w:rFonts w:ascii="Cambria" w:eastAsia="MS Mincho" w:hAnsi="Cambria" w:cs="Times New Roman"/>
        </w:rPr>
        <w:t>-</w:t>
      </w:r>
      <w:r w:rsidRPr="005C4637">
        <w:rPr>
          <w:rFonts w:ascii="Cambria" w:eastAsia="MS Mincho" w:hAnsi="Cambria" w:cs="Times New Roman"/>
        </w:rPr>
        <w:t>2028 du Fonds de pension solidarisé.</w:t>
      </w:r>
    </w:p>
    <w:p w14:paraId="3B43EB3B" w14:textId="77777777" w:rsidR="00130C96" w:rsidRPr="005C4637" w:rsidRDefault="00130C96">
      <w:pPr>
        <w:pStyle w:val="Titre3"/>
        <w:numPr>
          <w:ilvl w:val="0"/>
          <w:numId w:val="200"/>
        </w:numPr>
        <w:tabs>
          <w:tab w:val="num" w:pos="360"/>
        </w:tabs>
      </w:pPr>
      <w:bookmarkStart w:id="591" w:name="_Toc233626163"/>
      <w:r w:rsidRPr="005C4637">
        <w:t>Quels sont les critères de taille minimum pour avoir accès à l’incitant à la mise en place d’un second pilier pour les agents contractuels ?</w:t>
      </w:r>
      <w:bookmarkEnd w:id="591"/>
    </w:p>
    <w:tbl>
      <w:tblPr>
        <w:tblW w:w="9062" w:type="dxa"/>
        <w:tblCellMar>
          <w:left w:w="0" w:type="dxa"/>
          <w:right w:w="0" w:type="dxa"/>
        </w:tblCellMar>
        <w:tblLook w:val="04A0" w:firstRow="1" w:lastRow="0" w:firstColumn="1" w:lastColumn="0" w:noHBand="0" w:noVBand="1"/>
      </w:tblPr>
      <w:tblGrid>
        <w:gridCol w:w="2274"/>
        <w:gridCol w:w="3245"/>
        <w:gridCol w:w="3543"/>
      </w:tblGrid>
      <w:tr w:rsidR="00130C96" w:rsidRPr="005C4637" w14:paraId="7B777F6F" w14:textId="77777777" w:rsidTr="005560EF">
        <w:tc>
          <w:tcPr>
            <w:tcW w:w="2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A41D03" w14:textId="77777777" w:rsidR="00130C96" w:rsidRPr="005C4637" w:rsidRDefault="00130C96" w:rsidP="005560EF">
            <w:pPr>
              <w:spacing w:before="120"/>
              <w:rPr>
                <w:rFonts w:eastAsiaTheme="minorHAnsi"/>
              </w:rPr>
            </w:pPr>
          </w:p>
        </w:tc>
        <w:tc>
          <w:tcPr>
            <w:tcW w:w="3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F9C91E" w14:textId="77777777" w:rsidR="00130C96" w:rsidRPr="005C4637" w:rsidRDefault="00130C96" w:rsidP="005560EF">
            <w:pPr>
              <w:spacing w:before="120"/>
              <w:rPr>
                <w:rFonts w:eastAsiaTheme="minorHAnsi"/>
              </w:rPr>
            </w:pPr>
            <w:r w:rsidRPr="005C4637">
              <w:rPr>
                <w:rFonts w:eastAsiaTheme="minorHAnsi"/>
              </w:rPr>
              <w:t>A partir de 2020</w:t>
            </w:r>
          </w:p>
        </w:tc>
        <w:tc>
          <w:tcPr>
            <w:tcW w:w="35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A5533F" w14:textId="77777777" w:rsidR="00130C96" w:rsidRPr="005C4637" w:rsidRDefault="00130C96" w:rsidP="005560EF">
            <w:pPr>
              <w:spacing w:before="120"/>
              <w:rPr>
                <w:rFonts w:eastAsiaTheme="minorHAnsi"/>
              </w:rPr>
            </w:pPr>
            <w:r w:rsidRPr="005C4637">
              <w:rPr>
                <w:rFonts w:eastAsiaTheme="minorHAnsi"/>
              </w:rPr>
              <w:t>A partir de 2021</w:t>
            </w:r>
          </w:p>
        </w:tc>
      </w:tr>
      <w:tr w:rsidR="00130C96" w:rsidRPr="005C4637" w14:paraId="2B1A5BF8" w14:textId="77777777" w:rsidTr="005560EF">
        <w:tc>
          <w:tcPr>
            <w:tcW w:w="2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60C694" w14:textId="77777777" w:rsidR="00130C96" w:rsidRPr="005C4637" w:rsidRDefault="00130C96" w:rsidP="005560EF">
            <w:pPr>
              <w:spacing w:before="120"/>
              <w:rPr>
                <w:rFonts w:eastAsiaTheme="minorHAnsi"/>
              </w:rPr>
            </w:pPr>
            <w:r w:rsidRPr="005C4637">
              <w:rPr>
                <w:rFonts w:eastAsiaTheme="minorHAnsi"/>
              </w:rPr>
              <w:t>Plan à prestations définies</w:t>
            </w:r>
          </w:p>
        </w:tc>
        <w:tc>
          <w:tcPr>
            <w:tcW w:w="3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AEDBFB" w14:textId="77777777" w:rsidR="00130C96" w:rsidRPr="005C4637" w:rsidRDefault="00130C96" w:rsidP="005560EF">
            <w:pPr>
              <w:spacing w:before="120"/>
              <w:rPr>
                <w:rFonts w:eastAsiaTheme="minorHAnsi"/>
              </w:rPr>
            </w:pPr>
            <w:r w:rsidRPr="005C4637">
              <w:rPr>
                <w:rFonts w:eastAsiaTheme="minorHAnsi"/>
              </w:rPr>
              <w:t xml:space="preserve">Contribution ≥ </w:t>
            </w:r>
            <w:r>
              <w:rPr>
                <w:rFonts w:eastAsiaTheme="minorHAnsi"/>
              </w:rPr>
              <w:t>4</w:t>
            </w:r>
            <w:r w:rsidRPr="005C4637">
              <w:rPr>
                <w:rFonts w:eastAsiaTheme="minorHAnsi"/>
              </w:rPr>
              <w:t xml:space="preserve"> % de la rémunération soumise à l’ONSS</w:t>
            </w: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9F935" w14:textId="77777777" w:rsidR="00130C96" w:rsidRPr="005C4637" w:rsidRDefault="00130C96" w:rsidP="005560EF">
            <w:pPr>
              <w:spacing w:before="120"/>
              <w:rPr>
                <w:rFonts w:eastAsiaTheme="minorHAnsi"/>
              </w:rPr>
            </w:pPr>
            <w:r w:rsidRPr="005C4637">
              <w:rPr>
                <w:rFonts w:eastAsiaTheme="minorHAnsi"/>
              </w:rPr>
              <w:t xml:space="preserve">Contribution ≥ </w:t>
            </w:r>
            <w:r>
              <w:rPr>
                <w:rFonts w:eastAsiaTheme="minorHAnsi"/>
              </w:rPr>
              <w:t>6</w:t>
            </w:r>
            <w:r w:rsidRPr="005C4637">
              <w:rPr>
                <w:rFonts w:eastAsiaTheme="minorHAnsi"/>
              </w:rPr>
              <w:t xml:space="preserve"> % de la rémunération soumise à l’ONSS</w:t>
            </w:r>
          </w:p>
        </w:tc>
      </w:tr>
      <w:tr w:rsidR="00130C96" w:rsidRPr="005C4637" w14:paraId="51453F8F" w14:textId="77777777" w:rsidTr="005560EF">
        <w:tc>
          <w:tcPr>
            <w:tcW w:w="2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46FA48" w14:textId="77777777" w:rsidR="00130C96" w:rsidRPr="005C4637" w:rsidRDefault="00130C96" w:rsidP="005560EF">
            <w:pPr>
              <w:spacing w:before="120"/>
              <w:rPr>
                <w:rFonts w:eastAsiaTheme="minorHAnsi"/>
              </w:rPr>
            </w:pPr>
            <w:r w:rsidRPr="005C4637">
              <w:rPr>
                <w:rFonts w:eastAsiaTheme="minorHAnsi"/>
              </w:rPr>
              <w:t>Plan à contributions définies</w:t>
            </w:r>
          </w:p>
        </w:tc>
        <w:tc>
          <w:tcPr>
            <w:tcW w:w="3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C770C" w14:textId="77777777" w:rsidR="00130C96" w:rsidRPr="005C4637" w:rsidRDefault="00130C96" w:rsidP="005560EF">
            <w:pPr>
              <w:spacing w:before="120"/>
              <w:rPr>
                <w:rFonts w:eastAsiaTheme="minorHAnsi"/>
              </w:rPr>
            </w:pPr>
            <w:r w:rsidRPr="005C4637">
              <w:rPr>
                <w:rFonts w:eastAsiaTheme="minorHAnsi"/>
              </w:rPr>
              <w:t xml:space="preserve">Prestation exprimée en rente) ≥ </w:t>
            </w:r>
            <w:r>
              <w:rPr>
                <w:rFonts w:eastAsiaTheme="minorHAnsi"/>
              </w:rPr>
              <w:t>2</w:t>
            </w:r>
            <w:r w:rsidRPr="005C4637">
              <w:rPr>
                <w:rFonts w:eastAsiaTheme="minorHAnsi"/>
              </w:rPr>
              <w:t xml:space="preserve"> % de la rémunération soumise à l’ONSS</w:t>
            </w: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6FC77F" w14:textId="77777777" w:rsidR="00130C96" w:rsidRPr="005C4637" w:rsidRDefault="00130C96" w:rsidP="005560EF">
            <w:pPr>
              <w:spacing w:before="120"/>
              <w:rPr>
                <w:rFonts w:eastAsiaTheme="minorHAnsi"/>
              </w:rPr>
            </w:pPr>
            <w:r w:rsidRPr="005C4637">
              <w:rPr>
                <w:rFonts w:eastAsiaTheme="minorHAnsi"/>
              </w:rPr>
              <w:t xml:space="preserve">Prestation (exprimée en rente) ≥ </w:t>
            </w:r>
            <w:r>
              <w:rPr>
                <w:rFonts w:eastAsiaTheme="minorHAnsi"/>
              </w:rPr>
              <w:t>3</w:t>
            </w:r>
            <w:r w:rsidRPr="005C4637">
              <w:rPr>
                <w:rFonts w:eastAsiaTheme="minorHAnsi"/>
              </w:rPr>
              <w:t xml:space="preserve"> % de la rémunération soumise à l’ONSS</w:t>
            </w:r>
          </w:p>
        </w:tc>
      </w:tr>
      <w:tr w:rsidR="00130C96" w:rsidRPr="005C4637" w14:paraId="4A439096" w14:textId="77777777" w:rsidTr="005560EF">
        <w:tc>
          <w:tcPr>
            <w:tcW w:w="2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A4247E" w14:textId="77777777" w:rsidR="00130C96" w:rsidRPr="005C4637" w:rsidRDefault="00130C96" w:rsidP="005560EF">
            <w:pPr>
              <w:spacing w:before="120"/>
              <w:rPr>
                <w:rFonts w:eastAsiaTheme="minorHAnsi"/>
              </w:rPr>
            </w:pPr>
            <w:r w:rsidRPr="005C4637">
              <w:rPr>
                <w:rFonts w:eastAsiaTheme="minorHAnsi"/>
              </w:rPr>
              <w:t>« Cash balance »</w:t>
            </w:r>
          </w:p>
        </w:tc>
        <w:tc>
          <w:tcPr>
            <w:tcW w:w="3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8E3EA" w14:textId="77777777" w:rsidR="00130C96" w:rsidRPr="005C4637" w:rsidRDefault="00130C96" w:rsidP="005560EF">
            <w:pPr>
              <w:spacing w:before="120"/>
              <w:rPr>
                <w:rFonts w:eastAsiaTheme="minorHAnsi"/>
              </w:rPr>
            </w:pPr>
            <w:r w:rsidRPr="005C4637">
              <w:rPr>
                <w:rFonts w:eastAsiaTheme="minorHAnsi"/>
              </w:rPr>
              <w:t>Contributions allouées ≥ 2 % de la rémunération soumise à l’ONSS</w:t>
            </w: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EC88A8" w14:textId="77777777" w:rsidR="00130C96" w:rsidRPr="005C4637" w:rsidRDefault="00130C96" w:rsidP="005560EF">
            <w:pPr>
              <w:spacing w:before="120"/>
              <w:rPr>
                <w:rFonts w:eastAsiaTheme="minorHAnsi"/>
              </w:rPr>
            </w:pPr>
            <w:r w:rsidRPr="005C4637">
              <w:rPr>
                <w:rFonts w:eastAsiaTheme="minorHAnsi"/>
              </w:rPr>
              <w:t>Contributions allouées ≥ 3 % de la rémunération soumise à l’ONSS</w:t>
            </w:r>
          </w:p>
        </w:tc>
      </w:tr>
    </w:tbl>
    <w:p w14:paraId="1D0EB87D" w14:textId="77777777" w:rsidR="00130C96" w:rsidRPr="005C4637" w:rsidRDefault="00130C96" w:rsidP="00130C96">
      <w:pPr>
        <w:spacing w:before="120"/>
      </w:pPr>
    </w:p>
    <w:p w14:paraId="58C85FC3" w14:textId="77777777" w:rsidR="00130C96" w:rsidRPr="00FB3D38" w:rsidRDefault="00130C96">
      <w:pPr>
        <w:pStyle w:val="Titre3"/>
        <w:numPr>
          <w:ilvl w:val="0"/>
          <w:numId w:val="200"/>
        </w:numPr>
        <w:tabs>
          <w:tab w:val="num" w:pos="360"/>
        </w:tabs>
      </w:pPr>
      <w:bookmarkStart w:id="592" w:name="_Toc233626164"/>
      <w:r w:rsidRPr="00FB3D38">
        <w:t>Où imputer l’alimentation (prime unique) d’un fonds de pension – second pilier ?</w:t>
      </w:r>
      <w:bookmarkEnd w:id="592"/>
    </w:p>
    <w:p w14:paraId="1A0E9934" w14:textId="77777777" w:rsidR="00130C96" w:rsidRPr="005C4637" w:rsidRDefault="00130C96" w:rsidP="00130C96">
      <w:r w:rsidRPr="005C4637">
        <w:t xml:space="preserve">Au service ordinaire. </w:t>
      </w:r>
    </w:p>
    <w:p w14:paraId="3D181FCE" w14:textId="77777777" w:rsidR="00130C96" w:rsidRPr="005C4637" w:rsidRDefault="00130C96" w:rsidP="00130C96">
      <w:r w:rsidRPr="005C4637">
        <w:t xml:space="preserve">Recommandation : imputer le second pilier sous l’article unique 13120/113-48. </w:t>
      </w:r>
    </w:p>
    <w:p w14:paraId="6188F95A" w14:textId="762EF314" w:rsidR="00130C96" w:rsidRPr="00FB3D38" w:rsidRDefault="00130C96">
      <w:pPr>
        <w:pStyle w:val="Titre3"/>
        <w:numPr>
          <w:ilvl w:val="0"/>
          <w:numId w:val="200"/>
        </w:numPr>
      </w:pPr>
      <w:bookmarkStart w:id="593" w:name="_Toc233626165"/>
      <w:r w:rsidRPr="00FB3D38">
        <w:t>Pourquoi cette dépense ne relève-t-elle pas de l’extraordinaire ?</w:t>
      </w:r>
      <w:bookmarkEnd w:id="593"/>
    </w:p>
    <w:p w14:paraId="5ED2D187" w14:textId="77777777" w:rsidR="00130C96" w:rsidRPr="005C4637" w:rsidRDefault="00130C96" w:rsidP="00130C96">
      <w:r w:rsidRPr="005C4637">
        <w:t xml:space="preserve">Le RGCC, art. 1er, 1° et 2° distingue : le service ordinaire (recettes/dépenses récurrentes assurant le fonctionnement régulier, y compris le remboursement périodique de la dette) et le service extraordinaire (dépenses affectant durablement le patrimoine, subsides/prêts à ces fins, placements &gt; 1 an, remboursements anticipés de dette). Les pensions sont des dépenses ordinaires de personnel ; leur mode de paiement (prime unique) ne modifie pas leur nature budgétaire. </w:t>
      </w:r>
    </w:p>
    <w:p w14:paraId="58BD0E18" w14:textId="77777777" w:rsidR="00130C96" w:rsidRPr="005C4637" w:rsidRDefault="00130C96" w:rsidP="00FB3D38">
      <w:pPr>
        <w:pStyle w:val="Titre3"/>
      </w:pPr>
      <w:bookmarkStart w:id="594" w:name="_Toc233626166"/>
      <w:r w:rsidRPr="005C4637">
        <w:t>Peut-on financer une dépense ordinaire via un emprunt ou une recette extraordinaire ?</w:t>
      </w:r>
      <w:bookmarkEnd w:id="594"/>
    </w:p>
    <w:p w14:paraId="67D297B1" w14:textId="77777777" w:rsidR="00130C96" w:rsidRPr="005C4637" w:rsidRDefault="00130C96" w:rsidP="00130C96">
      <w:r w:rsidRPr="005C4637">
        <w:t xml:space="preserve">Non. Le principe de spécialisation interdit de financer l’ordinaire par l’extraordinaire. Le RGCC (art. 1er, 15°) prévoit une seule exception de mouvement ordinaire/extraordinaire : les emprunts CRAC, réalisés à l’exercice propre. Appeler l’opération « fonds » ne change pas la nature de la dépense. </w:t>
      </w:r>
    </w:p>
    <w:p w14:paraId="15124D80" w14:textId="77777777" w:rsidR="00130C96" w:rsidRPr="005C4637" w:rsidRDefault="00130C96" w:rsidP="00FB3D38">
      <w:pPr>
        <w:pStyle w:val="Titre3"/>
      </w:pPr>
      <w:bookmarkStart w:id="595" w:name="_Toc233626167"/>
      <w:r w:rsidRPr="005C4637">
        <w:lastRenderedPageBreak/>
        <w:t>Existe-t-il des précédents qui confirment l’imputation à l’ordinaire ?</w:t>
      </w:r>
      <w:bookmarkEnd w:id="595"/>
    </w:p>
    <w:p w14:paraId="7A33E610" w14:textId="77777777" w:rsidR="00130C96" w:rsidRPr="005C4637" w:rsidRDefault="00130C96" w:rsidP="00130C96">
      <w:r w:rsidRPr="005C4637">
        <w:t xml:space="preserve">Oui. Les opérations « Tonus pension » (20/11/2003) et l’affectation de la vente de télédistribution (12/12/2007) prévoyaient la constitution d’un fonds de pension au service ordinaire. </w:t>
      </w:r>
    </w:p>
    <w:p w14:paraId="340DE75A" w14:textId="77777777" w:rsidR="00130C96" w:rsidRPr="005C4637" w:rsidRDefault="00130C96" w:rsidP="00FB3D38">
      <w:pPr>
        <w:pStyle w:val="Titre3"/>
      </w:pPr>
      <w:bookmarkStart w:id="596" w:name="_Toc233626168"/>
      <w:r w:rsidRPr="005C4637">
        <w:t>Comment affecter le personnel rattaché au Président de CPAS exerçant aussi la fonction d’Échevin ?</w:t>
      </w:r>
      <w:bookmarkEnd w:id="596"/>
    </w:p>
    <w:p w14:paraId="14714522" w14:textId="77777777" w:rsidR="00130C96" w:rsidRPr="005C4637" w:rsidRDefault="00130C96" w:rsidP="00130C96">
      <w:r w:rsidRPr="005C4637">
        <w:t>Pour une bonne gestion des deniers publics, affecter ce personnel à un seul et même cabinet, afin de limiter les dépenses de personnel.</w:t>
      </w:r>
    </w:p>
    <w:p w14:paraId="5875F03C" w14:textId="77777777" w:rsidR="00130C96" w:rsidRPr="005C4637" w:rsidRDefault="00130C96" w:rsidP="00FB3D38">
      <w:pPr>
        <w:pStyle w:val="Titre3"/>
      </w:pPr>
      <w:r w:rsidRPr="005C4637">
        <w:t xml:space="preserve"> </w:t>
      </w:r>
      <w:bookmarkStart w:id="597" w:name="_Toc233626169"/>
      <w:r w:rsidRPr="005C4637">
        <w:t>Références pour les receveurs régionaux ?</w:t>
      </w:r>
      <w:bookmarkEnd w:id="597"/>
    </w:p>
    <w:p w14:paraId="3F8E0131" w14:textId="77777777" w:rsidR="00130C96" w:rsidRPr="005C4637" w:rsidRDefault="00130C96" w:rsidP="00130C96">
      <w:r w:rsidRPr="005C4637">
        <w:t xml:space="preserve">Se référer au décret du 2 mai 2019 (MB 20/09/2019) et aux arrêtés du 6 juin 2019 (MB 06/12/2019) fixant le statut, le mode de prélèvement des contributions aux frais de la recette régionale et les règles de fonctionnement/délibération/organisation du Collège des gouverneurs wallons. </w:t>
      </w:r>
    </w:p>
    <w:p w14:paraId="45D09502" w14:textId="77777777" w:rsidR="00130C96" w:rsidRPr="005C4637" w:rsidRDefault="00130C96" w:rsidP="00FB3D38">
      <w:pPr>
        <w:pStyle w:val="Titre3"/>
      </w:pPr>
      <w:bookmarkStart w:id="598" w:name="_Toc233626170"/>
      <w:r w:rsidRPr="005C4637">
        <w:t>Doit-on porter au budget/aux comptes des inscriptions liées aux enseignants FWB ?</w:t>
      </w:r>
      <w:bookmarkEnd w:id="598"/>
    </w:p>
    <w:p w14:paraId="6DF15041" w14:textId="77777777" w:rsidR="00130C96" w:rsidRPr="005C4637" w:rsidRDefault="00130C96" w:rsidP="00130C96">
      <w:r w:rsidRPr="005C4637">
        <w:t>Non. Pour éviter de fausser l’analyse des budgets/compte, ne pas porter d’inscriptions fictives (recettes/dépenses de personnel) relatives aux enseignants dont la charge, liquidation et calcul de salaire sont intégralement assurés par la Fédération Wallonie</w:t>
      </w:r>
      <w:r>
        <w:t>-</w:t>
      </w:r>
      <w:r w:rsidRPr="005C4637">
        <w:t xml:space="preserve">Bruxelles. </w:t>
      </w:r>
    </w:p>
    <w:p w14:paraId="5DA0C858" w14:textId="77777777" w:rsidR="00130C96" w:rsidRPr="005C4637" w:rsidRDefault="00130C96" w:rsidP="00FB3D38">
      <w:pPr>
        <w:pStyle w:val="Titre3"/>
      </w:pPr>
      <w:bookmarkStart w:id="599" w:name="_Toc233626171"/>
      <w:r w:rsidRPr="005C4637">
        <w:t xml:space="preserve">Comment </w:t>
      </w:r>
      <w:r>
        <w:t>inscrire</w:t>
      </w:r>
      <w:r w:rsidRPr="005C4637">
        <w:t xml:space="preserve"> les agents APE (recettes et cotisations ONSS) ?</w:t>
      </w:r>
      <w:bookmarkEnd w:id="599"/>
    </w:p>
    <w:p w14:paraId="4D516ADA" w14:textId="77777777" w:rsidR="00E00AA7" w:rsidRDefault="00130C96">
      <w:pPr>
        <w:pStyle w:val="Paragraphedeliste"/>
        <w:numPr>
          <w:ilvl w:val="0"/>
          <w:numId w:val="201"/>
        </w:numPr>
      </w:pPr>
      <w:r w:rsidRPr="005C4637">
        <w:t>Recette : inscrire la subvention forfaitaire unique d’aide à l’emploi à l’article 00025/</w:t>
      </w:r>
      <w:r>
        <w:t>46502</w:t>
      </w:r>
      <w:r w:rsidRPr="005C4637">
        <w:t>.</w:t>
      </w:r>
    </w:p>
    <w:p w14:paraId="7C32C62F" w14:textId="639103F3" w:rsidR="00130C96" w:rsidRPr="005C4637" w:rsidRDefault="00130C96">
      <w:pPr>
        <w:pStyle w:val="Paragraphedeliste"/>
        <w:numPr>
          <w:ilvl w:val="0"/>
          <w:numId w:val="201"/>
        </w:numPr>
      </w:pPr>
      <w:r w:rsidRPr="005C4637">
        <w:t>Dépense : pour les cotisations ONSS des agents APE, supprimer la particule 33 (article xxx33/</w:t>
      </w:r>
      <w:r>
        <w:t>11302</w:t>
      </w:r>
      <w:r w:rsidRPr="005C4637">
        <w:t>) et intégrer à l’article xxx/</w:t>
      </w:r>
      <w:r>
        <w:t>11301</w:t>
      </w:r>
      <w:r w:rsidRPr="005C4637">
        <w:t xml:space="preserve"> ; la distinction APE / non</w:t>
      </w:r>
      <w:r>
        <w:t>-</w:t>
      </w:r>
      <w:r w:rsidRPr="005C4637">
        <w:t xml:space="preserve">APE se fait via les articles de traitement (et non par particule sur les charges). </w:t>
      </w:r>
    </w:p>
    <w:p w14:paraId="42EA00B2" w14:textId="77777777" w:rsidR="00130C96" w:rsidRPr="005C4637" w:rsidRDefault="00130C96" w:rsidP="00FB3D38">
      <w:pPr>
        <w:pStyle w:val="Titre3"/>
      </w:pPr>
      <w:bookmarkStart w:id="600" w:name="_Toc233626172"/>
      <w:r w:rsidRPr="005C4637">
        <w:t>Bonnes pratiques de présentation et exemples d’imputation</w:t>
      </w:r>
      <w:bookmarkEnd w:id="600"/>
    </w:p>
    <w:p w14:paraId="26C9884F" w14:textId="77777777" w:rsidR="00D815BD" w:rsidRDefault="00130C96">
      <w:pPr>
        <w:pStyle w:val="Paragraphedeliste"/>
        <w:numPr>
          <w:ilvl w:val="0"/>
          <w:numId w:val="202"/>
        </w:numPr>
      </w:pPr>
      <w:r w:rsidRPr="005C4637">
        <w:t>Note de motivation RGCC dans le dossier : rappeler la nature ordinaire de la dépense « second pilier ».</w:t>
      </w:r>
    </w:p>
    <w:p w14:paraId="26297DD0" w14:textId="7B953970" w:rsidR="00130C96" w:rsidRPr="005C4637" w:rsidRDefault="00130C96">
      <w:pPr>
        <w:pStyle w:val="Paragraphedeliste"/>
        <w:numPr>
          <w:ilvl w:val="0"/>
          <w:numId w:val="202"/>
        </w:numPr>
      </w:pPr>
      <w:r w:rsidRPr="005C4637">
        <w:t>Articles usuels : second pilier 13120/113</w:t>
      </w:r>
      <w:r w:rsidRPr="005C4637">
        <w:noBreakHyphen/>
        <w:t>48 ; subvention APE 00025/465</w:t>
      </w:r>
      <w:r w:rsidRPr="005C4637">
        <w:noBreakHyphen/>
        <w:t>02 ; cotisations ONSS APE xxx/113</w:t>
      </w:r>
      <w:r w:rsidRPr="005C4637">
        <w:noBreakHyphen/>
        <w:t>01.</w:t>
      </w:r>
    </w:p>
    <w:p w14:paraId="20CC638A" w14:textId="77777777" w:rsidR="00130C96" w:rsidRPr="005C4637" w:rsidRDefault="00130C96" w:rsidP="00130C96">
      <w:pPr>
        <w:pStyle w:val="Titre2"/>
      </w:pPr>
      <w:bookmarkStart w:id="601" w:name="_Toc225504226"/>
      <w:bookmarkStart w:id="602" w:name="_Toc225772315"/>
      <w:bookmarkStart w:id="603" w:name="_Toc226445370"/>
      <w:bookmarkStart w:id="604" w:name="_Toc233626173"/>
      <w:r w:rsidRPr="005C4637">
        <w:t>Dépenses de fonctionnement</w:t>
      </w:r>
      <w:bookmarkEnd w:id="601"/>
      <w:bookmarkEnd w:id="602"/>
      <w:bookmarkEnd w:id="603"/>
      <w:bookmarkEnd w:id="604"/>
    </w:p>
    <w:p w14:paraId="5C1369D7" w14:textId="77777777" w:rsidR="00130C96" w:rsidRPr="005C4637" w:rsidRDefault="00130C96">
      <w:pPr>
        <w:pStyle w:val="Titre3"/>
        <w:numPr>
          <w:ilvl w:val="0"/>
          <w:numId w:val="204"/>
        </w:numPr>
      </w:pPr>
      <w:bookmarkStart w:id="605" w:name="_Toc233626174"/>
      <w:r w:rsidRPr="005C4637">
        <w:t xml:space="preserve">Quels sont </w:t>
      </w:r>
      <w:r w:rsidRPr="003D3712">
        <w:t>les</w:t>
      </w:r>
      <w:r w:rsidRPr="005C4637">
        <w:t xml:space="preserve"> axes de rationalisation recommandés ?</w:t>
      </w:r>
      <w:bookmarkEnd w:id="605"/>
    </w:p>
    <w:p w14:paraId="70A83738" w14:textId="77777777" w:rsidR="0028257F" w:rsidRPr="0028257F" w:rsidRDefault="00130C96">
      <w:pPr>
        <w:pStyle w:val="Paragraphedeliste"/>
        <w:numPr>
          <w:ilvl w:val="0"/>
          <w:numId w:val="201"/>
        </w:numPr>
      </w:pPr>
      <w:r w:rsidRPr="00BA5C86">
        <w:t>Améliorer la qualité des prévisions (réalistes en dépenses et en recettes)</w:t>
      </w:r>
      <w:r>
        <w:t> ;</w:t>
      </w:r>
    </w:p>
    <w:p w14:paraId="103E643C" w14:textId="77777777" w:rsidR="0028257F" w:rsidRPr="0028257F" w:rsidRDefault="00130C96">
      <w:pPr>
        <w:pStyle w:val="Paragraphedeliste"/>
        <w:numPr>
          <w:ilvl w:val="0"/>
          <w:numId w:val="201"/>
        </w:numPr>
      </w:pPr>
      <w:r w:rsidRPr="00BA5C86">
        <w:t>Maîtriser les charges courantes pour renforcer la soutenabilité</w:t>
      </w:r>
      <w:r>
        <w:t> ;</w:t>
      </w:r>
    </w:p>
    <w:p w14:paraId="6FD04C99" w14:textId="69983BE3" w:rsidR="00130C96" w:rsidRPr="0028257F" w:rsidRDefault="00130C96">
      <w:pPr>
        <w:pStyle w:val="Paragraphedeliste"/>
        <w:numPr>
          <w:ilvl w:val="0"/>
          <w:numId w:val="201"/>
        </w:numPr>
      </w:pPr>
      <w:r w:rsidRPr="00BA5C86">
        <w:t>Mettre en place un pilotage infra-annuel (tableaux de bord, suivi des engagements).</w:t>
      </w:r>
    </w:p>
    <w:p w14:paraId="25176E36" w14:textId="77777777" w:rsidR="00130C96" w:rsidRPr="005C4637" w:rsidRDefault="00130C96">
      <w:pPr>
        <w:pStyle w:val="Titre3"/>
      </w:pPr>
      <w:bookmarkStart w:id="606" w:name="_Toc233626175"/>
      <w:r w:rsidRPr="005C4637">
        <w:t xml:space="preserve">Comment revisiter </w:t>
      </w:r>
      <w:r>
        <w:t>les</w:t>
      </w:r>
      <w:r w:rsidRPr="005C4637">
        <w:t xml:space="preserve"> marchés publics pour gagner en efficience ?</w:t>
      </w:r>
      <w:bookmarkEnd w:id="606"/>
    </w:p>
    <w:p w14:paraId="60C8272B" w14:textId="77777777" w:rsidR="0028257F" w:rsidRDefault="00130C96">
      <w:pPr>
        <w:pStyle w:val="Paragraphedeliste"/>
        <w:numPr>
          <w:ilvl w:val="0"/>
          <w:numId w:val="201"/>
        </w:numPr>
      </w:pPr>
      <w:r w:rsidRPr="00BA5C86">
        <w:t>Vérifier la pertinence du besoin et adapter le dimensionnement</w:t>
      </w:r>
      <w:r>
        <w:t> ;</w:t>
      </w:r>
    </w:p>
    <w:p w14:paraId="6644B096" w14:textId="77777777" w:rsidR="0028257F" w:rsidRDefault="00130C96">
      <w:pPr>
        <w:pStyle w:val="Paragraphedeliste"/>
        <w:numPr>
          <w:ilvl w:val="0"/>
          <w:numId w:val="201"/>
        </w:numPr>
      </w:pPr>
      <w:r w:rsidRPr="00BA5C86">
        <w:lastRenderedPageBreak/>
        <w:t>Soigner les conditions contractuelles (durée, révisions de prix, pénalités, critères)</w:t>
      </w:r>
      <w:r>
        <w:t> ;</w:t>
      </w:r>
    </w:p>
    <w:p w14:paraId="0EEBE55D" w14:textId="74374EAB" w:rsidR="00130C96" w:rsidRPr="0028257F" w:rsidRDefault="00130C96">
      <w:pPr>
        <w:pStyle w:val="Paragraphedeliste"/>
        <w:numPr>
          <w:ilvl w:val="0"/>
          <w:numId w:val="201"/>
        </w:numPr>
      </w:pPr>
      <w:r w:rsidRPr="00BA5C86">
        <w:t>Activer l’achat groupé ou la mutualisation quand c’est pertinent.</w:t>
      </w:r>
    </w:p>
    <w:p w14:paraId="0ACAC8CD" w14:textId="77777777" w:rsidR="00130C96" w:rsidRPr="0028257F" w:rsidRDefault="00130C96" w:rsidP="0028257F">
      <w:pPr>
        <w:pStyle w:val="Titre3"/>
      </w:pPr>
      <w:bookmarkStart w:id="607" w:name="_Toc233626176"/>
      <w:r w:rsidRPr="0028257F">
        <w:t>Papier &amp; énergie : quelles bonnes pratiques ?</w:t>
      </w:r>
      <w:bookmarkEnd w:id="607"/>
    </w:p>
    <w:p w14:paraId="6F323D7C" w14:textId="77777777" w:rsidR="006354DE" w:rsidRDefault="006354DE">
      <w:pPr>
        <w:pStyle w:val="Paragraphedeliste"/>
        <w:numPr>
          <w:ilvl w:val="0"/>
          <w:numId w:val="205"/>
        </w:numPr>
      </w:pPr>
      <w:r>
        <w:t>R</w:t>
      </w:r>
      <w:r w:rsidR="00130C96" w:rsidRPr="005C4637">
        <w:t>éduire l’usage du papier (référence : circulaire du 3/06/2009 – achats de papier</w:t>
      </w:r>
      <w:r w:rsidR="00130C96">
        <w:t>-</w:t>
      </w:r>
      <w:r w:rsidR="00130C96" w:rsidRPr="005C4637">
        <w:t>copier/imprimer)</w:t>
      </w:r>
      <w:r w:rsidR="00130C96">
        <w:t> ;</w:t>
      </w:r>
    </w:p>
    <w:p w14:paraId="52B26335" w14:textId="688270E7" w:rsidR="00130C96" w:rsidRPr="005C4637" w:rsidRDefault="00130C96">
      <w:pPr>
        <w:pStyle w:val="Paragraphedeliste"/>
        <w:numPr>
          <w:ilvl w:val="0"/>
          <w:numId w:val="205"/>
        </w:numPr>
      </w:pPr>
      <w:r w:rsidRPr="005C4637">
        <w:t>Renforcer la gestion énergétique (suivi des consommations, clauses d’efficacité énergétique dans les marchés, contrats performants).</w:t>
      </w:r>
    </w:p>
    <w:p w14:paraId="2094C9E3" w14:textId="77777777" w:rsidR="00130C96" w:rsidRPr="005C4637" w:rsidRDefault="00130C96" w:rsidP="0028257F">
      <w:pPr>
        <w:pStyle w:val="Titre3"/>
      </w:pPr>
      <w:bookmarkStart w:id="608" w:name="_Toc233626177"/>
      <w:r w:rsidRPr="005C4637">
        <w:t>Où imputer les dépenses de fonctionnement des mandataires ?</w:t>
      </w:r>
      <w:bookmarkEnd w:id="608"/>
    </w:p>
    <w:p w14:paraId="0711D6F2" w14:textId="77777777" w:rsidR="00130C96" w:rsidRPr="005C4637" w:rsidRDefault="00130C96" w:rsidP="00130C96">
      <w:r w:rsidRPr="005C4637">
        <w:t>Les dépenses de fonctionnement des mandataires doivent être regroupées sous le code fonctionnel 101 et non dispersées en 104.</w:t>
      </w:r>
    </w:p>
    <w:p w14:paraId="526FAE59" w14:textId="77777777" w:rsidR="00130C96" w:rsidRPr="005C4637" w:rsidRDefault="00130C96" w:rsidP="0028257F">
      <w:pPr>
        <w:pStyle w:val="Titre3"/>
      </w:pPr>
      <w:bookmarkStart w:id="609" w:name="_Toc233626178"/>
      <w:r w:rsidRPr="005C4637">
        <w:t>Quelle imputation pour l’assurance RC des mandataires (obligatoire) ?</w:t>
      </w:r>
      <w:bookmarkEnd w:id="609"/>
    </w:p>
    <w:p w14:paraId="21805B29" w14:textId="77777777" w:rsidR="00130C96" w:rsidRPr="005C4637" w:rsidRDefault="00130C96" w:rsidP="00130C96">
      <w:r w:rsidRPr="005C4637">
        <w:t>Souscription obligatoire (art. L1241-3 CDLD) : imputer la dépense à 101/124-08 (assurance RC mandataires).</w:t>
      </w:r>
    </w:p>
    <w:p w14:paraId="5435EAAB" w14:textId="77777777" w:rsidR="00130C96" w:rsidRPr="005C4637" w:rsidRDefault="00130C96" w:rsidP="0028257F">
      <w:pPr>
        <w:pStyle w:val="Titre3"/>
      </w:pPr>
      <w:bookmarkStart w:id="610" w:name="_Toc233626179"/>
      <w:r w:rsidRPr="005C4637">
        <w:t>Réceptions &amp; représentations : quel garde-fou ?</w:t>
      </w:r>
      <w:bookmarkEnd w:id="610"/>
    </w:p>
    <w:p w14:paraId="3378737F" w14:textId="77777777" w:rsidR="00130C96" w:rsidRPr="005C4637" w:rsidRDefault="00130C96" w:rsidP="00130C96">
      <w:r w:rsidRPr="005C4637">
        <w:t>Ces dépenses doivent impérativement viser l’intérêt général ; la décision communale doit le mentionner explicitement.</w:t>
      </w:r>
    </w:p>
    <w:p w14:paraId="2EF38CA7" w14:textId="77777777" w:rsidR="00130C96" w:rsidRPr="005C4637" w:rsidRDefault="00130C96" w:rsidP="00130C96">
      <w:pPr>
        <w:pStyle w:val="Titre2"/>
      </w:pPr>
      <w:bookmarkStart w:id="611" w:name="_Toc225504227"/>
      <w:bookmarkStart w:id="612" w:name="_Toc225772316"/>
      <w:bookmarkStart w:id="613" w:name="_Toc226445371"/>
      <w:bookmarkStart w:id="614" w:name="_Toc233626180"/>
      <w:r w:rsidRPr="005C4637">
        <w:t>Dépenses de transfert</w:t>
      </w:r>
      <w:bookmarkEnd w:id="611"/>
      <w:bookmarkEnd w:id="612"/>
      <w:bookmarkEnd w:id="613"/>
      <w:bookmarkEnd w:id="614"/>
    </w:p>
    <w:p w14:paraId="1C50F0A8" w14:textId="77777777" w:rsidR="00B61CC6" w:rsidRDefault="00130C96">
      <w:pPr>
        <w:pStyle w:val="Titre3"/>
        <w:numPr>
          <w:ilvl w:val="0"/>
          <w:numId w:val="206"/>
        </w:numPr>
      </w:pPr>
      <w:bookmarkStart w:id="615" w:name="_Toc233626181"/>
      <w:r w:rsidRPr="005C4637">
        <w:t>Quelles attentes pour les entités consolidées (parapubliques, associations…) ?</w:t>
      </w:r>
      <w:bookmarkEnd w:id="615"/>
    </w:p>
    <w:p w14:paraId="09A0735D" w14:textId="77777777" w:rsidR="00B61CC6" w:rsidRPr="00B61CC6" w:rsidRDefault="00130C96">
      <w:pPr>
        <w:pStyle w:val="Paragraphedeliste"/>
        <w:numPr>
          <w:ilvl w:val="0"/>
          <w:numId w:val="205"/>
        </w:numPr>
      </w:pPr>
      <w:r w:rsidRPr="00B61CC6">
        <w:t>Politique de sobriété et de maîtrise des dépenses, comme pour la commune ;</w:t>
      </w:r>
    </w:p>
    <w:p w14:paraId="4E6CBB11" w14:textId="77777777" w:rsidR="00B61CC6" w:rsidRPr="00B61CC6" w:rsidRDefault="00130C96">
      <w:pPr>
        <w:pStyle w:val="Paragraphedeliste"/>
        <w:numPr>
          <w:ilvl w:val="0"/>
          <w:numId w:val="205"/>
        </w:numPr>
      </w:pPr>
      <w:r w:rsidRPr="00B61CC6">
        <w:t>Le Collège évalue l’impact global et met les pièces/informations à disposition des conseillers ;</w:t>
      </w:r>
    </w:p>
    <w:p w14:paraId="3772707E" w14:textId="443F60AE" w:rsidR="00130C96" w:rsidRPr="00B61CC6" w:rsidRDefault="00130C96">
      <w:pPr>
        <w:pStyle w:val="Paragraphedeliste"/>
        <w:numPr>
          <w:ilvl w:val="0"/>
          <w:numId w:val="205"/>
        </w:numPr>
      </w:pPr>
      <w:r w:rsidRPr="00B61CC6">
        <w:t>Les mandataires contrôlent et informent régulièrement le Conseil communal (situation financière, risques, difficultés de gestion).</w:t>
      </w:r>
    </w:p>
    <w:p w14:paraId="3C526BD6" w14:textId="77777777" w:rsidR="00130C96" w:rsidRPr="005C4637" w:rsidRDefault="00130C96">
      <w:pPr>
        <w:pStyle w:val="Titre3"/>
        <w:numPr>
          <w:ilvl w:val="0"/>
          <w:numId w:val="206"/>
        </w:numPr>
      </w:pPr>
      <w:bookmarkStart w:id="616" w:name="_Toc233626182"/>
      <w:r w:rsidRPr="005C4637">
        <w:t>Comment développer des synergies utiles au citoyen ?</w:t>
      </w:r>
      <w:bookmarkEnd w:id="616"/>
    </w:p>
    <w:p w14:paraId="40FFD752" w14:textId="77777777" w:rsidR="00130C96" w:rsidRPr="005C4637" w:rsidRDefault="00130C96" w:rsidP="00130C96">
      <w:r w:rsidRPr="005C4637">
        <w:t>Définition : gérer/réaliser ensemble un service, une action, un projet, ou confier à l’une des institutions la gestion pour gagner en efficience (économies d’échelle). Prioriser la création de services communs de support : achats, RH, maintenance, informatique.</w:t>
      </w:r>
    </w:p>
    <w:p w14:paraId="31F431D1" w14:textId="77777777" w:rsidR="00130C96" w:rsidRPr="005C4637" w:rsidRDefault="00130C96">
      <w:pPr>
        <w:pStyle w:val="Titre3"/>
        <w:numPr>
          <w:ilvl w:val="0"/>
          <w:numId w:val="206"/>
        </w:numPr>
      </w:pPr>
      <w:bookmarkStart w:id="617" w:name="_Toc233626183"/>
      <w:r w:rsidRPr="005C4637">
        <w:t>Rappel pour les régies ordinaires (non autonomes)</w:t>
      </w:r>
      <w:bookmarkEnd w:id="617"/>
    </w:p>
    <w:p w14:paraId="0027EE47" w14:textId="77777777" w:rsidR="00130C96" w:rsidRPr="005C4637" w:rsidRDefault="00130C96" w:rsidP="00130C96">
      <w:r w:rsidRPr="005C4637">
        <w:t>Leur gestion financière est organisée par l’Arrêté du Régent du 18/06/1946</w:t>
      </w:r>
      <w:r>
        <w:t>.</w:t>
      </w:r>
    </w:p>
    <w:p w14:paraId="16ECDAFC" w14:textId="77777777" w:rsidR="00130C96" w:rsidRPr="005C4637" w:rsidRDefault="00130C96">
      <w:pPr>
        <w:pStyle w:val="Titre3"/>
        <w:numPr>
          <w:ilvl w:val="0"/>
          <w:numId w:val="206"/>
        </w:numPr>
      </w:pPr>
      <w:bookmarkStart w:id="618" w:name="_Toc233626184"/>
      <w:r w:rsidRPr="005C4637">
        <w:t>Subventions aux associations : quels réflexes ?</w:t>
      </w:r>
      <w:bookmarkEnd w:id="618"/>
    </w:p>
    <w:p w14:paraId="1799AA13" w14:textId="77777777" w:rsidR="00130C96" w:rsidRPr="005C4637" w:rsidRDefault="00130C96" w:rsidP="00130C96">
      <w:r w:rsidRPr="005C4637">
        <w:t>Questionner régulièrement la pertinence des subsides et vérifier l’usage des moyens accordés (justificatifs, effets, alignement sur l’intérêt communal).</w:t>
      </w:r>
    </w:p>
    <w:p w14:paraId="7D1E6968" w14:textId="77777777" w:rsidR="00130C96" w:rsidRPr="005C4637" w:rsidRDefault="00130C96">
      <w:pPr>
        <w:pStyle w:val="Titre3"/>
        <w:numPr>
          <w:ilvl w:val="0"/>
          <w:numId w:val="110"/>
        </w:numPr>
      </w:pPr>
      <w:bookmarkStart w:id="619" w:name="_Toc225504228"/>
      <w:bookmarkStart w:id="620" w:name="_Toc225772317"/>
      <w:bookmarkStart w:id="621" w:name="_Toc226445372"/>
      <w:bookmarkStart w:id="622" w:name="_Toc233626185"/>
      <w:r w:rsidRPr="005C4637">
        <w:lastRenderedPageBreak/>
        <w:t>CPAS</w:t>
      </w:r>
      <w:bookmarkEnd w:id="619"/>
      <w:bookmarkEnd w:id="620"/>
      <w:bookmarkEnd w:id="621"/>
      <w:bookmarkEnd w:id="622"/>
      <w:r w:rsidRPr="005C4637">
        <w:t xml:space="preserve"> </w:t>
      </w:r>
    </w:p>
    <w:p w14:paraId="12BEAA42" w14:textId="77777777" w:rsidR="00130C96" w:rsidRPr="005C4637" w:rsidRDefault="00130C96">
      <w:pPr>
        <w:pStyle w:val="Titre4"/>
        <w:numPr>
          <w:ilvl w:val="0"/>
          <w:numId w:val="145"/>
        </w:numPr>
      </w:pPr>
      <w:r w:rsidRPr="005C4637">
        <w:t>Quels principes généraux s’appliquent aux CPAS ?</w:t>
      </w:r>
    </w:p>
    <w:p w14:paraId="37966C2F" w14:textId="77777777" w:rsidR="00130C96" w:rsidRPr="005C4637" w:rsidRDefault="00130C96" w:rsidP="00130C96">
      <w:r w:rsidRPr="005C4637">
        <w:t>Les règles des communes s’appliquent mutatis mutandis aux CPAS. Privilégie</w:t>
      </w:r>
      <w:r>
        <w:t>r</w:t>
      </w:r>
      <w:r w:rsidRPr="005C4637">
        <w:t xml:space="preserve"> les synergies commune–CPAS (notamment conventions de trésorerie) pour optimiser coûts et trésorerie, tout en respectant l’autonomie de chaque organe délibérant.</w:t>
      </w:r>
    </w:p>
    <w:p w14:paraId="20C1287C" w14:textId="77777777" w:rsidR="00130C96" w:rsidRPr="005C4637" w:rsidRDefault="00130C96">
      <w:pPr>
        <w:pStyle w:val="Titre4"/>
        <w:numPr>
          <w:ilvl w:val="0"/>
          <w:numId w:val="145"/>
        </w:numPr>
      </w:pPr>
      <w:r w:rsidRPr="005C4637">
        <w:t>Qui exerce la tutelle sur les budgets, MB et comptes des CPAS ?</w:t>
      </w:r>
    </w:p>
    <w:p w14:paraId="2D3AD59F" w14:textId="77777777" w:rsidR="00130C96" w:rsidRPr="005C4637" w:rsidRDefault="00130C96" w:rsidP="00130C96">
      <w:r w:rsidRPr="005C4637">
        <w:t>Le Conseil communal exerce la tutelle (recours possible auprès du Gouverneur). La commune transmet ses recommandations au CPAS pour l’élaboration du budget.</w:t>
      </w:r>
    </w:p>
    <w:p w14:paraId="4521ED8F" w14:textId="77777777" w:rsidR="00130C96" w:rsidRPr="005C4637" w:rsidRDefault="00130C96">
      <w:pPr>
        <w:pStyle w:val="Titre4"/>
        <w:numPr>
          <w:ilvl w:val="0"/>
          <w:numId w:val="145"/>
        </w:numPr>
      </w:pPr>
      <w:r w:rsidRPr="005C4637">
        <w:t>Quelles sont les obligations de reporting des CPAS ?</w:t>
      </w:r>
    </w:p>
    <w:p w14:paraId="41A354A6" w14:textId="77777777" w:rsidR="00130C96" w:rsidRPr="005C4637" w:rsidRDefault="00130C96" w:rsidP="00130C96">
      <w:r w:rsidRPr="005C4637">
        <w:t>Répondre aux demandes du SPW Intérieur Action sociale : budgets et comptes provisoires/définitifs (art. 88bis, 89ter), prévisions pluriannuelles (art. 88ter), données statistiques (art. 89quater), PPP, exécution trimestrielle. Les CPAS relèvent du secteur S1313 (SEC 2010). Contact : ressfin.interieur@spw.wallonie.be.</w:t>
      </w:r>
    </w:p>
    <w:p w14:paraId="31F34C02" w14:textId="77777777" w:rsidR="00130C96" w:rsidRPr="005C4637" w:rsidRDefault="00130C96">
      <w:pPr>
        <w:pStyle w:val="Titre4"/>
        <w:numPr>
          <w:ilvl w:val="0"/>
          <w:numId w:val="145"/>
        </w:numPr>
      </w:pPr>
      <w:r w:rsidRPr="005C4637">
        <w:t xml:space="preserve">Quel calendrier légal respecter pour le budget </w:t>
      </w:r>
      <w:r>
        <w:t>?</w:t>
      </w:r>
    </w:p>
    <w:p w14:paraId="5DB7AB30" w14:textId="77777777" w:rsidR="00130C96" w:rsidRPr="005C4637" w:rsidRDefault="00130C96" w:rsidP="00130C96">
      <w:r w:rsidRPr="005C4637">
        <w:t xml:space="preserve">1/10/N-1 : budget provisoire (bureau permanent) au SPW IAS (ICN) ; </w:t>
      </w:r>
    </w:p>
    <w:p w14:paraId="6A2F2EB2" w14:textId="77777777" w:rsidR="00130C96" w:rsidRPr="005C4637" w:rsidRDefault="00130C96" w:rsidP="00130C96">
      <w:r w:rsidRPr="005C4637">
        <w:t xml:space="preserve">31/10/N-1 : vote du budget par le Conseil de l’action sociale ; </w:t>
      </w:r>
    </w:p>
    <w:p w14:paraId="2F1F4FD6" w14:textId="77777777" w:rsidR="00130C96" w:rsidRPr="005C4637" w:rsidRDefault="00130C96" w:rsidP="00130C96">
      <w:r w:rsidRPr="005C4637">
        <w:t xml:space="preserve">15/11/N-1 : envoi au Conseil communal (tutelle) ; </w:t>
      </w:r>
    </w:p>
    <w:p w14:paraId="5F46912B" w14:textId="77777777" w:rsidR="00130C96" w:rsidRPr="005C4637" w:rsidRDefault="00130C96" w:rsidP="00130C96">
      <w:r w:rsidRPr="005C4637">
        <w:t xml:space="preserve">Décision de la tutelle sous 40 jours (prorogeable de moitié) ; </w:t>
      </w:r>
    </w:p>
    <w:p w14:paraId="313C02F4" w14:textId="77777777" w:rsidR="00130C96" w:rsidRPr="005C4637" w:rsidRDefault="00130C96" w:rsidP="00130C96">
      <w:r w:rsidRPr="005C4637">
        <w:t>Exécution par le Conseil ou le bureau permanent.</w:t>
      </w:r>
    </w:p>
    <w:p w14:paraId="664A066E" w14:textId="77777777" w:rsidR="00130C96" w:rsidRPr="005C4637" w:rsidRDefault="00130C96" w:rsidP="00130C96">
      <w:pPr>
        <w:spacing w:before="120"/>
      </w:pPr>
      <w:r w:rsidRPr="005C4637">
        <w:rPr>
          <w:u w:val="single"/>
        </w:rPr>
        <w:t>Procédure</w:t>
      </w:r>
      <w:r w:rsidRPr="005C4637">
        <w:t> :</w:t>
      </w:r>
    </w:p>
    <w:p w14:paraId="40E5A837" w14:textId="77777777" w:rsidR="00130C96" w:rsidRPr="005560EF" w:rsidRDefault="00130C96">
      <w:pPr>
        <w:pStyle w:val="Paragraphedeliste"/>
        <w:numPr>
          <w:ilvl w:val="0"/>
          <w:numId w:val="142"/>
        </w:numPr>
        <w:spacing w:before="120" w:after="120" w:line="240" w:lineRule="auto"/>
        <w:contextualSpacing w:val="0"/>
        <w:rPr>
          <w:i/>
        </w:rPr>
      </w:pPr>
      <w:r w:rsidRPr="005560EF">
        <w:rPr>
          <w:i/>
        </w:rPr>
        <w:t>Concertation du comité de direction sur l’avant-projet de budget (article 42 de la loi organique)</w:t>
      </w:r>
    </w:p>
    <w:p w14:paraId="4573224B" w14:textId="77777777" w:rsidR="00130C96" w:rsidRPr="005560EF" w:rsidRDefault="00130C96">
      <w:pPr>
        <w:pStyle w:val="Paragraphedeliste"/>
        <w:numPr>
          <w:ilvl w:val="0"/>
          <w:numId w:val="142"/>
        </w:numPr>
        <w:spacing w:before="120" w:after="120" w:line="240" w:lineRule="auto"/>
        <w:contextualSpacing w:val="0"/>
        <w:rPr>
          <w:i/>
        </w:rPr>
      </w:pPr>
      <w:r w:rsidRPr="005560EF">
        <w:rPr>
          <w:i/>
        </w:rPr>
        <w:t>Avis de la commission budgétaire sur la légalité et les implications financières prévisibles de l’avant-projet de budget (article 12 du RGCCPAS)</w:t>
      </w:r>
    </w:p>
    <w:p w14:paraId="6CF768B1" w14:textId="77777777" w:rsidR="00130C96" w:rsidRPr="005560EF" w:rsidRDefault="00130C96">
      <w:pPr>
        <w:pStyle w:val="Paragraphedeliste"/>
        <w:numPr>
          <w:ilvl w:val="0"/>
          <w:numId w:val="142"/>
        </w:numPr>
        <w:spacing w:before="120" w:after="120" w:line="240" w:lineRule="auto"/>
        <w:contextualSpacing w:val="0"/>
        <w:rPr>
          <w:i/>
        </w:rPr>
      </w:pPr>
      <w:r w:rsidRPr="005560EF">
        <w:rPr>
          <w:i/>
        </w:rPr>
        <w:t>Comité de concertation commune-CPAS pour avis (article 26bis de la loi organique)</w:t>
      </w:r>
    </w:p>
    <w:p w14:paraId="6A783925" w14:textId="77777777" w:rsidR="00130C96" w:rsidRPr="005560EF" w:rsidRDefault="00130C96">
      <w:pPr>
        <w:pStyle w:val="Paragraphedeliste"/>
        <w:numPr>
          <w:ilvl w:val="0"/>
          <w:numId w:val="142"/>
        </w:numPr>
        <w:spacing w:before="120" w:after="120" w:line="240" w:lineRule="auto"/>
        <w:contextualSpacing w:val="0"/>
        <w:rPr>
          <w:i/>
        </w:rPr>
      </w:pPr>
      <w:r w:rsidRPr="005560EF">
        <w:rPr>
          <w:i/>
        </w:rPr>
        <w:t>Rapport sur les « synergies existantes et à développer entre la commune et le CPAS » du comité de concertation (article 26bis, § 6, de la loi organique)</w:t>
      </w:r>
    </w:p>
    <w:p w14:paraId="2135418C" w14:textId="77777777" w:rsidR="00130C96" w:rsidRPr="005560EF" w:rsidRDefault="00130C96">
      <w:pPr>
        <w:pStyle w:val="Paragraphedeliste"/>
        <w:numPr>
          <w:ilvl w:val="0"/>
          <w:numId w:val="142"/>
        </w:numPr>
        <w:spacing w:before="120" w:after="120" w:line="240" w:lineRule="auto"/>
        <w:contextualSpacing w:val="0"/>
        <w:rPr>
          <w:i/>
        </w:rPr>
      </w:pPr>
      <w:r w:rsidRPr="005560EF">
        <w:rPr>
          <w:i/>
        </w:rPr>
        <w:t>Fixation de l’ordre du jour du conseil de l’action sociale prévoyant le vote du budget</w:t>
      </w:r>
    </w:p>
    <w:p w14:paraId="13204A10" w14:textId="77777777" w:rsidR="00130C96" w:rsidRPr="005560EF" w:rsidRDefault="00130C96">
      <w:pPr>
        <w:pStyle w:val="Paragraphedeliste"/>
        <w:numPr>
          <w:ilvl w:val="0"/>
          <w:numId w:val="142"/>
        </w:numPr>
        <w:spacing w:before="120" w:after="120" w:line="240" w:lineRule="auto"/>
        <w:contextualSpacing w:val="0"/>
        <w:rPr>
          <w:i/>
        </w:rPr>
      </w:pPr>
      <w:r w:rsidRPr="005560EF">
        <w:rPr>
          <w:i/>
        </w:rPr>
        <w:t>Vote du budget par le conseil de l’action sociale pour le 31 octobre au plus tard (article 88 de la loi organique)</w:t>
      </w:r>
    </w:p>
    <w:p w14:paraId="58C6161D" w14:textId="77777777" w:rsidR="00130C96" w:rsidRPr="005560EF" w:rsidRDefault="00130C96">
      <w:pPr>
        <w:pStyle w:val="Paragraphedeliste"/>
        <w:numPr>
          <w:ilvl w:val="0"/>
          <w:numId w:val="142"/>
        </w:numPr>
        <w:spacing w:before="120" w:after="120" w:line="240" w:lineRule="auto"/>
        <w:contextualSpacing w:val="0"/>
        <w:rPr>
          <w:i/>
        </w:rPr>
      </w:pPr>
      <w:r w:rsidRPr="005560EF">
        <w:rPr>
          <w:i/>
        </w:rPr>
        <w:t xml:space="preserve">Transmission du budget au conseil communal, autorité de tutelle, avant le 15 novembre (article 112bis de la loi organique) </w:t>
      </w:r>
    </w:p>
    <w:p w14:paraId="424B2942" w14:textId="77777777" w:rsidR="00130C96" w:rsidRPr="005560EF" w:rsidRDefault="00130C96">
      <w:pPr>
        <w:pStyle w:val="Paragraphedeliste"/>
        <w:numPr>
          <w:ilvl w:val="0"/>
          <w:numId w:val="142"/>
        </w:numPr>
        <w:spacing w:before="120" w:after="120" w:line="240" w:lineRule="auto"/>
        <w:contextualSpacing w:val="0"/>
        <w:rPr>
          <w:i/>
        </w:rPr>
      </w:pPr>
      <w:r w:rsidRPr="005560EF">
        <w:rPr>
          <w:i/>
        </w:rPr>
        <w:t>Simultanément à l’envoi à l'autorité de tutelle, communication aux organisations syndicales représentatives et éventuellement séance d’information (article 89bis de la loi organique)</w:t>
      </w:r>
    </w:p>
    <w:p w14:paraId="587A90D5" w14:textId="77777777" w:rsidR="00130C96" w:rsidRPr="005560EF" w:rsidRDefault="00130C96">
      <w:pPr>
        <w:pStyle w:val="Paragraphedeliste"/>
        <w:numPr>
          <w:ilvl w:val="0"/>
          <w:numId w:val="142"/>
        </w:numPr>
        <w:spacing w:before="120" w:after="120" w:line="240" w:lineRule="auto"/>
        <w:contextualSpacing w:val="0"/>
        <w:rPr>
          <w:i/>
        </w:rPr>
      </w:pPr>
      <w:r w:rsidRPr="005560EF">
        <w:rPr>
          <w:i/>
        </w:rPr>
        <w:lastRenderedPageBreak/>
        <w:t>Décision du conseil communal (approbation, réformation ou non approbation) dans un délai de 40 jours (prorogeable de moitié) (article 112bis de la loi organique)</w:t>
      </w:r>
    </w:p>
    <w:p w14:paraId="71131CA2" w14:textId="77777777" w:rsidR="00130C96" w:rsidRPr="005560EF" w:rsidRDefault="00130C96">
      <w:pPr>
        <w:pStyle w:val="Paragraphedeliste"/>
        <w:numPr>
          <w:ilvl w:val="0"/>
          <w:numId w:val="142"/>
        </w:numPr>
        <w:spacing w:before="120" w:after="120" w:line="240" w:lineRule="auto"/>
        <w:contextualSpacing w:val="0"/>
        <w:rPr>
          <w:i/>
        </w:rPr>
      </w:pPr>
      <w:r w:rsidRPr="005560EF">
        <w:rPr>
          <w:i/>
        </w:rPr>
        <w:t>Recours possible contre la décision du conseil communal auprès du gouverneur (article 112bis de la loi organique)</w:t>
      </w:r>
    </w:p>
    <w:p w14:paraId="053E6A37" w14:textId="77777777" w:rsidR="00130C96" w:rsidRPr="005560EF" w:rsidRDefault="00130C96">
      <w:pPr>
        <w:pStyle w:val="Paragraphedeliste"/>
        <w:numPr>
          <w:ilvl w:val="0"/>
          <w:numId w:val="142"/>
        </w:numPr>
        <w:spacing w:before="120" w:after="120" w:line="240" w:lineRule="auto"/>
        <w:contextualSpacing w:val="0"/>
        <w:rPr>
          <w:i/>
        </w:rPr>
      </w:pPr>
      <w:r w:rsidRPr="005560EF">
        <w:rPr>
          <w:i/>
        </w:rPr>
        <w:t>Exécution du budget par le Conseil ou par délégation, le bureau permanent</w:t>
      </w:r>
    </w:p>
    <w:p w14:paraId="467D8118" w14:textId="77777777" w:rsidR="00130C96" w:rsidRPr="005560EF" w:rsidRDefault="00130C96" w:rsidP="00130C96">
      <w:pPr>
        <w:rPr>
          <w:i/>
        </w:rPr>
      </w:pPr>
    </w:p>
    <w:p w14:paraId="57CE49A3" w14:textId="77777777" w:rsidR="00130C96" w:rsidRPr="005C4637" w:rsidRDefault="00130C96">
      <w:pPr>
        <w:pStyle w:val="Titre4"/>
        <w:numPr>
          <w:ilvl w:val="0"/>
          <w:numId w:val="145"/>
        </w:numPr>
      </w:pPr>
      <w:r>
        <w:t>Quel calendrier pour les comptes ?</w:t>
      </w:r>
    </w:p>
    <w:p w14:paraId="1FEBDCD7" w14:textId="77777777" w:rsidR="00130C96" w:rsidRPr="005C4637" w:rsidRDefault="00130C96" w:rsidP="00130C96">
      <w:r w:rsidRPr="005C4637">
        <w:t xml:space="preserve">15/02/N : compte provisoire (ICN) ; </w:t>
      </w:r>
    </w:p>
    <w:p w14:paraId="3683E9CA" w14:textId="77777777" w:rsidR="00130C96" w:rsidRPr="005C4637" w:rsidRDefault="00130C96" w:rsidP="00130C96">
      <w:r w:rsidRPr="005C4637">
        <w:t xml:space="preserve">01/06/N : vote du compte définitif ; </w:t>
      </w:r>
    </w:p>
    <w:p w14:paraId="7DACC15F" w14:textId="77777777" w:rsidR="00130C96" w:rsidRPr="005C4637" w:rsidRDefault="00130C96" w:rsidP="00130C96">
      <w:r w:rsidRPr="00F178DA">
        <w:t>Transmission</w:t>
      </w:r>
      <w:r w:rsidRPr="005C4637">
        <w:t xml:space="preserve"> à la tutelle sous 15 jours avant le 1/06 ; </w:t>
      </w:r>
    </w:p>
    <w:p w14:paraId="6783554B" w14:textId="77777777" w:rsidR="00130C96" w:rsidRPr="005C4637" w:rsidRDefault="00130C96" w:rsidP="00130C96">
      <w:r w:rsidRPr="00F178DA">
        <w:t>Décision</w:t>
      </w:r>
      <w:r w:rsidRPr="005C4637">
        <w:t xml:space="preserve"> de la tutelle sous 40 jours (prorogeable</w:t>
      </w:r>
      <w:r>
        <w:t xml:space="preserve"> de moitié) ; </w:t>
      </w:r>
    </w:p>
    <w:p w14:paraId="346BFAC9" w14:textId="77777777" w:rsidR="00130C96" w:rsidRPr="005C4637" w:rsidRDefault="00130C96" w:rsidP="00130C96">
      <w:r w:rsidRPr="00F178DA">
        <w:t>Recours</w:t>
      </w:r>
      <w:r w:rsidRPr="005C4637">
        <w:t xml:space="preserve"> possible au </w:t>
      </w:r>
      <w:r>
        <w:t>Gouverneur.</w:t>
      </w:r>
    </w:p>
    <w:p w14:paraId="2D80B102" w14:textId="77777777" w:rsidR="00130C96" w:rsidRPr="005560EF" w:rsidRDefault="00130C96" w:rsidP="00130C96">
      <w:pPr>
        <w:spacing w:before="120"/>
        <w:rPr>
          <w:i/>
        </w:rPr>
      </w:pPr>
      <w:r w:rsidRPr="005560EF">
        <w:rPr>
          <w:i/>
          <w:u w:val="single"/>
        </w:rPr>
        <w:t>Procédure</w:t>
      </w:r>
      <w:r w:rsidRPr="005560EF">
        <w:rPr>
          <w:i/>
        </w:rPr>
        <w:t> :</w:t>
      </w:r>
    </w:p>
    <w:p w14:paraId="3D137836" w14:textId="77777777" w:rsidR="00130C96" w:rsidRPr="00894571" w:rsidRDefault="00130C96">
      <w:pPr>
        <w:pStyle w:val="Paragraphedeliste"/>
        <w:numPr>
          <w:ilvl w:val="0"/>
          <w:numId w:val="143"/>
        </w:numPr>
        <w:spacing w:before="120" w:after="120" w:line="240" w:lineRule="auto"/>
        <w:contextualSpacing w:val="0"/>
      </w:pPr>
      <w:r w:rsidRPr="00894571">
        <w:t>Etablissement des comptes par le directeur financier</w:t>
      </w:r>
    </w:p>
    <w:p w14:paraId="2EF78B55" w14:textId="77777777" w:rsidR="00130C96" w:rsidRPr="005C4637" w:rsidRDefault="00130C96">
      <w:pPr>
        <w:pStyle w:val="Paragraphedeliste"/>
        <w:numPr>
          <w:ilvl w:val="0"/>
          <w:numId w:val="143"/>
        </w:numPr>
        <w:spacing w:before="120" w:after="120" w:line="240" w:lineRule="auto"/>
        <w:contextualSpacing w:val="0"/>
      </w:pPr>
      <w:r w:rsidRPr="005C4637">
        <w:t>Arrêt des comptes provisoires par le bureau permanent et transmission au Gouvernement wallon avant le 15 février de l’exercice suivant (article 89 de la loi organique)</w:t>
      </w:r>
    </w:p>
    <w:p w14:paraId="69A8FBF1" w14:textId="77777777" w:rsidR="00130C96" w:rsidRPr="005C4637" w:rsidRDefault="00130C96">
      <w:pPr>
        <w:pStyle w:val="Paragraphedeliste"/>
        <w:numPr>
          <w:ilvl w:val="0"/>
          <w:numId w:val="143"/>
        </w:numPr>
        <w:spacing w:before="120" w:after="120" w:line="240" w:lineRule="auto"/>
        <w:contextualSpacing w:val="0"/>
      </w:pPr>
      <w:r w:rsidRPr="005C4637">
        <w:t>Comité de concertation commune-CPAS pour avis (article 26bis de la loi organique)</w:t>
      </w:r>
    </w:p>
    <w:p w14:paraId="12D63202" w14:textId="77777777" w:rsidR="00130C96" w:rsidRPr="005C4637" w:rsidRDefault="00130C96">
      <w:pPr>
        <w:pStyle w:val="Paragraphedeliste"/>
        <w:numPr>
          <w:ilvl w:val="0"/>
          <w:numId w:val="143"/>
        </w:numPr>
        <w:spacing w:before="120" w:after="120" w:line="240" w:lineRule="auto"/>
        <w:contextualSpacing w:val="0"/>
      </w:pPr>
      <w:r w:rsidRPr="005C4637">
        <w:t>Fixation de l’ordre du jour du conseil de l’action sociale prévoyant le vote des comptes</w:t>
      </w:r>
    </w:p>
    <w:p w14:paraId="3E4927F4" w14:textId="77777777" w:rsidR="00130C96" w:rsidRPr="005C4637" w:rsidRDefault="00130C96">
      <w:pPr>
        <w:pStyle w:val="Paragraphedeliste"/>
        <w:numPr>
          <w:ilvl w:val="0"/>
          <w:numId w:val="143"/>
        </w:numPr>
        <w:spacing w:before="120" w:after="120" w:line="240" w:lineRule="auto"/>
        <w:contextualSpacing w:val="0"/>
      </w:pPr>
      <w:r w:rsidRPr="005C4637">
        <w:t>Convocation du conseil de l’action sociale et mise à disposition des pièces aux membres du conseil (exemplaire des comptes, ainsi qu’un rapport de la situation du CPAS et de sa gestion au cours de l’exercice écoulé, en ce qui concerne la réalisation des prévisions budgétaires ainsi qu’en ce qui concerne la perception et l’utilisation des subventions octroyées par l’État dans le cadre de la loi du 26 mai 2002 concernant le droit à l’intégration sociale et de la loi du 2 avril 1965 relative à la prise en charge des secours accordés par les centres publics d’action – article 89 de la loi organique)</w:t>
      </w:r>
    </w:p>
    <w:p w14:paraId="178EA272" w14:textId="77777777" w:rsidR="00130C96" w:rsidRPr="005C4637" w:rsidRDefault="00130C96">
      <w:pPr>
        <w:pStyle w:val="Paragraphedeliste"/>
        <w:numPr>
          <w:ilvl w:val="0"/>
          <w:numId w:val="143"/>
        </w:numPr>
        <w:spacing w:before="120" w:after="120" w:line="240" w:lineRule="auto"/>
        <w:contextualSpacing w:val="0"/>
      </w:pPr>
      <w:r w:rsidRPr="005C4637">
        <w:t>Vote des comptes par le conseil</w:t>
      </w:r>
    </w:p>
    <w:p w14:paraId="55FAAAFB" w14:textId="77777777" w:rsidR="00130C96" w:rsidRPr="005C4637" w:rsidRDefault="00130C96">
      <w:pPr>
        <w:pStyle w:val="Paragraphedeliste"/>
        <w:numPr>
          <w:ilvl w:val="0"/>
          <w:numId w:val="143"/>
        </w:numPr>
        <w:spacing w:before="120" w:after="120" w:line="240" w:lineRule="auto"/>
        <w:contextualSpacing w:val="0"/>
      </w:pPr>
      <w:r w:rsidRPr="005C4637">
        <w:t>Transmission des comptes à l’autorité de tutelle, le conseil communal, dans les 15 jours de leur vote avant le 1</w:t>
      </w:r>
      <w:r w:rsidRPr="005C4637">
        <w:rPr>
          <w:vertAlign w:val="superscript"/>
        </w:rPr>
        <w:t>er</w:t>
      </w:r>
      <w:r w:rsidRPr="005C4637">
        <w:t xml:space="preserve"> juin de l’exercice suivant (articles 89 et 112ter de la loi organique)</w:t>
      </w:r>
    </w:p>
    <w:p w14:paraId="0C7E4889" w14:textId="77777777" w:rsidR="00130C96" w:rsidRPr="005C4637" w:rsidRDefault="00130C96">
      <w:pPr>
        <w:pStyle w:val="Paragraphedeliste"/>
        <w:numPr>
          <w:ilvl w:val="0"/>
          <w:numId w:val="143"/>
        </w:numPr>
        <w:spacing w:before="120" w:after="120" w:line="240" w:lineRule="auto"/>
        <w:contextualSpacing w:val="0"/>
      </w:pPr>
      <w:r w:rsidRPr="005C4637">
        <w:t>Simultanément à l’envoi à l’autorité de tutelle, communication des comptes aux organisations syndicales (article 89bis de la loi organique)</w:t>
      </w:r>
    </w:p>
    <w:p w14:paraId="63B17214" w14:textId="77777777" w:rsidR="00130C96" w:rsidRPr="005C4637" w:rsidRDefault="00130C96">
      <w:pPr>
        <w:pStyle w:val="Paragraphedeliste"/>
        <w:numPr>
          <w:ilvl w:val="0"/>
          <w:numId w:val="143"/>
        </w:numPr>
        <w:spacing w:before="120" w:after="120" w:line="240" w:lineRule="auto"/>
        <w:contextualSpacing w:val="0"/>
      </w:pPr>
      <w:r w:rsidRPr="005C4637">
        <w:t>Décision de l’autorité de tutelle (approbation, approbation partielle ou non approbation) dans un délai de 40 jours (prorogeable de moitié) (article 112ter de la loi organique)</w:t>
      </w:r>
    </w:p>
    <w:p w14:paraId="29725FF4" w14:textId="77777777" w:rsidR="00130C96" w:rsidRPr="005C4637" w:rsidRDefault="00130C96">
      <w:pPr>
        <w:pStyle w:val="Paragraphedeliste"/>
        <w:numPr>
          <w:ilvl w:val="0"/>
          <w:numId w:val="143"/>
        </w:numPr>
        <w:spacing w:before="120" w:after="120" w:line="240" w:lineRule="auto"/>
        <w:contextualSpacing w:val="0"/>
      </w:pPr>
      <w:r w:rsidRPr="005C4637">
        <w:t>Recours possible contre la décision de l’autorité de tutelle devant le gouverneur (article 112ter de la loi organique)</w:t>
      </w:r>
    </w:p>
    <w:p w14:paraId="23D7E2B1" w14:textId="77777777" w:rsidR="00130C96" w:rsidRPr="005C4637" w:rsidRDefault="00130C96" w:rsidP="00130C96"/>
    <w:p w14:paraId="2C206BFB" w14:textId="77777777" w:rsidR="00130C96" w:rsidRPr="005C4637" w:rsidRDefault="00130C96">
      <w:pPr>
        <w:pStyle w:val="Titre4"/>
        <w:numPr>
          <w:ilvl w:val="0"/>
          <w:numId w:val="145"/>
        </w:numPr>
      </w:pPr>
      <w:r w:rsidRPr="005C4637">
        <w:t>Comment budgéter le Fonds spécial de l’aide sociale (FSAS) ?</w:t>
      </w:r>
    </w:p>
    <w:p w14:paraId="72DB4131" w14:textId="77777777" w:rsidR="00130C96" w:rsidRPr="005C4637" w:rsidRDefault="00130C96" w:rsidP="00130C96">
      <w:r w:rsidRPr="005C4637">
        <w:t xml:space="preserve">Inscrire la prévision au montant communiqué via NEMO par le SPW IAS (basé sur les dernières infos, dont l’inflation). Des projections à 5 ans sont transmises pour </w:t>
      </w:r>
      <w:r>
        <w:t>faciliter les projections pluriannuelles</w:t>
      </w:r>
      <w:r w:rsidRPr="005C4637">
        <w:t>.</w:t>
      </w:r>
    </w:p>
    <w:p w14:paraId="6060D9CD" w14:textId="77777777" w:rsidR="00130C96" w:rsidRPr="005C4637" w:rsidRDefault="00130C96">
      <w:pPr>
        <w:pStyle w:val="Titre4"/>
        <w:numPr>
          <w:ilvl w:val="0"/>
          <w:numId w:val="145"/>
        </w:numPr>
      </w:pPr>
      <w:r w:rsidRPr="005C4637">
        <w:t>Quelles balises pour les dépenses de personnel du CPAS ?</w:t>
      </w:r>
    </w:p>
    <w:p w14:paraId="7E9087FA" w14:textId="77777777" w:rsidR="00130C96" w:rsidRPr="005C4637" w:rsidRDefault="00130C96" w:rsidP="00130C96">
      <w:r w:rsidRPr="005C4637">
        <w:t>Intégrer effectifs prévisibles, carrières, mouvements, effets de la loi du 24/12/1999 et plan d’embauche. Pour l’indexation, suivre les prévisions du Bureau fédéral du Plan (MAJ chaque 1er mardi</w:t>
      </w:r>
      <w:r>
        <w:t xml:space="preserve"> du mois).</w:t>
      </w:r>
      <w:r w:rsidRPr="005C4637">
        <w:t xml:space="preserve"> Limiter et justifier toute hausse ; prévoir plan GRH et plan de formation.</w:t>
      </w:r>
    </w:p>
    <w:p w14:paraId="09BD815A" w14:textId="77777777" w:rsidR="00130C96" w:rsidRPr="005C4637" w:rsidRDefault="00130C96">
      <w:pPr>
        <w:pStyle w:val="Titre4"/>
        <w:numPr>
          <w:ilvl w:val="0"/>
          <w:numId w:val="145"/>
        </w:numPr>
      </w:pPr>
      <w:r w:rsidRPr="005C4637">
        <w:t>Comment traiter les pensions : solidarité et responsabilisation ?</w:t>
      </w:r>
    </w:p>
    <w:p w14:paraId="4618132A" w14:textId="77777777" w:rsidR="00130C96" w:rsidRPr="005C4637" w:rsidRDefault="00130C96" w:rsidP="00130C96">
      <w:r w:rsidRPr="005C4637">
        <w:t xml:space="preserve">Cotisation de solidarité </w:t>
      </w:r>
      <w:r>
        <w:t>2027</w:t>
      </w:r>
      <w:r w:rsidRPr="005C4637">
        <w:t xml:space="preserve"> : 45 %, à l’exercice propre (Fonds de pension solidarisé du SFP). Cotisation de responsabilisation ONSS (millésime </w:t>
      </w:r>
      <w:r>
        <w:t>2026</w:t>
      </w:r>
      <w:r w:rsidRPr="005C4637">
        <w:t>) : possible aux exercices antérieurs du service ordinaire sur base des prévisions ONSS ; article conseillé : 13110/113-21.</w:t>
      </w:r>
    </w:p>
    <w:p w14:paraId="24A41850" w14:textId="77777777" w:rsidR="00130C96" w:rsidRPr="005C4637" w:rsidRDefault="00130C96">
      <w:pPr>
        <w:pStyle w:val="Titre4"/>
        <w:numPr>
          <w:ilvl w:val="0"/>
          <w:numId w:val="145"/>
        </w:numPr>
      </w:pPr>
      <w:r w:rsidRPr="005C4637">
        <w:t>Quelle bonne gouvernance pour le personnel lié au Président du CPAS également Échevin ?</w:t>
      </w:r>
    </w:p>
    <w:p w14:paraId="464577AC" w14:textId="77777777" w:rsidR="00130C96" w:rsidRPr="005C4637" w:rsidRDefault="00130C96" w:rsidP="00130C96">
      <w:r w:rsidRPr="005C4637">
        <w:t>Affecter le personnel rattaché à un seul et même cabinet afin de limiter les dépenses de personnel.</w:t>
      </w:r>
    </w:p>
    <w:p w14:paraId="720CEDAE" w14:textId="77777777" w:rsidR="00130C96" w:rsidRPr="005C4637" w:rsidRDefault="00130C96">
      <w:pPr>
        <w:pStyle w:val="Titre4"/>
        <w:numPr>
          <w:ilvl w:val="0"/>
          <w:numId w:val="145"/>
        </w:numPr>
      </w:pPr>
      <w:r w:rsidRPr="005C4637">
        <w:t>Quelles recommandations pour les dépenses de fonctionnement du CPAS ?</w:t>
      </w:r>
    </w:p>
    <w:p w14:paraId="75071123" w14:textId="77777777" w:rsidR="00130C96" w:rsidRPr="005C4637" w:rsidRDefault="00130C96" w:rsidP="00130C96">
      <w:r w:rsidRPr="005C4637">
        <w:t>Poursuivre la rationalisation et améliorer la qualité des prévisions. Pour l’énergie (fortement volatile), ouvrir un crédit global ajusté progressivement via les modifications budgétaires.</w:t>
      </w:r>
    </w:p>
    <w:p w14:paraId="2B295F55" w14:textId="77777777" w:rsidR="00130C96" w:rsidRPr="005C4637" w:rsidRDefault="00130C96">
      <w:pPr>
        <w:pStyle w:val="Titre4"/>
        <w:numPr>
          <w:ilvl w:val="0"/>
          <w:numId w:val="145"/>
        </w:numPr>
      </w:pPr>
      <w:r w:rsidRPr="005C4637">
        <w:t>Quelles règles pour fonds de réserve et provisions ?</w:t>
      </w:r>
    </w:p>
    <w:p w14:paraId="6D3AFDD8" w14:textId="77777777" w:rsidR="00130C96" w:rsidRPr="005C4637" w:rsidRDefault="00130C96" w:rsidP="00130C96">
      <w:r w:rsidRPr="005C4637">
        <w:t>Plus de fonds de réserve indisponibles (RGCC adapté CPAS, AGW 17/01/2008). Favoriser une convention de trésorerie avec la commune ; surveiller les intérêts négatifs (adapter le rythme de liquidation de la dotation). Si pas de fonds de pension externe pour les mandataires, constituer une provision équivalente à la retenue pension du Président. Aucune création/alimentation de provision ou fonds de réserve si la dotation initiale est dépassée, sauf accord communal ou dérogation ; exceptions : fonds de réserve ILA et provision pour clients douteux.</w:t>
      </w:r>
    </w:p>
    <w:p w14:paraId="0B2929A1" w14:textId="77777777" w:rsidR="00130C96" w:rsidRPr="005C4637" w:rsidRDefault="00130C96">
      <w:pPr>
        <w:pStyle w:val="Titre4"/>
        <w:numPr>
          <w:ilvl w:val="0"/>
          <w:numId w:val="145"/>
        </w:numPr>
      </w:pPr>
      <w:r w:rsidRPr="005C4637">
        <w:t>Quelles exigences pour le service extraordinaire (investissements) ?</w:t>
      </w:r>
    </w:p>
    <w:p w14:paraId="452EB72A" w14:textId="77777777" w:rsidR="00130C96" w:rsidRPr="005C4637" w:rsidRDefault="00130C96" w:rsidP="00130C96">
      <w:r w:rsidRPr="005C4637">
        <w:t>Commune et CPAS définissent un programme d’investissement compatible avec les ratios d’endettement et de charge de dette ; décider après analyse de toutes les subventions possibles.</w:t>
      </w:r>
    </w:p>
    <w:p w14:paraId="2C35B082" w14:textId="77777777" w:rsidR="00130C96" w:rsidRPr="005C4637" w:rsidRDefault="00130C96">
      <w:pPr>
        <w:pStyle w:val="Titre4"/>
        <w:numPr>
          <w:ilvl w:val="0"/>
          <w:numId w:val="145"/>
        </w:numPr>
      </w:pPr>
      <w:bookmarkStart w:id="623" w:name="_Toc208419939"/>
      <w:r w:rsidRPr="005C4637">
        <w:t>Annexes</w:t>
      </w:r>
      <w:bookmarkEnd w:id="623"/>
    </w:p>
    <w:tbl>
      <w:tblPr>
        <w:tblW w:w="10206" w:type="dxa"/>
        <w:tblInd w:w="-5" w:type="dxa"/>
        <w:tblLayout w:type="fixed"/>
        <w:tblCellMar>
          <w:left w:w="0" w:type="dxa"/>
          <w:right w:w="0" w:type="dxa"/>
        </w:tblCellMar>
        <w:tblLook w:val="04A0" w:firstRow="1" w:lastRow="0" w:firstColumn="1" w:lastColumn="0" w:noHBand="0" w:noVBand="1"/>
      </w:tblPr>
      <w:tblGrid>
        <w:gridCol w:w="709"/>
        <w:gridCol w:w="9497"/>
      </w:tblGrid>
      <w:tr w:rsidR="00130C96" w:rsidRPr="005C4637" w14:paraId="0B30807F" w14:textId="77777777" w:rsidTr="005560EF">
        <w:trPr>
          <w:trHeight w:hRule="exact" w:val="45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1346F" w14:textId="77777777" w:rsidR="00130C96" w:rsidRPr="005C4637" w:rsidRDefault="00130C96" w:rsidP="005560EF">
            <w:pPr>
              <w:rPr>
                <w:bCs/>
              </w:rPr>
            </w:pP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54B8E" w14:textId="77777777" w:rsidR="00130C96" w:rsidRPr="005C4637" w:rsidRDefault="00130C96" w:rsidP="005560EF">
            <w:pPr>
              <w:rPr>
                <w:b/>
              </w:rPr>
            </w:pPr>
            <w:r w:rsidRPr="005C4637">
              <w:rPr>
                <w:b/>
              </w:rPr>
              <w:t>BUDGET - Listing des pièces justificatives obligatoires</w:t>
            </w:r>
          </w:p>
        </w:tc>
      </w:tr>
      <w:tr w:rsidR="00130C96" w:rsidRPr="005C4637" w14:paraId="72E15C83" w14:textId="77777777" w:rsidTr="005560EF">
        <w:trPr>
          <w:trHeight w:hRule="exact" w:val="33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E4FEB" w14:textId="77777777" w:rsidR="00130C96" w:rsidRPr="005C4637" w:rsidRDefault="00130C96" w:rsidP="005560EF">
            <w:pPr>
              <w:rPr>
                <w:bCs/>
              </w:rPr>
            </w:pPr>
            <w:r w:rsidRPr="005C4637">
              <w:rPr>
                <w:bCs/>
              </w:rPr>
              <w:t>1</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0CC4A9" w14:textId="77777777" w:rsidR="00130C96" w:rsidRPr="005C4637" w:rsidRDefault="00130C96" w:rsidP="005560EF">
            <w:pPr>
              <w:rPr>
                <w:bCs/>
              </w:rPr>
            </w:pPr>
            <w:r w:rsidRPr="005C4637">
              <w:rPr>
                <w:bCs/>
              </w:rPr>
              <w:t>La délibération in extenso du conseil de l'action sociale</w:t>
            </w:r>
          </w:p>
        </w:tc>
      </w:tr>
      <w:tr w:rsidR="00130C96" w:rsidRPr="005C4637" w14:paraId="4D3A24DE" w14:textId="77777777" w:rsidTr="005560EF">
        <w:trPr>
          <w:trHeight w:hRule="exact" w:val="34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6F49E" w14:textId="77777777" w:rsidR="00130C96" w:rsidRPr="005C4637" w:rsidRDefault="00130C96" w:rsidP="005560EF">
            <w:pPr>
              <w:rPr>
                <w:bCs/>
              </w:rPr>
            </w:pPr>
            <w:r w:rsidRPr="005C4637">
              <w:rPr>
                <w:bCs/>
              </w:rPr>
              <w:t>2</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0321F3" w14:textId="77777777" w:rsidR="00130C96" w:rsidRPr="005C4637" w:rsidRDefault="00130C96" w:rsidP="005560EF">
            <w:pPr>
              <w:rPr>
                <w:bCs/>
              </w:rPr>
            </w:pPr>
            <w:r w:rsidRPr="005C4637">
              <w:rPr>
                <w:bCs/>
              </w:rPr>
              <w:t>Le procès-verbal de la réunion du comité de concertation (art 26 §2 de la loi organique)</w:t>
            </w:r>
          </w:p>
        </w:tc>
      </w:tr>
      <w:tr w:rsidR="00130C96" w:rsidRPr="005C4637" w14:paraId="16FA4D0B" w14:textId="77777777" w:rsidTr="005560EF">
        <w:trPr>
          <w:trHeight w:hRule="exact" w:val="34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53E54" w14:textId="77777777" w:rsidR="00130C96" w:rsidRPr="005C4637" w:rsidRDefault="00130C96" w:rsidP="005560EF">
            <w:pPr>
              <w:rPr>
                <w:bCs/>
              </w:rPr>
            </w:pPr>
            <w:r w:rsidRPr="005C4637">
              <w:rPr>
                <w:bCs/>
              </w:rPr>
              <w:t>3</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54F9A7" w14:textId="77777777" w:rsidR="00130C96" w:rsidRPr="005C4637" w:rsidRDefault="00130C96" w:rsidP="005560EF">
            <w:pPr>
              <w:rPr>
                <w:bCs/>
              </w:rPr>
            </w:pPr>
            <w:r w:rsidRPr="005C4637">
              <w:rPr>
                <w:bCs/>
              </w:rPr>
              <w:t>L'avis de la commission article 12 du RGCC tel qu’adapté aux CPAS</w:t>
            </w:r>
          </w:p>
        </w:tc>
      </w:tr>
      <w:tr w:rsidR="00130C96" w:rsidRPr="005C4637" w14:paraId="79551039" w14:textId="77777777" w:rsidTr="005560EF">
        <w:trPr>
          <w:trHeight w:hRule="exact" w:val="34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A5C84" w14:textId="77777777" w:rsidR="00130C96" w:rsidRPr="005C4637" w:rsidRDefault="00130C96" w:rsidP="005560EF">
            <w:pPr>
              <w:rPr>
                <w:bCs/>
              </w:rPr>
            </w:pPr>
            <w:r w:rsidRPr="005C4637">
              <w:rPr>
                <w:bCs/>
              </w:rPr>
              <w:lastRenderedPageBreak/>
              <w:t>4</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6BEC4C" w14:textId="77777777" w:rsidR="00130C96" w:rsidRPr="005C4637" w:rsidRDefault="00130C96" w:rsidP="005560EF">
            <w:pPr>
              <w:rPr>
                <w:bCs/>
              </w:rPr>
            </w:pPr>
            <w:r w:rsidRPr="005C4637">
              <w:rPr>
                <w:bCs/>
              </w:rPr>
              <w:t>La note de politique générale et le rapport tel que prévu par l'article 88 de la loi organique</w:t>
            </w:r>
          </w:p>
        </w:tc>
      </w:tr>
      <w:tr w:rsidR="00130C96" w:rsidRPr="005C4637" w14:paraId="60F4E672" w14:textId="77777777" w:rsidTr="005560EF">
        <w:trPr>
          <w:trHeight w:hRule="exact" w:val="62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DCE8A" w14:textId="2BD5A6B3" w:rsidR="00130C96" w:rsidRPr="005C4637" w:rsidRDefault="006D15B9" w:rsidP="005560EF">
            <w:pPr>
              <w:rPr>
                <w:bCs/>
              </w:rPr>
            </w:pPr>
            <w:r>
              <w:rPr>
                <w:bCs/>
              </w:rPr>
              <w:t>5</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696C6F" w14:textId="77777777" w:rsidR="00130C96" w:rsidRPr="005C4637" w:rsidRDefault="00130C96" w:rsidP="005560EF">
            <w:pPr>
              <w:rPr>
                <w:bCs/>
              </w:rPr>
            </w:pPr>
            <w:r w:rsidRPr="005C4637">
              <w:rPr>
                <w:bCs/>
              </w:rPr>
              <w:t>Les tableaux de synthèse ordinaire et extraordinaire et leurs adaptations dûment signés par le directeur financier</w:t>
            </w:r>
          </w:p>
          <w:p w14:paraId="0271C08F" w14:textId="77777777" w:rsidR="00130C96" w:rsidRPr="005C4637" w:rsidRDefault="00130C96" w:rsidP="005560EF">
            <w:pPr>
              <w:rPr>
                <w:bCs/>
              </w:rPr>
            </w:pPr>
          </w:p>
        </w:tc>
      </w:tr>
      <w:tr w:rsidR="00130C96" w:rsidRPr="005C4637" w14:paraId="5455409C" w14:textId="77777777" w:rsidTr="005560EF">
        <w:trPr>
          <w:trHeight w:hRule="exact" w:val="65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97B9C" w14:textId="5A5080A2" w:rsidR="00130C96" w:rsidRPr="005C4637" w:rsidRDefault="006D15B9" w:rsidP="005560EF">
            <w:pPr>
              <w:rPr>
                <w:bCs/>
              </w:rPr>
            </w:pPr>
            <w:r>
              <w:rPr>
                <w:bCs/>
              </w:rPr>
              <w:t>6</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47D221" w14:textId="77777777" w:rsidR="00130C96" w:rsidRPr="005C4637" w:rsidRDefault="00130C96" w:rsidP="005560EF">
            <w:pPr>
              <w:rPr>
                <w:bCs/>
              </w:rPr>
            </w:pPr>
            <w:r w:rsidRPr="005C4637">
              <w:rPr>
                <w:bCs/>
              </w:rPr>
              <w:t>Le programme des investissements et des voies et moyens affectés aux prévisions de dépenses ventilés par article budgétaire et par numéro de projet extraordinaire</w:t>
            </w:r>
          </w:p>
        </w:tc>
      </w:tr>
      <w:tr w:rsidR="00130C96" w:rsidRPr="005C4637" w14:paraId="096C6CE2" w14:textId="77777777" w:rsidTr="005560EF">
        <w:trPr>
          <w:trHeight w:hRule="exact" w:val="29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C8DFE" w14:textId="5326ABD1" w:rsidR="00130C96" w:rsidRPr="005C4637" w:rsidRDefault="006D15B9" w:rsidP="005560EF">
            <w:pPr>
              <w:rPr>
                <w:bCs/>
              </w:rPr>
            </w:pPr>
            <w:r>
              <w:rPr>
                <w:bCs/>
              </w:rPr>
              <w:t>7</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0023A3" w14:textId="77777777" w:rsidR="00130C96" w:rsidRPr="005C4637" w:rsidRDefault="00130C96" w:rsidP="005560EF">
            <w:pPr>
              <w:rPr>
                <w:bCs/>
              </w:rPr>
            </w:pPr>
            <w:r w:rsidRPr="005C4637">
              <w:rPr>
                <w:bCs/>
              </w:rPr>
              <w:t>Le tableau des emprunts contractés et à contracter présenté par emprunt avec récapitulation</w:t>
            </w:r>
          </w:p>
          <w:p w14:paraId="1A64004E" w14:textId="77777777" w:rsidR="00130C96" w:rsidRPr="005C4637" w:rsidRDefault="00130C96" w:rsidP="005560EF">
            <w:pPr>
              <w:rPr>
                <w:bCs/>
              </w:rPr>
            </w:pPr>
          </w:p>
        </w:tc>
      </w:tr>
      <w:tr w:rsidR="00130C96" w:rsidRPr="005C4637" w14:paraId="24EC11D1" w14:textId="77777777" w:rsidTr="005560EF">
        <w:trPr>
          <w:trHeight w:hRule="exact" w:val="502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9C497" w14:textId="72921A1D" w:rsidR="00130C96" w:rsidRPr="005C4637" w:rsidRDefault="006D15B9" w:rsidP="005560EF">
            <w:pPr>
              <w:rPr>
                <w:bCs/>
              </w:rPr>
            </w:pPr>
            <w:r>
              <w:rPr>
                <w:bCs/>
              </w:rPr>
              <w:t>8</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787F4" w14:textId="77777777" w:rsidR="00130C96" w:rsidRPr="005C4637" w:rsidRDefault="00130C96" w:rsidP="005560EF">
            <w:pPr>
              <w:rPr>
                <w:bCs/>
              </w:rPr>
            </w:pPr>
          </w:p>
          <w:p w14:paraId="46C79733" w14:textId="77777777" w:rsidR="00130C96" w:rsidRPr="005C4637" w:rsidRDefault="00130C96" w:rsidP="005560EF">
            <w:r>
              <w:t>1° Un tableau justificatif doit démontrer la stabilité de la charge de la dette. Il appartientau CPAS d’y faire figurer :</w:t>
            </w:r>
          </w:p>
          <w:p w14:paraId="72004728" w14:textId="77777777" w:rsidR="00130C96" w:rsidRPr="005C4637" w:rsidRDefault="00130C96" w:rsidP="00130C96">
            <w:pPr>
              <w:pStyle w:val="Paragraphedeliste"/>
              <w:numPr>
                <w:ilvl w:val="0"/>
                <w:numId w:val="9"/>
              </w:numPr>
              <w:rPr>
                <w:bCs/>
              </w:rPr>
            </w:pPr>
            <w:r w:rsidRPr="00274113">
              <w:rPr>
                <w:bCs/>
              </w:rPr>
              <w:t>La</w:t>
            </w:r>
            <w:r w:rsidRPr="005C4637">
              <w:rPr>
                <w:bCs/>
              </w:rPr>
              <w:t xml:space="preserve"> charge de la dette échue au cours des cinq dernières années ;</w:t>
            </w:r>
          </w:p>
          <w:p w14:paraId="0FB6BC40" w14:textId="77777777" w:rsidR="00130C96" w:rsidRPr="005C4637" w:rsidRDefault="00130C96" w:rsidP="00130C96">
            <w:pPr>
              <w:pStyle w:val="Paragraphedeliste"/>
              <w:numPr>
                <w:ilvl w:val="0"/>
                <w:numId w:val="9"/>
              </w:numPr>
              <w:rPr>
                <w:bCs/>
              </w:rPr>
            </w:pPr>
            <w:r w:rsidRPr="00274113">
              <w:rPr>
                <w:bCs/>
              </w:rPr>
              <w:t>La</w:t>
            </w:r>
            <w:r w:rsidRPr="005C4637">
              <w:rPr>
                <w:bCs/>
              </w:rPr>
              <w:t xml:space="preserve"> charge de la dette à échoir au cours des cinq prochaines années ;</w:t>
            </w:r>
          </w:p>
          <w:p w14:paraId="70609A52" w14:textId="77777777" w:rsidR="00130C96" w:rsidRPr="005C4637" w:rsidRDefault="00130C96" w:rsidP="00130C96">
            <w:pPr>
              <w:pStyle w:val="Paragraphedeliste"/>
              <w:numPr>
                <w:ilvl w:val="0"/>
                <w:numId w:val="9"/>
              </w:numPr>
              <w:rPr>
                <w:bCs/>
              </w:rPr>
            </w:pPr>
            <w:r w:rsidRPr="00274113">
              <w:rPr>
                <w:bCs/>
              </w:rPr>
              <w:t>La</w:t>
            </w:r>
            <w:r w:rsidRPr="005C4637">
              <w:rPr>
                <w:bCs/>
              </w:rPr>
              <w:t xml:space="preserve"> nouvelle charge de dette envisagée, accompagnée de l'estimation de ses effets financiers sur les cinq prochaines années.</w:t>
            </w:r>
          </w:p>
          <w:p w14:paraId="450D2909" w14:textId="77777777" w:rsidR="00130C96" w:rsidRPr="005C4637" w:rsidRDefault="00130C96" w:rsidP="005560EF">
            <w:r w:rsidRPr="005C4637">
              <w:t>2° Un tableau reprenant, par exercice, les montants qui ont servi à l'autofinancement du service extraordinaire ainsi que les montants affectés à des remboursements anticipés d'emprunts (soit sur boni extraordinaire, soit par transfert direct de service, soit par prélèvement via un fonds de réserve) - Modèle disponible sur le portail des pouvoirs locaux ou à générer au moyen de l’application eComptes.</w:t>
            </w:r>
          </w:p>
        </w:tc>
      </w:tr>
      <w:tr w:rsidR="00130C96" w:rsidRPr="005C4637" w14:paraId="1BA9431E" w14:textId="77777777" w:rsidTr="005560EF">
        <w:trPr>
          <w:trHeight w:hRule="exact" w:val="28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446B6" w14:textId="76B3F7EB" w:rsidR="00130C96" w:rsidRPr="005C4637" w:rsidRDefault="006D15B9" w:rsidP="005560EF">
            <w:pPr>
              <w:rPr>
                <w:bCs/>
              </w:rPr>
            </w:pPr>
            <w:r>
              <w:rPr>
                <w:bCs/>
              </w:rPr>
              <w:t>9</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9680A" w14:textId="77777777" w:rsidR="00130C96" w:rsidRPr="005C4637" w:rsidRDefault="00130C96" w:rsidP="005560EF">
            <w:pPr>
              <w:rPr>
                <w:bCs/>
              </w:rPr>
            </w:pPr>
            <w:r w:rsidRPr="005C4637">
              <w:rPr>
                <w:bCs/>
              </w:rPr>
              <w:t>Les mouvements des réserves et provisions (avec les ventilations)</w:t>
            </w:r>
          </w:p>
        </w:tc>
      </w:tr>
      <w:tr w:rsidR="00130C96" w:rsidRPr="005C4637" w14:paraId="0E351602" w14:textId="77777777" w:rsidTr="005560EF">
        <w:trPr>
          <w:trHeight w:hRule="exact" w:val="34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09690" w14:textId="7B39DD03" w:rsidR="00130C96" w:rsidRPr="005C4637" w:rsidRDefault="00130C96" w:rsidP="005560EF">
            <w:pPr>
              <w:rPr>
                <w:bCs/>
              </w:rPr>
            </w:pPr>
            <w:r w:rsidRPr="005C4637">
              <w:rPr>
                <w:bCs/>
              </w:rPr>
              <w:t>1</w:t>
            </w:r>
            <w:r w:rsidR="006D15B9">
              <w:rPr>
                <w:bCs/>
              </w:rPr>
              <w:t>0</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CE2C9" w14:textId="77777777" w:rsidR="00130C96" w:rsidRPr="005C4637" w:rsidRDefault="00130C96" w:rsidP="005560EF">
            <w:pPr>
              <w:rPr>
                <w:bCs/>
              </w:rPr>
            </w:pPr>
            <w:r w:rsidRPr="005C4637">
              <w:rPr>
                <w:bCs/>
              </w:rPr>
              <w:t>La liste des garanties de bonne fin accordées à des tiers</w:t>
            </w:r>
          </w:p>
        </w:tc>
      </w:tr>
      <w:tr w:rsidR="00130C96" w:rsidRPr="005C4637" w14:paraId="79CBA269" w14:textId="77777777" w:rsidTr="005560EF">
        <w:trPr>
          <w:trHeight w:hRule="exact" w:val="34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A0E2A" w14:textId="47AA71C1" w:rsidR="00130C96" w:rsidRPr="005C4637" w:rsidRDefault="00130C96" w:rsidP="005560EF">
            <w:pPr>
              <w:rPr>
                <w:bCs/>
              </w:rPr>
            </w:pPr>
            <w:r w:rsidRPr="005C4637">
              <w:rPr>
                <w:bCs/>
              </w:rPr>
              <w:t>1</w:t>
            </w:r>
            <w:r w:rsidR="006D15B9">
              <w:rPr>
                <w:bCs/>
              </w:rPr>
              <w:t>1</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E2705" w14:textId="77777777" w:rsidR="00130C96" w:rsidRPr="005C4637" w:rsidRDefault="00130C96" w:rsidP="005560EF">
            <w:pPr>
              <w:rPr>
                <w:bCs/>
              </w:rPr>
            </w:pPr>
            <w:r w:rsidRPr="005C4637">
              <w:rPr>
                <w:bCs/>
              </w:rPr>
              <w:t>Le tableau du personnel (hors article 60) comprenant tous les éléments chiffrés de la rémunération</w:t>
            </w:r>
          </w:p>
        </w:tc>
      </w:tr>
      <w:tr w:rsidR="00130C96" w:rsidRPr="005C4637" w14:paraId="7C0B0616" w14:textId="77777777" w:rsidTr="005560EF">
        <w:trPr>
          <w:trHeight w:hRule="exact" w:val="34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28DCF" w14:textId="164EA724" w:rsidR="00130C96" w:rsidRPr="005C4637" w:rsidRDefault="00130C96" w:rsidP="005560EF">
            <w:pPr>
              <w:rPr>
                <w:bCs/>
              </w:rPr>
            </w:pPr>
            <w:r w:rsidRPr="005C4637">
              <w:rPr>
                <w:bCs/>
              </w:rPr>
              <w:t>1</w:t>
            </w:r>
            <w:r w:rsidR="006D15B9">
              <w:rPr>
                <w:bCs/>
              </w:rPr>
              <w:t>2</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6F4D3" w14:textId="77777777" w:rsidR="00130C96" w:rsidRPr="005C4637" w:rsidRDefault="00130C96" w:rsidP="005560EF">
            <w:r w:rsidRPr="005C4637">
              <w:t xml:space="preserve">L’accusé de réception de l’envoi via StatRw du fichier des prévisions pluriannuelles </w:t>
            </w:r>
          </w:p>
        </w:tc>
      </w:tr>
      <w:tr w:rsidR="00130C96" w:rsidRPr="005C4637" w14:paraId="7A626D4D" w14:textId="77777777" w:rsidTr="005560EF">
        <w:trPr>
          <w:trHeight w:hRule="exact" w:val="62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5661D" w14:textId="52504238" w:rsidR="00130C96" w:rsidRPr="005C4637" w:rsidRDefault="00130C96" w:rsidP="005560EF">
            <w:pPr>
              <w:rPr>
                <w:bCs/>
              </w:rPr>
            </w:pPr>
            <w:r w:rsidRPr="005C4637">
              <w:rPr>
                <w:bCs/>
              </w:rPr>
              <w:t>1</w:t>
            </w:r>
            <w:r w:rsidR="006D15B9">
              <w:rPr>
                <w:bCs/>
              </w:rPr>
              <w:t>3</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B4492" w14:textId="77777777" w:rsidR="00130C96" w:rsidRPr="005C4637" w:rsidRDefault="00130C96" w:rsidP="005560EF">
            <w:pPr>
              <w:rPr>
                <w:bCs/>
              </w:rPr>
            </w:pPr>
            <w:r w:rsidRPr="005C4637">
              <w:rPr>
                <w:bCs/>
              </w:rPr>
              <w:t xml:space="preserve">La preuve de la communication aux organisations syndicales des documents budgétaires </w:t>
            </w:r>
          </w:p>
        </w:tc>
      </w:tr>
    </w:tbl>
    <w:p w14:paraId="2D082221" w14:textId="77777777" w:rsidR="00130C96" w:rsidRPr="005C4637" w:rsidRDefault="00130C96" w:rsidP="00130C96">
      <w:pPr>
        <w:rPr>
          <w:bCs/>
        </w:rPr>
      </w:pPr>
    </w:p>
    <w:tbl>
      <w:tblPr>
        <w:tblW w:w="10206" w:type="dxa"/>
        <w:tblInd w:w="-5" w:type="dxa"/>
        <w:tblLayout w:type="fixed"/>
        <w:tblCellMar>
          <w:left w:w="0" w:type="dxa"/>
          <w:right w:w="0" w:type="dxa"/>
        </w:tblCellMar>
        <w:tblLook w:val="04A0" w:firstRow="1" w:lastRow="0" w:firstColumn="1" w:lastColumn="0" w:noHBand="0" w:noVBand="1"/>
      </w:tblPr>
      <w:tblGrid>
        <w:gridCol w:w="709"/>
        <w:gridCol w:w="9497"/>
      </w:tblGrid>
      <w:tr w:rsidR="00130C96" w:rsidRPr="005C4637" w14:paraId="6D021A87" w14:textId="77777777" w:rsidTr="005560EF">
        <w:trPr>
          <w:trHeight w:hRule="exact" w:val="39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208E8" w14:textId="77777777" w:rsidR="00130C96" w:rsidRPr="005C4637" w:rsidRDefault="00130C96" w:rsidP="005560EF">
            <w:pPr>
              <w:rPr>
                <w:bCs/>
              </w:rPr>
            </w:pP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C799B" w14:textId="77777777" w:rsidR="00130C96" w:rsidRPr="005C4637" w:rsidRDefault="00130C96" w:rsidP="005560EF">
            <w:pPr>
              <w:rPr>
                <w:b/>
              </w:rPr>
            </w:pPr>
            <w:r w:rsidRPr="005C4637">
              <w:rPr>
                <w:b/>
              </w:rPr>
              <w:t>MODIFICATIONS BUDGETAIRES - Listing des pièces justificatives obligatoires</w:t>
            </w:r>
          </w:p>
        </w:tc>
      </w:tr>
      <w:tr w:rsidR="00130C96" w:rsidRPr="005C4637" w14:paraId="5DDD8820" w14:textId="77777777" w:rsidTr="005560EF">
        <w:trPr>
          <w:trHeight w:hRule="exact" w:val="32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0AA7A" w14:textId="77777777" w:rsidR="00130C96" w:rsidRPr="005C4637" w:rsidRDefault="00130C96" w:rsidP="005560EF">
            <w:pPr>
              <w:rPr>
                <w:bCs/>
              </w:rPr>
            </w:pPr>
            <w:r w:rsidRPr="005C4637">
              <w:rPr>
                <w:bCs/>
              </w:rPr>
              <w:t>1</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8C07E" w14:textId="77777777" w:rsidR="00130C96" w:rsidRPr="005C4637" w:rsidRDefault="00130C96" w:rsidP="005560EF">
            <w:pPr>
              <w:rPr>
                <w:bCs/>
              </w:rPr>
            </w:pPr>
            <w:r w:rsidRPr="005C4637">
              <w:rPr>
                <w:bCs/>
              </w:rPr>
              <w:t>La délibération in extenso du Conseil de l'action</w:t>
            </w:r>
          </w:p>
        </w:tc>
      </w:tr>
      <w:tr w:rsidR="00130C96" w:rsidRPr="005C4637" w14:paraId="75CF734F" w14:textId="77777777" w:rsidTr="005560EF">
        <w:trPr>
          <w:trHeight w:hRule="exact" w:val="58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C1243" w14:textId="77777777" w:rsidR="00130C96" w:rsidRPr="005C4637" w:rsidRDefault="00130C96" w:rsidP="005560EF">
            <w:pPr>
              <w:rPr>
                <w:bCs/>
              </w:rPr>
            </w:pPr>
            <w:r w:rsidRPr="005C4637">
              <w:rPr>
                <w:bCs/>
              </w:rPr>
              <w:t>2</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557A0" w14:textId="77777777" w:rsidR="00130C96" w:rsidRPr="005C4637" w:rsidRDefault="00130C96" w:rsidP="005560EF">
            <w:pPr>
              <w:rPr>
                <w:bCs/>
              </w:rPr>
            </w:pPr>
            <w:r w:rsidRPr="005C4637">
              <w:rPr>
                <w:bCs/>
              </w:rPr>
              <w:t>Le programme des investissements et des voies et moyens affectés aux prévisions de dépenses ventilés par article et par n° de projet extraordinaire</w:t>
            </w:r>
          </w:p>
        </w:tc>
      </w:tr>
      <w:tr w:rsidR="00130C96" w:rsidRPr="005C4637" w14:paraId="7ACA8A2E" w14:textId="77777777" w:rsidTr="005560EF">
        <w:trPr>
          <w:trHeight w:hRule="exact" w:val="34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783E7" w14:textId="77777777" w:rsidR="00130C96" w:rsidRPr="005C4637" w:rsidRDefault="00130C96" w:rsidP="005560EF">
            <w:pPr>
              <w:rPr>
                <w:bCs/>
              </w:rPr>
            </w:pPr>
            <w:r w:rsidRPr="005C4637">
              <w:rPr>
                <w:bCs/>
              </w:rPr>
              <w:t>3</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C0578" w14:textId="77777777" w:rsidR="00130C96" w:rsidRPr="005C4637" w:rsidRDefault="00130C96" w:rsidP="005560EF">
            <w:pPr>
              <w:rPr>
                <w:bCs/>
              </w:rPr>
            </w:pPr>
            <w:r w:rsidRPr="005C4637">
              <w:rPr>
                <w:bCs/>
              </w:rPr>
              <w:t>Les mouvements des réserves et provisions (avec les ventilations)</w:t>
            </w:r>
          </w:p>
        </w:tc>
      </w:tr>
      <w:tr w:rsidR="00130C96" w:rsidRPr="005C4637" w14:paraId="1446F733" w14:textId="77777777" w:rsidTr="005560EF">
        <w:trPr>
          <w:trHeight w:hRule="exact" w:val="34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412C0" w14:textId="77777777" w:rsidR="00130C96" w:rsidRPr="005C4637" w:rsidRDefault="00130C96" w:rsidP="005560EF">
            <w:pPr>
              <w:rPr>
                <w:bCs/>
              </w:rPr>
            </w:pPr>
            <w:r w:rsidRPr="005C4637">
              <w:rPr>
                <w:bCs/>
              </w:rPr>
              <w:t>4</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03C52" w14:textId="77777777" w:rsidR="00130C96" w:rsidRPr="005C4637" w:rsidRDefault="00130C96" w:rsidP="005560EF">
            <w:pPr>
              <w:rPr>
                <w:bCs/>
              </w:rPr>
            </w:pPr>
            <w:r w:rsidRPr="005C4637">
              <w:rPr>
                <w:bCs/>
              </w:rPr>
              <w:t>L’avis de la commission article 12 du RGCC tel qu’adapté aux CPAS</w:t>
            </w:r>
          </w:p>
        </w:tc>
      </w:tr>
      <w:tr w:rsidR="00130C96" w:rsidRPr="005C4637" w14:paraId="0194563B" w14:textId="77777777" w:rsidTr="005560EF">
        <w:trPr>
          <w:trHeight w:hRule="exact" w:val="58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6181A" w14:textId="77777777" w:rsidR="00130C96" w:rsidRPr="005C4637" w:rsidRDefault="00130C96" w:rsidP="005560EF">
            <w:pPr>
              <w:rPr>
                <w:bCs/>
              </w:rPr>
            </w:pPr>
            <w:r w:rsidRPr="005C4637">
              <w:rPr>
                <w:bCs/>
              </w:rPr>
              <w:t>5</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7563F" w14:textId="77777777" w:rsidR="00130C96" w:rsidRPr="005C4637" w:rsidRDefault="00130C96" w:rsidP="005560EF">
            <w:pPr>
              <w:rPr>
                <w:bCs/>
              </w:rPr>
            </w:pPr>
            <w:r w:rsidRPr="005C4637">
              <w:rPr>
                <w:bCs/>
              </w:rPr>
              <w:t>Le procès-verbal de la réunion du comité de concertation (art 26 §2 de la loi organique) uniquement lorsque la dotation communale au CPAS est majorée.</w:t>
            </w:r>
          </w:p>
        </w:tc>
      </w:tr>
      <w:tr w:rsidR="00130C96" w:rsidRPr="005C4637" w14:paraId="42809849" w14:textId="77777777" w:rsidTr="005560EF">
        <w:trPr>
          <w:trHeight w:hRule="exact" w:val="62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CBBE9" w14:textId="77777777" w:rsidR="00130C96" w:rsidRPr="005C4637" w:rsidRDefault="00130C96" w:rsidP="005560EF">
            <w:pPr>
              <w:rPr>
                <w:bCs/>
              </w:rPr>
            </w:pPr>
            <w:r w:rsidRPr="005C4637">
              <w:rPr>
                <w:bCs/>
              </w:rPr>
              <w:t>6</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1AAC2" w14:textId="77777777" w:rsidR="00130C96" w:rsidRPr="005C4637" w:rsidRDefault="00130C96" w:rsidP="005560EF">
            <w:pPr>
              <w:rPr>
                <w:bCs/>
              </w:rPr>
            </w:pPr>
            <w:r w:rsidRPr="005C4637">
              <w:rPr>
                <w:bCs/>
              </w:rPr>
              <w:t xml:space="preserve">La preuve de la communication aux organisations syndicales des documents budgétaires </w:t>
            </w:r>
          </w:p>
        </w:tc>
      </w:tr>
    </w:tbl>
    <w:p w14:paraId="5A5F111E" w14:textId="77777777" w:rsidR="00130C96" w:rsidRPr="005C4637" w:rsidRDefault="00130C96" w:rsidP="00130C96">
      <w:pPr>
        <w:spacing w:before="120"/>
      </w:pPr>
      <w:r w:rsidRPr="005C4637">
        <w:lastRenderedPageBreak/>
        <w:t>Les pièces justificatives à joindre aux comptes sont quant à elles fixées par la circulaire du 21 janvier 2019.</w:t>
      </w:r>
    </w:p>
    <w:p w14:paraId="0C209B9F" w14:textId="77777777" w:rsidR="00130C96" w:rsidRPr="005C4637" w:rsidRDefault="00130C96">
      <w:pPr>
        <w:pStyle w:val="Titre4"/>
        <w:numPr>
          <w:ilvl w:val="0"/>
          <w:numId w:val="145"/>
        </w:numPr>
      </w:pPr>
      <w:bookmarkStart w:id="624" w:name="_Toc208419940"/>
      <w:r w:rsidRPr="005C4637">
        <w:t>Plan de gestion</w:t>
      </w:r>
      <w:bookmarkEnd w:id="624"/>
    </w:p>
    <w:p w14:paraId="59FECF91" w14:textId="77777777" w:rsidR="00130C96" w:rsidRPr="005C4637" w:rsidRDefault="00130C96" w:rsidP="00130C96">
      <w:pPr>
        <w:spacing w:before="120"/>
      </w:pPr>
      <w:r w:rsidRPr="005C4637">
        <w:t>Concerne : les Communes mais également leurs CPAS, en tant qu’entités consolidées.</w:t>
      </w:r>
    </w:p>
    <w:p w14:paraId="1F6DDF58" w14:textId="77777777" w:rsidR="00130C96" w:rsidRPr="005C4637" w:rsidRDefault="00130C96" w:rsidP="00130C96">
      <w:pPr>
        <w:spacing w:before="120"/>
      </w:pPr>
      <w:r>
        <w:t>cf.</w:t>
      </w:r>
      <w:r w:rsidRPr="005C4637">
        <w:t xml:space="preserve"> la circulaire spécifique.</w:t>
      </w:r>
    </w:p>
    <w:p w14:paraId="551DFB80" w14:textId="77777777" w:rsidR="00130C96" w:rsidRPr="005C4637" w:rsidRDefault="00130C96">
      <w:pPr>
        <w:pStyle w:val="Titre4"/>
        <w:numPr>
          <w:ilvl w:val="0"/>
          <w:numId w:val="145"/>
        </w:numPr>
      </w:pPr>
      <w:bookmarkStart w:id="625" w:name="_Toc208419941"/>
      <w:r w:rsidRPr="005C4637">
        <w:t>Subventions et aides régionales spécifique</w:t>
      </w:r>
      <w:bookmarkEnd w:id="625"/>
    </w:p>
    <w:p w14:paraId="7A4630BE" w14:textId="77777777" w:rsidR="00130C96" w:rsidRPr="005C4637" w:rsidRDefault="00130C96" w:rsidP="00130C96">
      <w:pPr>
        <w:spacing w:before="120"/>
      </w:pPr>
      <w:r w:rsidRPr="005C4637">
        <w:t>Une attention particulière doit être apportée aux subventions et aides spécifiques accordées par la Région dans le cadre de politiques ou de situations particulières. Il y a lieu en effet lieu de garantir leurs moyens et effets au sein du CPAS sauf à réduire à néant les objectifs de la Région.</w:t>
      </w:r>
    </w:p>
    <w:p w14:paraId="71C8E1A8" w14:textId="77777777" w:rsidR="00130C96" w:rsidRPr="005C4637" w:rsidRDefault="00130C96" w:rsidP="00130C96">
      <w:pPr>
        <w:pStyle w:val="Titre3"/>
      </w:pPr>
      <w:bookmarkStart w:id="626" w:name="_Toc225504229"/>
      <w:bookmarkStart w:id="627" w:name="_Toc225772318"/>
      <w:bookmarkStart w:id="628" w:name="_Toc226445373"/>
      <w:bookmarkStart w:id="629" w:name="_Toc233626186"/>
      <w:r w:rsidRPr="005C4637">
        <w:t>H</w:t>
      </w:r>
      <w:r>
        <w:t>ô</w:t>
      </w:r>
      <w:r w:rsidRPr="005C4637">
        <w:t>pitaux publics, Maisons de repos et MRS</w:t>
      </w:r>
      <w:bookmarkEnd w:id="626"/>
      <w:bookmarkEnd w:id="627"/>
      <w:bookmarkEnd w:id="628"/>
      <w:bookmarkEnd w:id="629"/>
    </w:p>
    <w:p w14:paraId="4285D4F4" w14:textId="77777777" w:rsidR="00130C96" w:rsidRPr="005C4637" w:rsidRDefault="00130C96">
      <w:pPr>
        <w:pStyle w:val="Titre4"/>
        <w:numPr>
          <w:ilvl w:val="0"/>
          <w:numId w:val="146"/>
        </w:numPr>
      </w:pPr>
      <w:r w:rsidRPr="005C4637">
        <w:t>Quelles institutions sont visées ?</w:t>
      </w:r>
    </w:p>
    <w:p w14:paraId="23477646" w14:textId="77777777" w:rsidR="00130C96" w:rsidRPr="005C4637" w:rsidRDefault="00130C96" w:rsidP="00130C96">
      <w:r w:rsidRPr="005C4637">
        <w:t>Les hôpitaux publics et les maisons de repos/maisons de repos et de soins (MRS) assurant l’accueil et l’hébergement des personnes âgées.</w:t>
      </w:r>
    </w:p>
    <w:p w14:paraId="079128E9" w14:textId="77777777" w:rsidR="00130C96" w:rsidRPr="005C4637" w:rsidRDefault="00130C96">
      <w:pPr>
        <w:pStyle w:val="Titre4"/>
        <w:numPr>
          <w:ilvl w:val="0"/>
          <w:numId w:val="146"/>
        </w:numPr>
      </w:pPr>
      <w:r w:rsidRPr="005C4637">
        <w:t>Quel est l’enjeu budgétaire central ?</w:t>
      </w:r>
    </w:p>
    <w:p w14:paraId="66DB1F13" w14:textId="77777777" w:rsidR="00130C96" w:rsidRPr="005C4637" w:rsidRDefault="00130C96" w:rsidP="00130C96">
      <w:r w:rsidRPr="005C4637">
        <w:t>Veiller à l’équilibre budgétaire et à la maîtrise des charges liées aux investissements, compte tenu de l’évolution du financement des soins de santé et des transferts de compétences.</w:t>
      </w:r>
    </w:p>
    <w:p w14:paraId="7F441116" w14:textId="77777777" w:rsidR="00130C96" w:rsidRPr="005C4637" w:rsidRDefault="00130C96">
      <w:pPr>
        <w:pStyle w:val="Titre4"/>
        <w:numPr>
          <w:ilvl w:val="0"/>
          <w:numId w:val="146"/>
        </w:numPr>
      </w:pPr>
      <w:r w:rsidRPr="005C4637">
        <w:t>Quelles bonnes pratiques de suivi recommander ?</w:t>
      </w:r>
    </w:p>
    <w:p w14:paraId="71507C7D" w14:textId="77777777" w:rsidR="00130C96" w:rsidRPr="005C4637" w:rsidRDefault="00130C96" w:rsidP="00130C96">
      <w:r w:rsidRPr="005C4637">
        <w:t>Demander des analyses financières régulières (trésorerie, endettement, plan d’investissement), simuler l’impact des projets et vérifier la soutenabilité pluriannuelle.</w:t>
      </w:r>
    </w:p>
    <w:p w14:paraId="5CA1E191" w14:textId="77777777" w:rsidR="008E5C27" w:rsidRDefault="00130C96" w:rsidP="008E5C27">
      <w:pPr>
        <w:pStyle w:val="Titre3"/>
      </w:pPr>
      <w:bookmarkStart w:id="630" w:name="_Toc225504230"/>
      <w:bookmarkStart w:id="631" w:name="_Toc225772319"/>
      <w:bookmarkStart w:id="632" w:name="_Toc226445374"/>
      <w:bookmarkStart w:id="633" w:name="_Toc233626187"/>
      <w:r w:rsidRPr="005C4637">
        <w:t>Zones de police</w:t>
      </w:r>
      <w:bookmarkEnd w:id="630"/>
      <w:bookmarkEnd w:id="631"/>
      <w:bookmarkEnd w:id="632"/>
      <w:bookmarkEnd w:id="633"/>
    </w:p>
    <w:p w14:paraId="11E8B245" w14:textId="33FDC02D" w:rsidR="00130C96" w:rsidRPr="005C4637" w:rsidRDefault="00130C96">
      <w:pPr>
        <w:pStyle w:val="Titre4"/>
        <w:numPr>
          <w:ilvl w:val="0"/>
          <w:numId w:val="207"/>
        </w:numPr>
      </w:pPr>
      <w:r w:rsidRPr="005C4637">
        <w:t>Une zone de police peut</w:t>
      </w:r>
      <w:r>
        <w:t>-</w:t>
      </w:r>
      <w:r w:rsidRPr="005C4637">
        <w:t>elle être en déficit global ?</w:t>
      </w:r>
    </w:p>
    <w:p w14:paraId="39F01CF2" w14:textId="77777777" w:rsidR="008E5C27" w:rsidRDefault="00130C96" w:rsidP="008E5C27">
      <w:r w:rsidRPr="005C4637">
        <w:t xml:space="preserve">Non. En vertu de la loi du 7 décembre 1998, les zones ne peuvent être mises en déficit global ; les dotations communales doivent y </w:t>
      </w:r>
      <w:r>
        <w:t>suppléer</w:t>
      </w:r>
    </w:p>
    <w:p w14:paraId="08421CDA" w14:textId="47C80624" w:rsidR="00130C96" w:rsidRPr="008E5C27" w:rsidRDefault="00130C96">
      <w:pPr>
        <w:pStyle w:val="Paragraphedeliste"/>
        <w:numPr>
          <w:ilvl w:val="0"/>
          <w:numId w:val="207"/>
        </w:numPr>
        <w:rPr>
          <w:i/>
          <w:iCs/>
        </w:rPr>
      </w:pPr>
      <w:r w:rsidRPr="008E5C27">
        <w:rPr>
          <w:i/>
          <w:iCs/>
        </w:rPr>
        <w:t>Quelle formalité budgétaire au niveau communal ?</w:t>
      </w:r>
    </w:p>
    <w:p w14:paraId="6B5987BF" w14:textId="77777777" w:rsidR="00130C96" w:rsidRPr="005C4637" w:rsidRDefault="00130C96" w:rsidP="00130C96">
      <w:r w:rsidRPr="005C4637">
        <w:t>Prendre une délibération propre à la dotation communale à destination de la zone de police.</w:t>
      </w:r>
    </w:p>
    <w:p w14:paraId="64B99F33" w14:textId="157F93B5" w:rsidR="00130C96" w:rsidRPr="005C4637" w:rsidRDefault="00130C96">
      <w:pPr>
        <w:pStyle w:val="Titre4"/>
        <w:numPr>
          <w:ilvl w:val="0"/>
          <w:numId w:val="207"/>
        </w:numPr>
      </w:pPr>
      <w:r w:rsidRPr="005C4637">
        <w:t>Comment affecter les bonis éventuels des zones ?</w:t>
      </w:r>
    </w:p>
    <w:p w14:paraId="72D4DF9B" w14:textId="77777777" w:rsidR="008E5C27" w:rsidRDefault="00130C96" w:rsidP="008E5C27">
      <w:r w:rsidRPr="005C4637">
        <w:t>Les bonis doivent être affectés prioritairement soit à la diminution des dotations communales, soit à la création de réserves pour des projets spécifiques et des dépenses ultérieures.</w:t>
      </w:r>
    </w:p>
    <w:p w14:paraId="3E69F8EC" w14:textId="0B705EA3" w:rsidR="00130C96" w:rsidRPr="008E5C27" w:rsidRDefault="00130C96">
      <w:pPr>
        <w:pStyle w:val="Paragraphedeliste"/>
        <w:numPr>
          <w:ilvl w:val="0"/>
          <w:numId w:val="207"/>
        </w:numPr>
        <w:rPr>
          <w:i/>
          <w:iCs/>
        </w:rPr>
      </w:pPr>
      <w:r w:rsidRPr="008E5C27">
        <w:rPr>
          <w:i/>
          <w:iCs/>
        </w:rPr>
        <w:t>Quel point inscrire à l’ordre du jour du Conseil communal ?</w:t>
      </w:r>
    </w:p>
    <w:p w14:paraId="027F53A0" w14:textId="77777777" w:rsidR="00130C96" w:rsidRPr="005C4637" w:rsidRDefault="00130C96" w:rsidP="00130C96">
      <w:r w:rsidRPr="005C4637">
        <w:t>Ajouter un point “politique de sécurité” lors du vote de la dotation pour débattre des enjeux locaux, en lien avec le plan zonal de sécurité.</w:t>
      </w:r>
    </w:p>
    <w:p w14:paraId="69B7C517" w14:textId="77777777" w:rsidR="00130C96" w:rsidRPr="009E76DA" w:rsidRDefault="00130C96" w:rsidP="00130C96">
      <w:pPr>
        <w:pStyle w:val="Titre3"/>
      </w:pPr>
      <w:bookmarkStart w:id="634" w:name="_Toc225504231"/>
      <w:bookmarkStart w:id="635" w:name="_Toc225772320"/>
      <w:bookmarkStart w:id="636" w:name="_Toc226445375"/>
      <w:bookmarkStart w:id="637" w:name="_Toc233626188"/>
      <w:r w:rsidRPr="009E76DA">
        <w:lastRenderedPageBreak/>
        <w:t>Zones de secours</w:t>
      </w:r>
      <w:bookmarkEnd w:id="634"/>
      <w:bookmarkEnd w:id="635"/>
      <w:bookmarkEnd w:id="636"/>
      <w:bookmarkEnd w:id="637"/>
    </w:p>
    <w:p w14:paraId="4A10E464" w14:textId="77777777" w:rsidR="00130C96" w:rsidRPr="009E76DA" w:rsidRDefault="00130C96">
      <w:pPr>
        <w:pStyle w:val="Titre4"/>
        <w:numPr>
          <w:ilvl w:val="0"/>
          <w:numId w:val="147"/>
        </w:numPr>
      </w:pPr>
      <w:r w:rsidRPr="009E76DA">
        <w:t>Quel rappel historique ?</w:t>
      </w:r>
    </w:p>
    <w:p w14:paraId="0516A36D" w14:textId="77777777" w:rsidR="00130C96" w:rsidRPr="009E76DA" w:rsidRDefault="00130C96" w:rsidP="00130C96">
      <w:r w:rsidRPr="009E76DA">
        <w:t>La réforme de la sécurité civile est pleinement entrée en vigueur le 1er janvier 2016.</w:t>
      </w:r>
    </w:p>
    <w:p w14:paraId="508850EE" w14:textId="77777777" w:rsidR="00130C96" w:rsidRPr="009E76DA" w:rsidRDefault="00130C96">
      <w:pPr>
        <w:pStyle w:val="Titre4"/>
        <w:numPr>
          <w:ilvl w:val="0"/>
          <w:numId w:val="147"/>
        </w:numPr>
      </w:pPr>
      <w:r w:rsidRPr="009E76DA">
        <w:t>Faut-il supprimer l’historique “Pompiers” au budget communal ?</w:t>
      </w:r>
    </w:p>
    <w:p w14:paraId="1895AD7B" w14:textId="77777777" w:rsidR="00130C96" w:rsidRPr="009E76DA" w:rsidRDefault="00130C96" w:rsidP="00130C96">
      <w:r w:rsidRPr="009E76DA">
        <w:t>Non. Conserver l’historique de la fonction Pompiers (crédits antérieurs/ réalisés) pour permettre les comparaisons et l’inscription éventuelle d’arriérés à l’avenir.</w:t>
      </w:r>
    </w:p>
    <w:p w14:paraId="412CF431" w14:textId="77777777" w:rsidR="00130C96" w:rsidRPr="009E76DA" w:rsidRDefault="00130C96">
      <w:pPr>
        <w:pStyle w:val="Titre4"/>
        <w:numPr>
          <w:ilvl w:val="0"/>
          <w:numId w:val="147"/>
        </w:numPr>
      </w:pPr>
      <w:r w:rsidRPr="009E76DA">
        <w:t>Quelles prévisions inscrire pour 2027 ?</w:t>
      </w:r>
    </w:p>
    <w:p w14:paraId="74A0D197" w14:textId="77777777" w:rsidR="00130C96" w:rsidRPr="009E76DA" w:rsidRDefault="00130C96" w:rsidP="00130C96">
      <w:r w:rsidRPr="009E76DA">
        <w:t>Les communes protégées inscrivent les montants à verser dès que les arrêtés de répartition des frais admissibles sont pris (avances et solde). À défaut d’information, retenir les derniers montants versés. Les communes-centre prévoient les montants restants dus selon la méthode des exercices précédents et les arrêtés encore à prendre.</w:t>
      </w:r>
    </w:p>
    <w:p w14:paraId="58958D3B" w14:textId="77777777" w:rsidR="00130C96" w:rsidRPr="009E76DA" w:rsidRDefault="00130C96">
      <w:pPr>
        <w:pStyle w:val="Titre4"/>
        <w:numPr>
          <w:ilvl w:val="0"/>
          <w:numId w:val="147"/>
        </w:numPr>
      </w:pPr>
      <w:r w:rsidRPr="009E76DA">
        <w:t>Quelle affectation pour les bonis des zones de secours ?</w:t>
      </w:r>
    </w:p>
    <w:p w14:paraId="7C58088A" w14:textId="77777777" w:rsidR="00130C96" w:rsidRPr="009E76DA" w:rsidRDefault="00130C96" w:rsidP="00130C96">
      <w:r w:rsidRPr="009E76DA">
        <w:t>Affectation prioritaire des bonis soit à la diminution des dotations communales, soit à la création de réserves pour projets spécifiques/dépenses ultérieures.</w:t>
      </w:r>
    </w:p>
    <w:p w14:paraId="0711D0A1" w14:textId="77777777" w:rsidR="00130C96" w:rsidRPr="005C4637" w:rsidRDefault="00130C96" w:rsidP="00130C96">
      <w:pPr>
        <w:pStyle w:val="Titre3"/>
      </w:pPr>
      <w:bookmarkStart w:id="638" w:name="_Toc225504232"/>
      <w:bookmarkStart w:id="639" w:name="_Toc225772321"/>
      <w:bookmarkStart w:id="640" w:name="_Toc226445376"/>
      <w:bookmarkStart w:id="641" w:name="_Toc233626189"/>
      <w:r w:rsidRPr="005C4637">
        <w:t>Régies et ASBL communales</w:t>
      </w:r>
      <w:bookmarkEnd w:id="638"/>
      <w:bookmarkEnd w:id="639"/>
      <w:bookmarkEnd w:id="640"/>
      <w:bookmarkEnd w:id="641"/>
    </w:p>
    <w:p w14:paraId="517D70B3" w14:textId="77777777" w:rsidR="00130C96" w:rsidRPr="005C4637" w:rsidRDefault="00130C96">
      <w:pPr>
        <w:pStyle w:val="Titre4"/>
        <w:numPr>
          <w:ilvl w:val="0"/>
          <w:numId w:val="174"/>
        </w:numPr>
        <w:tabs>
          <w:tab w:val="num" w:pos="360"/>
        </w:tabs>
        <w:ind w:left="0" w:firstLine="0"/>
      </w:pPr>
      <w:r w:rsidRPr="005C4637">
        <w:t>Quelles vigilances financières ?</w:t>
      </w:r>
    </w:p>
    <w:p w14:paraId="5459766A" w14:textId="77777777" w:rsidR="00130C96" w:rsidRPr="005C4637" w:rsidRDefault="00130C96" w:rsidP="00130C96">
      <w:r w:rsidRPr="005C4637">
        <w:t>Porter une attention particulière à la situation financière et à la maîtrise des dépenses des régies et ASBL communales.</w:t>
      </w:r>
    </w:p>
    <w:p w14:paraId="0720B639" w14:textId="77777777" w:rsidR="00130C96" w:rsidRPr="005C4637" w:rsidRDefault="00130C96">
      <w:pPr>
        <w:pStyle w:val="Titre4"/>
        <w:numPr>
          <w:ilvl w:val="0"/>
          <w:numId w:val="175"/>
        </w:numPr>
        <w:tabs>
          <w:tab w:val="num" w:pos="360"/>
        </w:tabs>
        <w:ind w:left="0" w:firstLine="0"/>
      </w:pPr>
      <w:r w:rsidRPr="005C4637">
        <w:t>Quelles exigences de conformité ?</w:t>
      </w:r>
    </w:p>
    <w:p w14:paraId="0CFB69E6" w14:textId="77777777" w:rsidR="00130C96" w:rsidRPr="005C4637" w:rsidRDefault="00130C96" w:rsidP="00130C96">
      <w:r w:rsidRPr="005C4637">
        <w:t>Assurer le respect des règles budgétaires et comptables en vigueur et la cohérence des pièces.</w:t>
      </w:r>
    </w:p>
    <w:p w14:paraId="241A5115" w14:textId="77777777" w:rsidR="00130C96" w:rsidRPr="005C4637" w:rsidRDefault="00130C96">
      <w:pPr>
        <w:pStyle w:val="Titre4"/>
        <w:numPr>
          <w:ilvl w:val="0"/>
          <w:numId w:val="175"/>
        </w:numPr>
        <w:tabs>
          <w:tab w:val="num" w:pos="360"/>
        </w:tabs>
        <w:ind w:left="0" w:firstLine="0"/>
      </w:pPr>
      <w:r w:rsidRPr="005C4637">
        <w:t>Comment structurer l’imputation ?</w:t>
      </w:r>
    </w:p>
    <w:p w14:paraId="20A552C5" w14:textId="77777777" w:rsidR="00130C96" w:rsidRPr="005C4637" w:rsidRDefault="00130C96" w:rsidP="00130C96">
      <w:r w:rsidRPr="005C4637">
        <w:t>Identifier clairement les articles budgétaires des dépenses de la régie et les recettes de récupération ; garantir l’adéquation entre documents de la commune et de la régie.</w:t>
      </w:r>
    </w:p>
    <w:p w14:paraId="016515A1" w14:textId="77777777" w:rsidR="00130C96" w:rsidRPr="005C4637" w:rsidRDefault="00130C96">
      <w:pPr>
        <w:pStyle w:val="Titre4"/>
        <w:numPr>
          <w:ilvl w:val="0"/>
          <w:numId w:val="175"/>
        </w:numPr>
        <w:tabs>
          <w:tab w:val="num" w:pos="360"/>
        </w:tabs>
        <w:ind w:left="0" w:firstLine="0"/>
      </w:pPr>
      <w:r w:rsidRPr="005C4637">
        <w:t>Quels risques pour la commune ?</w:t>
      </w:r>
    </w:p>
    <w:p w14:paraId="1DFB6E99" w14:textId="77777777" w:rsidR="00130C96" w:rsidRPr="005C4637" w:rsidRDefault="00130C96" w:rsidP="00130C96">
      <w:r w:rsidRPr="005C4637">
        <w:t>Être conscient des risques financiers majeurs en cas de pertes reportées importantes au sein d’une régie.</w:t>
      </w:r>
    </w:p>
    <w:p w14:paraId="51CEA465" w14:textId="77777777" w:rsidR="00130C96" w:rsidRPr="005C4637" w:rsidRDefault="00130C96" w:rsidP="00130C96">
      <w:pPr>
        <w:pStyle w:val="Titre3"/>
      </w:pPr>
      <w:bookmarkStart w:id="642" w:name="_Toc225504233"/>
      <w:bookmarkStart w:id="643" w:name="_Toc225772322"/>
      <w:bookmarkStart w:id="644" w:name="_Toc226445377"/>
      <w:bookmarkStart w:id="645" w:name="_Toc233626190"/>
      <w:r w:rsidRPr="005C4637">
        <w:t>Fabriques d’église et communautés philosophiques non confessionnelles reconnues</w:t>
      </w:r>
      <w:bookmarkEnd w:id="642"/>
      <w:bookmarkEnd w:id="643"/>
      <w:bookmarkEnd w:id="644"/>
      <w:bookmarkEnd w:id="645"/>
    </w:p>
    <w:p w14:paraId="7F85A099" w14:textId="77777777" w:rsidR="00130C96" w:rsidRPr="005C4637" w:rsidRDefault="00130C96">
      <w:pPr>
        <w:pStyle w:val="Titre4"/>
        <w:numPr>
          <w:ilvl w:val="0"/>
          <w:numId w:val="148"/>
        </w:numPr>
      </w:pPr>
      <w:r w:rsidRPr="005C4637">
        <w:t>Quelle priorité de gestion ?</w:t>
      </w:r>
    </w:p>
    <w:p w14:paraId="446F174D" w14:textId="77777777" w:rsidR="00130C96" w:rsidRPr="005C4637" w:rsidRDefault="00130C96" w:rsidP="00130C96">
      <w:r w:rsidRPr="005C4637">
        <w:t>Surveiller la situation financière et la maîtrise des dépenses des fabriques d’église et des communautés philosophiques non confessionnelles reconnues.</w:t>
      </w:r>
    </w:p>
    <w:p w14:paraId="74DDB96A" w14:textId="77777777" w:rsidR="00130C96" w:rsidRPr="005C4637" w:rsidRDefault="00130C96">
      <w:pPr>
        <w:pStyle w:val="Titre4"/>
        <w:numPr>
          <w:ilvl w:val="0"/>
          <w:numId w:val="148"/>
        </w:numPr>
      </w:pPr>
      <w:r w:rsidRPr="005C4637">
        <w:t>Comment soutenir la laïcité de manière uniforme ?</w:t>
      </w:r>
    </w:p>
    <w:p w14:paraId="791F0C8B" w14:textId="77777777" w:rsidR="00130C96" w:rsidRPr="005C4637" w:rsidRDefault="00130C96" w:rsidP="00130C96">
      <w:r w:rsidRPr="005C4637">
        <w:t>Les subventions à la laïcité peuvent être inscrites sous 79090/332</w:t>
      </w:r>
      <w:r w:rsidRPr="005C4637">
        <w:noBreakHyphen/>
        <w:t>01 (dans les limites des moyens communaux).</w:t>
      </w:r>
    </w:p>
    <w:p w14:paraId="37312636" w14:textId="77777777" w:rsidR="00130C96" w:rsidRPr="005C4637" w:rsidRDefault="00130C96">
      <w:pPr>
        <w:pStyle w:val="Titre4"/>
        <w:numPr>
          <w:ilvl w:val="0"/>
          <w:numId w:val="148"/>
        </w:numPr>
      </w:pPr>
      <w:r w:rsidRPr="005C4637">
        <w:lastRenderedPageBreak/>
        <w:t>Quelles synergies recommander ?</w:t>
      </w:r>
    </w:p>
    <w:p w14:paraId="7393A6E0" w14:textId="77777777" w:rsidR="00130C96" w:rsidRPr="005C4637" w:rsidRDefault="00130C96" w:rsidP="00130C96">
      <w:r w:rsidRPr="005C4637">
        <w:t>Développer des synergies commune–fabriques : gestion groupée des assurances (bâtiments/biens, flotte), achats groupés (combustibles, carburants, fournitures, services).</w:t>
      </w:r>
    </w:p>
    <w:p w14:paraId="0275E799" w14:textId="77777777" w:rsidR="00130C96" w:rsidRPr="005C4637" w:rsidRDefault="00130C96">
      <w:pPr>
        <w:pStyle w:val="Titre4"/>
        <w:numPr>
          <w:ilvl w:val="0"/>
          <w:numId w:val="148"/>
        </w:numPr>
      </w:pPr>
      <w:r w:rsidRPr="005C4637">
        <w:t>Quelle imputation pour les dotations/subventions par culte/communauté ?</w:t>
      </w:r>
    </w:p>
    <w:p w14:paraId="004294C1" w14:textId="77777777" w:rsidR="00130C96" w:rsidRPr="005C4637" w:rsidRDefault="00130C96" w:rsidP="00130C96">
      <w:r>
        <w:t>Utiliser un article budgétaire spécifique par dotation ou subvention ; article de base à individualiser : 790/43501.</w:t>
      </w:r>
    </w:p>
    <w:p w14:paraId="15515E20" w14:textId="77777777" w:rsidR="00130C96" w:rsidRPr="005C4637" w:rsidRDefault="00130C96" w:rsidP="00130C96">
      <w:pPr>
        <w:pStyle w:val="Titre2"/>
      </w:pPr>
      <w:bookmarkStart w:id="646" w:name="_Toc225504234"/>
      <w:bookmarkStart w:id="647" w:name="_Toc225772323"/>
      <w:bookmarkStart w:id="648" w:name="_Toc226445378"/>
      <w:bookmarkStart w:id="649" w:name="_Toc233626191"/>
      <w:r w:rsidRPr="005C4637">
        <w:t>Dépenses de dette : principes</w:t>
      </w:r>
      <w:bookmarkEnd w:id="646"/>
      <w:bookmarkEnd w:id="647"/>
      <w:bookmarkEnd w:id="648"/>
      <w:bookmarkEnd w:id="649"/>
    </w:p>
    <w:p w14:paraId="6D94A9F7" w14:textId="77777777" w:rsidR="00130C96" w:rsidRPr="005C4637" w:rsidRDefault="00130C96">
      <w:pPr>
        <w:pStyle w:val="Titre4"/>
        <w:numPr>
          <w:ilvl w:val="0"/>
          <w:numId w:val="161"/>
        </w:numPr>
        <w:tabs>
          <w:tab w:val="num" w:pos="360"/>
        </w:tabs>
        <w:ind w:left="0" w:firstLine="0"/>
      </w:pPr>
      <w:r w:rsidRPr="005C4637">
        <w:t>Que doit contenir le tableau d’évolution de la dette annexé au budget ?</w:t>
      </w:r>
    </w:p>
    <w:p w14:paraId="7B494916" w14:textId="77777777" w:rsidR="00130C96" w:rsidRPr="005C4637" w:rsidRDefault="00130C96" w:rsidP="00130C96">
      <w:r w:rsidRPr="005C4637">
        <w:t>Des données les plus récentes possibles à la date du vote, y compris les produits structurés, issues de tous les organismes financiers ; inclure tous les emprunts à contracter découlant des programmes antérieurs.</w:t>
      </w:r>
    </w:p>
    <w:p w14:paraId="4585C19C" w14:textId="77777777" w:rsidR="00130C96" w:rsidRPr="005C4637" w:rsidRDefault="00130C96">
      <w:pPr>
        <w:pStyle w:val="Titre4"/>
        <w:numPr>
          <w:ilvl w:val="0"/>
          <w:numId w:val="161"/>
        </w:numPr>
        <w:tabs>
          <w:tab w:val="num" w:pos="360"/>
        </w:tabs>
        <w:ind w:left="0" w:firstLine="0"/>
      </w:pPr>
      <w:r w:rsidRPr="005C4637">
        <w:t>Quelles pratiques éviter en gestion de dette ?</w:t>
      </w:r>
    </w:p>
    <w:p w14:paraId="376157D0" w14:textId="77777777" w:rsidR="00130C96" w:rsidRPr="005C4637" w:rsidRDefault="00130C96" w:rsidP="00130C96">
      <w:r w:rsidRPr="005C4637">
        <w:t>Éviter les queues d’emprunts inactives (privilégier remboursement anticipé ou autofinancement après désaffection/réaffectation des soldes) et proscrire des billets de trésorerie dont l’échéance est inadaptée aux dépenses financées.</w:t>
      </w:r>
    </w:p>
    <w:p w14:paraId="2C728DBF" w14:textId="77777777" w:rsidR="00130C96" w:rsidRPr="005C4637" w:rsidRDefault="00130C96">
      <w:pPr>
        <w:pStyle w:val="Titre3"/>
        <w:numPr>
          <w:ilvl w:val="0"/>
          <w:numId w:val="208"/>
        </w:numPr>
      </w:pPr>
      <w:bookmarkStart w:id="650" w:name="_Toc225504235"/>
      <w:bookmarkStart w:id="651" w:name="_Toc225772324"/>
      <w:bookmarkStart w:id="652" w:name="_Toc226445379"/>
      <w:bookmarkStart w:id="653" w:name="_Toc233626192"/>
      <w:r w:rsidRPr="005C4637">
        <w:t>Stabilisation de la charge de la dette</w:t>
      </w:r>
      <w:bookmarkEnd w:id="650"/>
      <w:bookmarkEnd w:id="651"/>
      <w:bookmarkEnd w:id="652"/>
      <w:bookmarkEnd w:id="653"/>
    </w:p>
    <w:p w14:paraId="41B4A14B" w14:textId="77777777" w:rsidR="00130C96" w:rsidRPr="005C4637" w:rsidRDefault="00130C96">
      <w:pPr>
        <w:pStyle w:val="Titre4"/>
        <w:numPr>
          <w:ilvl w:val="0"/>
          <w:numId w:val="149"/>
        </w:numPr>
      </w:pPr>
      <w:r w:rsidRPr="005C4637">
        <w:t>Quand considère</w:t>
      </w:r>
      <w:r>
        <w:t>-</w:t>
      </w:r>
      <w:r w:rsidRPr="005C4637">
        <w:t>t</w:t>
      </w:r>
      <w:r>
        <w:t>-</w:t>
      </w:r>
      <w:r w:rsidRPr="005C4637">
        <w:t>on la charge ‘stabilisée’ ?</w:t>
      </w:r>
    </w:p>
    <w:p w14:paraId="499C89F8" w14:textId="77777777" w:rsidR="00130C96" w:rsidRPr="005C4637" w:rsidRDefault="00130C96" w:rsidP="00130C96">
      <w:r w:rsidRPr="005C4637">
        <w:t>Lorsque les charges complètes (intérêts + amortissements) des emprunts contractés en 202</w:t>
      </w:r>
      <w:r>
        <w:t>7</w:t>
      </w:r>
      <w:r w:rsidRPr="005C4637">
        <w:t xml:space="preserve"> n’excèdent pas la moyenne arithmétique des charges complètes des emprunts arrivant à échéance de 202</w:t>
      </w:r>
      <w:r>
        <w:t>7</w:t>
      </w:r>
      <w:r w:rsidRPr="005C4637">
        <w:t xml:space="preserve"> à 203</w:t>
      </w:r>
      <w:r>
        <w:t>2</w:t>
      </w:r>
      <w:r w:rsidRPr="005C4637">
        <w:t xml:space="preserve"> (inflation moyenne incluse), leasing compris.</w:t>
      </w:r>
    </w:p>
    <w:p w14:paraId="1565D320" w14:textId="77777777" w:rsidR="00130C96" w:rsidRPr="005C4637" w:rsidRDefault="00130C96">
      <w:pPr>
        <w:pStyle w:val="Titre4"/>
        <w:numPr>
          <w:ilvl w:val="0"/>
          <w:numId w:val="149"/>
        </w:numPr>
      </w:pPr>
      <w:r w:rsidRPr="005C4637">
        <w:t>Comment traiter les ouvertures de crédit non consolidées ?</w:t>
      </w:r>
    </w:p>
    <w:p w14:paraId="7E6138E7" w14:textId="77777777" w:rsidR="00130C96" w:rsidRPr="005C4637" w:rsidRDefault="00130C96" w:rsidP="00130C96">
      <w:r w:rsidRPr="005C4637">
        <w:t>Intégrer comme si la consolidation était réalisée les charges complètes (intérêts + amortissements).</w:t>
      </w:r>
    </w:p>
    <w:p w14:paraId="72D104A7" w14:textId="77777777" w:rsidR="00130C96" w:rsidRPr="005C4637" w:rsidRDefault="00130C96">
      <w:pPr>
        <w:pStyle w:val="Titre4"/>
        <w:numPr>
          <w:ilvl w:val="0"/>
          <w:numId w:val="149"/>
        </w:numPr>
      </w:pPr>
      <w:r w:rsidRPr="005C4637">
        <w:t>Quel suivi pour apprécier la stabilisation au</w:t>
      </w:r>
      <w:r>
        <w:t>-</w:t>
      </w:r>
      <w:r w:rsidRPr="005C4637">
        <w:t>delà de la règle ?</w:t>
      </w:r>
    </w:p>
    <w:p w14:paraId="57AC7BEB" w14:textId="77777777" w:rsidR="00130C96" w:rsidRPr="005C4637" w:rsidRDefault="00130C96" w:rsidP="00130C96">
      <w:r w:rsidRPr="005C4637">
        <w:t>Tenir un tableau annuel des montants affectés à l’autofinancement du service extraordinaire et aux remboursements anticipés (par boni extraordinaire, transfert direct de service ou prélèvement sur fonds de réserve).</w:t>
      </w:r>
    </w:p>
    <w:p w14:paraId="0F1ACCF4" w14:textId="77777777" w:rsidR="00130C96" w:rsidRPr="005C4637" w:rsidRDefault="00130C96">
      <w:pPr>
        <w:pStyle w:val="Titre4"/>
        <w:numPr>
          <w:ilvl w:val="0"/>
          <w:numId w:val="149"/>
        </w:numPr>
      </w:pPr>
      <w:r>
        <w:t>Quel risque avec une lecture trop restrictive du principe de stabilisation de la charge de la dette ?</w:t>
      </w:r>
    </w:p>
    <w:p w14:paraId="1235534F" w14:textId="77777777" w:rsidR="00130C96" w:rsidRPr="005C4637" w:rsidRDefault="00130C96" w:rsidP="00130C96">
      <w:r w:rsidRPr="005C4637">
        <w:t xml:space="preserve">Une comparaison </w:t>
      </w:r>
      <w:r>
        <w:t xml:space="preserve">qui se ferait </w:t>
      </w:r>
      <w:r w:rsidRPr="005C4637">
        <w:t xml:space="preserve">strictement </w:t>
      </w:r>
      <w:r>
        <w:t>au niveau des charges nominales</w:t>
      </w:r>
      <w:r w:rsidRPr="005C4637">
        <w:t xml:space="preserve"> peut masquer une hausse de la dette réelle et exposer la commune en cas de remontée des taux.</w:t>
      </w:r>
    </w:p>
    <w:p w14:paraId="22C9A6B0" w14:textId="77777777" w:rsidR="00130C96" w:rsidRPr="005C4637" w:rsidRDefault="00130C96" w:rsidP="00130C96">
      <w:pPr>
        <w:pStyle w:val="Titre3"/>
      </w:pPr>
      <w:bookmarkStart w:id="654" w:name="_Toc225504236"/>
      <w:bookmarkStart w:id="655" w:name="_Toc225772325"/>
      <w:bookmarkStart w:id="656" w:name="_Toc226445380"/>
      <w:bookmarkStart w:id="657" w:name="_Toc233626193"/>
      <w:r w:rsidRPr="005C4637">
        <w:t>Leasing financier</w:t>
      </w:r>
      <w:bookmarkEnd w:id="654"/>
      <w:bookmarkEnd w:id="655"/>
      <w:bookmarkEnd w:id="656"/>
      <w:bookmarkEnd w:id="657"/>
    </w:p>
    <w:p w14:paraId="2D0C6F20" w14:textId="77777777" w:rsidR="00130C96" w:rsidRPr="005C4637" w:rsidRDefault="00130C96">
      <w:pPr>
        <w:pStyle w:val="Titre4"/>
        <w:numPr>
          <w:ilvl w:val="0"/>
          <w:numId w:val="150"/>
        </w:numPr>
      </w:pPr>
      <w:r w:rsidRPr="005C4637">
        <w:t>Quelle différence entre ‘renting’ et leasing financier ?</w:t>
      </w:r>
    </w:p>
    <w:p w14:paraId="510FF983" w14:textId="77777777" w:rsidR="00130C96" w:rsidRPr="005C4637" w:rsidRDefault="00130C96" w:rsidP="00130C96">
      <w:r w:rsidRPr="005C4637">
        <w:t>Le renting est une location opérationnelle ; le leasing financier est un crédit</w:t>
      </w:r>
      <w:r>
        <w:t>-</w:t>
      </w:r>
      <w:r w:rsidRPr="005C4637">
        <w:t>bail à moyen/long terme pour acquérir des équipements, avec option d’achat souvent déterminante (une option &gt; 15 % de la valeur d’acquisition est un indice de renting).</w:t>
      </w:r>
    </w:p>
    <w:p w14:paraId="6CE3FD17" w14:textId="77777777" w:rsidR="00130C96" w:rsidRPr="005C4637" w:rsidRDefault="00130C96">
      <w:pPr>
        <w:pStyle w:val="Titre4"/>
        <w:numPr>
          <w:ilvl w:val="0"/>
          <w:numId w:val="150"/>
        </w:numPr>
      </w:pPr>
      <w:r w:rsidRPr="005C4637">
        <w:lastRenderedPageBreak/>
        <w:t>Comment imputer les charges de leasing ?</w:t>
      </w:r>
    </w:p>
    <w:p w14:paraId="017147C8" w14:textId="77777777" w:rsidR="00130C96" w:rsidRPr="005C4637" w:rsidRDefault="00130C96" w:rsidP="00130C96">
      <w:r w:rsidRPr="005C4637">
        <w:t>Imputer en dépenses ordinaires de dette : 911</w:t>
      </w:r>
      <w:r>
        <w:t>-</w:t>
      </w:r>
      <w:r w:rsidRPr="005C4637">
        <w:t>03 pour le remboursement du capital et 211</w:t>
      </w:r>
      <w:r>
        <w:t>-</w:t>
      </w:r>
      <w:r w:rsidRPr="005C4637">
        <w:t>03 pour les intérêts ; prévoir la décision de souscription au service extraordinaire. Intégrer les charges de leasing dans la stabilisation de la dette.</w:t>
      </w:r>
    </w:p>
    <w:p w14:paraId="71DB70D6" w14:textId="77777777" w:rsidR="00130C96" w:rsidRPr="005C4637" w:rsidRDefault="00130C96" w:rsidP="00130C96">
      <w:pPr>
        <w:pStyle w:val="Titre3"/>
      </w:pPr>
      <w:bookmarkStart w:id="658" w:name="_Toc225504237"/>
      <w:bookmarkStart w:id="659" w:name="_Toc225772326"/>
      <w:bookmarkStart w:id="660" w:name="_Toc226445381"/>
      <w:bookmarkStart w:id="661" w:name="_Toc233626194"/>
      <w:r w:rsidRPr="005C4637">
        <w:t>Emprunts à contracter prévus aux exercices antérieurs</w:t>
      </w:r>
      <w:bookmarkEnd w:id="658"/>
      <w:bookmarkEnd w:id="659"/>
      <w:bookmarkEnd w:id="660"/>
      <w:bookmarkEnd w:id="661"/>
    </w:p>
    <w:p w14:paraId="0A84AFE4" w14:textId="77777777" w:rsidR="00130C96" w:rsidRPr="005C4637" w:rsidRDefault="00130C96" w:rsidP="00130C96">
      <w:pPr>
        <w:pStyle w:val="Titre4"/>
        <w:ind w:left="360"/>
      </w:pPr>
      <w:r w:rsidRPr="005C4637">
        <w:t>Quand constate</w:t>
      </w:r>
      <w:r>
        <w:t>-</w:t>
      </w:r>
      <w:r w:rsidRPr="005C4637">
        <w:t>t</w:t>
      </w:r>
      <w:r>
        <w:t>-</w:t>
      </w:r>
      <w:r w:rsidRPr="005C4637">
        <w:t>on le droit à recette de l’emprunt ?</w:t>
      </w:r>
    </w:p>
    <w:p w14:paraId="1F5C7D4B" w14:textId="77777777" w:rsidR="00130C96" w:rsidRPr="005C4637" w:rsidRDefault="00130C96" w:rsidP="00130C96">
      <w:r w:rsidRPr="005C4637">
        <w:t>À la mise à disposition de l’emprunt par l’organisme de crédit (art. 42, §2, 3° RGCC). Si l’emprunt n’a pas été contracté dans les délais (et annulé au 31/12), de nouveaux crédits budgétaires de recettes doivent être revotés.</w:t>
      </w:r>
    </w:p>
    <w:p w14:paraId="3A3F7A51" w14:textId="77777777" w:rsidR="00130C96" w:rsidRPr="005C4637" w:rsidRDefault="00130C96" w:rsidP="00130C96">
      <w:pPr>
        <w:pStyle w:val="Titre3"/>
      </w:pPr>
      <w:bookmarkStart w:id="662" w:name="_Toc225504238"/>
      <w:bookmarkStart w:id="663" w:name="_Toc225772327"/>
      <w:bookmarkStart w:id="664" w:name="_Toc226445382"/>
      <w:bookmarkStart w:id="665" w:name="_Toc233626195"/>
      <w:r w:rsidRPr="005C4637">
        <w:t>Garanties d’emprunts</w:t>
      </w:r>
      <w:bookmarkEnd w:id="662"/>
      <w:bookmarkEnd w:id="663"/>
      <w:bookmarkEnd w:id="664"/>
      <w:bookmarkEnd w:id="665"/>
    </w:p>
    <w:p w14:paraId="304447A0" w14:textId="77777777" w:rsidR="00130C96" w:rsidRPr="005C4637" w:rsidRDefault="00130C96">
      <w:pPr>
        <w:pStyle w:val="Titre4"/>
        <w:numPr>
          <w:ilvl w:val="0"/>
          <w:numId w:val="160"/>
        </w:numPr>
        <w:tabs>
          <w:tab w:val="num" w:pos="360"/>
        </w:tabs>
        <w:ind w:left="0" w:firstLine="0"/>
      </w:pPr>
      <w:r w:rsidRPr="005C4637">
        <w:t>Quelle annexe joindre au budget ?</w:t>
      </w:r>
    </w:p>
    <w:p w14:paraId="467C8291" w14:textId="77777777" w:rsidR="00130C96" w:rsidRPr="005C4637" w:rsidRDefault="00130C96" w:rsidP="00130C96">
      <w:r w:rsidRPr="005C4637">
        <w:t>La liste complète des garanties accordées (bénéficiaire, prêteur, montant, durée, totaux…).</w:t>
      </w:r>
    </w:p>
    <w:p w14:paraId="31A9CC6B" w14:textId="77777777" w:rsidR="00130C96" w:rsidRPr="005C4637" w:rsidRDefault="00130C96">
      <w:pPr>
        <w:pStyle w:val="Titre4"/>
        <w:numPr>
          <w:ilvl w:val="0"/>
          <w:numId w:val="160"/>
        </w:numPr>
        <w:tabs>
          <w:tab w:val="num" w:pos="360"/>
        </w:tabs>
        <w:ind w:left="0" w:firstLine="0"/>
      </w:pPr>
      <w:r w:rsidRPr="005C4637">
        <w:t>Quel risque pour la commune ?</w:t>
      </w:r>
    </w:p>
    <w:p w14:paraId="5A13F33F" w14:textId="77777777" w:rsidR="00130C96" w:rsidRPr="005C4637" w:rsidRDefault="00130C96" w:rsidP="00130C96">
      <w:r w:rsidRPr="005C4637">
        <w:t>En cas de défaillance du débiteur principal, la commune peut devoir rembourser : imputer en ordinaire sous xxx/918</w:t>
      </w:r>
      <w:r w:rsidRPr="005C4637">
        <w:noBreakHyphen/>
        <w:t>01 ; ces montants entrent dans les ratios de charge de dette et d’endettement. Une grande prudence est recommandée.</w:t>
      </w:r>
    </w:p>
    <w:p w14:paraId="4A679193" w14:textId="77777777" w:rsidR="00130C96" w:rsidRPr="005C4637" w:rsidRDefault="00130C96">
      <w:pPr>
        <w:pStyle w:val="Titre4"/>
        <w:numPr>
          <w:ilvl w:val="0"/>
          <w:numId w:val="160"/>
        </w:numPr>
        <w:tabs>
          <w:tab w:val="num" w:pos="360"/>
        </w:tabs>
        <w:ind w:left="0" w:firstLine="0"/>
      </w:pPr>
      <w:r w:rsidRPr="005C4637">
        <w:t>Quel suivi européen ?</w:t>
      </w:r>
    </w:p>
    <w:p w14:paraId="02489E81" w14:textId="77777777" w:rsidR="00130C96" w:rsidRPr="005C4637" w:rsidRDefault="00130C96" w:rsidP="00130C96">
      <w:r w:rsidRPr="005C4637">
        <w:t>Eurostat (Commission européenne) suit ces garanties pour déterminer si elles doivent être intégrées dans la dette consolidée ; des données doivent être transmises par les États membres.</w:t>
      </w:r>
    </w:p>
    <w:p w14:paraId="36F57622" w14:textId="77777777" w:rsidR="00130C96" w:rsidRPr="005C4637" w:rsidRDefault="00130C96" w:rsidP="00130C96">
      <w:pPr>
        <w:pStyle w:val="Titre3"/>
      </w:pPr>
      <w:r w:rsidRPr="005C4637">
        <w:t xml:space="preserve"> </w:t>
      </w:r>
      <w:bookmarkStart w:id="666" w:name="_Toc225504239"/>
      <w:bookmarkStart w:id="667" w:name="_Toc225772328"/>
      <w:bookmarkStart w:id="668" w:name="_Toc226445383"/>
      <w:bookmarkStart w:id="669" w:name="_Toc233626196"/>
      <w:r w:rsidRPr="005C4637">
        <w:t>Rééchelonnements d’emprunts</w:t>
      </w:r>
      <w:bookmarkEnd w:id="666"/>
      <w:bookmarkEnd w:id="667"/>
      <w:bookmarkEnd w:id="668"/>
      <w:bookmarkEnd w:id="669"/>
    </w:p>
    <w:p w14:paraId="01C1C3D5" w14:textId="77777777" w:rsidR="00130C96" w:rsidRPr="005C4637" w:rsidRDefault="00130C96" w:rsidP="00130C96">
      <w:pPr>
        <w:pStyle w:val="Titre4"/>
        <w:ind w:left="720"/>
      </w:pPr>
      <w:r w:rsidRPr="005C4637">
        <w:t>Qu’entend</w:t>
      </w:r>
      <w:r>
        <w:t>-</w:t>
      </w:r>
      <w:r w:rsidRPr="005C4637">
        <w:t>on par rééchelonnement ?</w:t>
      </w:r>
    </w:p>
    <w:p w14:paraId="018285D2" w14:textId="77777777" w:rsidR="00130C96" w:rsidRPr="005C4637" w:rsidRDefault="00130C96" w:rsidP="00130C96">
      <w:r w:rsidRPr="005C4637">
        <w:t>Un étalement des charges sur une période plus longue, dans la limite de la durée de vie économique du bien (durée d’amortissement), conformément à l’art. 25 du RGCC et à son annexe. Les délibérations sont soumises à la tutelle spéciale d’approbation du Gouvernement wallon.</w:t>
      </w:r>
    </w:p>
    <w:p w14:paraId="075468B1" w14:textId="77777777" w:rsidR="00130C96" w:rsidRPr="005C4637" w:rsidRDefault="00130C96" w:rsidP="00130C96">
      <w:pPr>
        <w:pStyle w:val="Titre3"/>
      </w:pPr>
      <w:bookmarkStart w:id="670" w:name="_Toc225504240"/>
      <w:bookmarkStart w:id="671" w:name="_Toc225772329"/>
      <w:bookmarkStart w:id="672" w:name="_Toc226445384"/>
      <w:bookmarkStart w:id="673" w:name="_Toc233626197"/>
      <w:r w:rsidRPr="005C4637">
        <w:t>Charge des nouveaux emprunts</w:t>
      </w:r>
      <w:bookmarkEnd w:id="670"/>
      <w:bookmarkEnd w:id="671"/>
      <w:bookmarkEnd w:id="672"/>
      <w:bookmarkEnd w:id="673"/>
    </w:p>
    <w:p w14:paraId="4C40F688" w14:textId="77777777" w:rsidR="00130C96" w:rsidRPr="005C4637" w:rsidRDefault="00130C96">
      <w:pPr>
        <w:pStyle w:val="Titre4"/>
        <w:numPr>
          <w:ilvl w:val="0"/>
          <w:numId w:val="151"/>
        </w:numPr>
      </w:pPr>
      <w:r w:rsidRPr="005C4637">
        <w:t>Quelle prévision budgéter pour 202</w:t>
      </w:r>
      <w:r>
        <w:t>7</w:t>
      </w:r>
      <w:r w:rsidRPr="005C4637">
        <w:t xml:space="preserve"> ?</w:t>
      </w:r>
    </w:p>
    <w:p w14:paraId="733E9ADF" w14:textId="77777777" w:rsidR="00130C96" w:rsidRPr="005C4637" w:rsidRDefault="00130C96" w:rsidP="00130C96">
      <w:r w:rsidRPr="005C4637">
        <w:t>En fonction des taux d’intérêt anticipés (généralement pas d’amortissement la 1re année) : 6 mois d’intérêts pour les investissements non subsidiés ; 3 mois pour les investissements subsidiés conclus en N.</w:t>
      </w:r>
    </w:p>
    <w:p w14:paraId="43C85CC4" w14:textId="77777777" w:rsidR="00130C96" w:rsidRPr="005C4637" w:rsidRDefault="00130C96">
      <w:pPr>
        <w:pStyle w:val="Titre4"/>
        <w:numPr>
          <w:ilvl w:val="0"/>
          <w:numId w:val="151"/>
        </w:numPr>
      </w:pPr>
      <w:r w:rsidRPr="005C4637">
        <w:t>Quid des réinscriptions d’emprunts antérieurs non concrétisés ?</w:t>
      </w:r>
    </w:p>
    <w:p w14:paraId="789B9980" w14:textId="77777777" w:rsidR="00130C96" w:rsidRPr="005C4637" w:rsidRDefault="00130C96" w:rsidP="00130C96">
      <w:r w:rsidRPr="005C4637">
        <w:t>Prévoir une année complète d’intérêts, la constatation des droits pouvant intervenir à tout moment.</w:t>
      </w:r>
    </w:p>
    <w:p w14:paraId="045CBC97" w14:textId="77777777" w:rsidR="00130C96" w:rsidRPr="005C4637" w:rsidRDefault="00130C96">
      <w:pPr>
        <w:pStyle w:val="Titre4"/>
        <w:numPr>
          <w:ilvl w:val="0"/>
          <w:numId w:val="151"/>
        </w:numPr>
      </w:pPr>
      <w:r w:rsidRPr="005C4637">
        <w:lastRenderedPageBreak/>
        <w:t>Et pour un emprunt inscrit tardivement en MB de fin d’année ?</w:t>
      </w:r>
    </w:p>
    <w:p w14:paraId="74BB8E58" w14:textId="77777777" w:rsidR="00130C96" w:rsidRPr="005C4637" w:rsidRDefault="00130C96" w:rsidP="00130C96">
      <w:r w:rsidRPr="005C4637">
        <w:t>Tolérance : ne budgéter que la partie réaliste des intérêts restant sur l’année (ex. inscription en novembre → au pire 2 mois d’intérêts).</w:t>
      </w:r>
    </w:p>
    <w:p w14:paraId="5A50CD96" w14:textId="77777777" w:rsidR="00130C96" w:rsidRPr="005C4637" w:rsidRDefault="00130C96" w:rsidP="00130C96">
      <w:pPr>
        <w:pStyle w:val="Titre2"/>
      </w:pPr>
      <w:bookmarkStart w:id="674" w:name="_Toc225504241"/>
      <w:bookmarkStart w:id="675" w:name="_Toc225772330"/>
      <w:bookmarkStart w:id="676" w:name="_Toc226445385"/>
      <w:bookmarkStart w:id="677" w:name="_Toc233626198"/>
      <w:r w:rsidRPr="005C4637">
        <w:t>Prélèvements et provisions pour risques et charges</w:t>
      </w:r>
      <w:bookmarkEnd w:id="674"/>
      <w:bookmarkEnd w:id="675"/>
      <w:bookmarkEnd w:id="676"/>
      <w:bookmarkEnd w:id="677"/>
    </w:p>
    <w:p w14:paraId="68EBEB00" w14:textId="77777777" w:rsidR="00130C96" w:rsidRPr="005C4637" w:rsidRDefault="00130C96">
      <w:pPr>
        <w:pStyle w:val="Titre3"/>
        <w:numPr>
          <w:ilvl w:val="0"/>
          <w:numId w:val="209"/>
        </w:numPr>
      </w:pPr>
      <w:bookmarkStart w:id="678" w:name="_Toc225504242"/>
      <w:bookmarkStart w:id="679" w:name="_Toc225772331"/>
      <w:bookmarkStart w:id="680" w:name="_Toc226445386"/>
      <w:bookmarkStart w:id="681" w:name="_Toc233626199"/>
      <w:r w:rsidRPr="005C4637">
        <w:t>Prélèvements</w:t>
      </w:r>
      <w:bookmarkEnd w:id="678"/>
      <w:bookmarkEnd w:id="679"/>
      <w:bookmarkEnd w:id="680"/>
      <w:bookmarkEnd w:id="681"/>
    </w:p>
    <w:p w14:paraId="3DA35457" w14:textId="77777777" w:rsidR="00130C96" w:rsidRPr="005C4637" w:rsidRDefault="00130C96">
      <w:pPr>
        <w:pStyle w:val="Titre4"/>
        <w:numPr>
          <w:ilvl w:val="0"/>
          <w:numId w:val="152"/>
        </w:numPr>
        <w:ind w:left="786"/>
      </w:pPr>
      <w:r w:rsidRPr="005C4637">
        <w:t>Qu’entend-on par prélèvements et fonds de réserve au sens du RGCC ?</w:t>
      </w:r>
    </w:p>
    <w:p w14:paraId="3DE75251" w14:textId="77777777" w:rsidR="00130C96" w:rsidRPr="005C4637" w:rsidRDefault="00130C96" w:rsidP="00130C96">
      <w:r w:rsidRPr="005C4637">
        <w:t>Les prélèvements s’opèrent sur des fonds de réserve constitués exclusivement sur un boni, conformément à l’article 9 du Règlement général de la comptabilité communale (RGCC). Les fonds de réserve n’ont pas vocation à ne couvrir que le financement des dépenses extraordinaires : le recours à des fonds de réserve ordinaires peut utilement lisser des charges et des produits courants fortement fluctuants à moyen ou long terme.</w:t>
      </w:r>
    </w:p>
    <w:p w14:paraId="6E4DB68E" w14:textId="77777777" w:rsidR="00130C96" w:rsidRPr="005C4637" w:rsidRDefault="00130C96">
      <w:pPr>
        <w:pStyle w:val="Titre4"/>
        <w:numPr>
          <w:ilvl w:val="0"/>
          <w:numId w:val="152"/>
        </w:numPr>
        <w:ind w:left="786"/>
      </w:pPr>
      <w:r w:rsidRPr="005C4637">
        <w:t>Un fonds de réserve peut-il être rapatrié dans l’exercice propre du budget ?</w:t>
      </w:r>
    </w:p>
    <w:p w14:paraId="36614A37" w14:textId="77777777" w:rsidR="00130C96" w:rsidRPr="005C4637" w:rsidRDefault="00130C96" w:rsidP="00130C96">
      <w:r w:rsidRPr="005C4637">
        <w:t>Non. Un fonds de réserve n’est jamais rapatrié dans l’exercice propre d’un budget. Il est toujours rapatrié dans le résultat global, via la fonction 060.</w:t>
      </w:r>
    </w:p>
    <w:p w14:paraId="4D68F7B9" w14:textId="77777777" w:rsidR="00130C96" w:rsidRPr="005C4637" w:rsidRDefault="00130C96">
      <w:pPr>
        <w:pStyle w:val="Titre4"/>
        <w:numPr>
          <w:ilvl w:val="0"/>
          <w:numId w:val="152"/>
        </w:numPr>
        <w:ind w:left="786"/>
      </w:pPr>
      <w:r w:rsidRPr="005C4637">
        <w:t>Comment utiliser le boni du service extraordinaire dans le cadre des numéros de projet extraordinaire ?</w:t>
      </w:r>
    </w:p>
    <w:p w14:paraId="4EF44295" w14:textId="77777777" w:rsidR="00130C96" w:rsidRPr="005C4637" w:rsidRDefault="00130C96" w:rsidP="00130C96">
      <w:r w:rsidRPr="005C4637">
        <w:t>Lorsque l’on recourt aux numéros de projet extraordinaire, l’utilisation du boni du service extraordinaire — pour autant qu’elle soit dûment justifiée — doit faire l’objet d’un transfert préalable vers le fonds de réserve extraordinaire, afin d’en permettre la comptabilisation. La même règle s’applique aux transferts en provenance de l’ordinaire. Ces modalités ne modifient en rien les règles classiques de comptabilité relatives aux prélèvements et aux transferts.</w:t>
      </w:r>
    </w:p>
    <w:p w14:paraId="0BAB27D2" w14:textId="77777777" w:rsidR="00130C96" w:rsidRPr="005C4637" w:rsidRDefault="00130C96" w:rsidP="00130C96">
      <w:pPr>
        <w:pStyle w:val="Titre3"/>
      </w:pPr>
      <w:bookmarkStart w:id="682" w:name="_Toc225504243"/>
      <w:bookmarkStart w:id="683" w:name="_Toc225772332"/>
      <w:bookmarkStart w:id="684" w:name="_Toc226445387"/>
      <w:bookmarkStart w:id="685" w:name="_Toc233626200"/>
      <w:r w:rsidRPr="005C4637">
        <w:t>Provisions pour risques et charges</w:t>
      </w:r>
      <w:bookmarkEnd w:id="682"/>
      <w:bookmarkEnd w:id="683"/>
      <w:bookmarkEnd w:id="684"/>
      <w:bookmarkEnd w:id="685"/>
    </w:p>
    <w:p w14:paraId="40236706" w14:textId="77777777" w:rsidR="00130C96" w:rsidRPr="005C4637" w:rsidRDefault="00130C96">
      <w:pPr>
        <w:pStyle w:val="Titre4"/>
        <w:numPr>
          <w:ilvl w:val="0"/>
          <w:numId w:val="153"/>
        </w:numPr>
        <w:ind w:left="786"/>
      </w:pPr>
      <w:r w:rsidRPr="005C4637">
        <w:t>Quel est le fondement juridique permettant la constitution et l’utilisation de provisions pour risques et charges ?</w:t>
      </w:r>
    </w:p>
    <w:p w14:paraId="293432D0" w14:textId="77777777" w:rsidR="00130C96" w:rsidRPr="005C4637" w:rsidRDefault="00130C96" w:rsidP="00130C96">
      <w:r w:rsidRPr="005C4637">
        <w:t>Les articles 1er, 15°, 3, 8 et 9 du RGCC autorisent l’usage de fonctions bénéficiaires pour constituer et utiliser des provisions pour risques et charges. Concrètement, pour chaque fonction, il convient de créer une nature ‘prélèvement pour provisions’ avec le code économique 958-01 pour la dotation (code totalisateur 78), et d’utiliser les codes économiques 998-01 pour l’utilisation et 998-02 pour la reprise (code totalisateur 68).</w:t>
      </w:r>
    </w:p>
    <w:p w14:paraId="528E230A" w14:textId="77777777" w:rsidR="00130C96" w:rsidRPr="005C4637" w:rsidRDefault="00130C96">
      <w:pPr>
        <w:pStyle w:val="Titre4"/>
        <w:numPr>
          <w:ilvl w:val="0"/>
          <w:numId w:val="153"/>
        </w:numPr>
        <w:ind w:left="786"/>
      </w:pPr>
      <w:r w:rsidRPr="005C4637">
        <w:t>Comment le RGCC (art. 1, 15°) définit-il une provision pour risques et charges ?</w:t>
      </w:r>
    </w:p>
    <w:p w14:paraId="31E3096E" w14:textId="77777777" w:rsidR="00130C96" w:rsidRPr="005C4637" w:rsidRDefault="00130C96" w:rsidP="00130C96">
      <w:r w:rsidRPr="005C4637">
        <w:t>Il s’agit d’un mécanisme de planification de certaines dépenses futures dans la comptabilité communale : des dépenses relevant d’un exercice ultérieur, certaines ou à tout le moins très probables quant à leur principe, circonscrites quant à leur nature ou leur objet, mais indéterminées quant à leur montant. La provision permet le rapatriement et l’inscription des recettes nécessaires à l’exercice propre d’un budget ultérieur, dans la fonction concernée.</w:t>
      </w:r>
    </w:p>
    <w:p w14:paraId="6DED8FC8" w14:textId="77777777" w:rsidR="00130C96" w:rsidRPr="005C4637" w:rsidRDefault="00130C96">
      <w:pPr>
        <w:pStyle w:val="Titre4"/>
        <w:numPr>
          <w:ilvl w:val="0"/>
          <w:numId w:val="153"/>
        </w:numPr>
        <w:ind w:left="786"/>
      </w:pPr>
      <w:r w:rsidRPr="005C4637">
        <w:lastRenderedPageBreak/>
        <w:t>La notion de risque peut-elle couvrir une perte de recettes ?</w:t>
      </w:r>
    </w:p>
    <w:p w14:paraId="4DB1EF28" w14:textId="77777777" w:rsidR="00130C96" w:rsidRPr="005C4637" w:rsidRDefault="00130C96" w:rsidP="00130C96">
      <w:r w:rsidRPr="005C4637">
        <w:t>Oui. La notion de ‘risque’ est entendue de manière large et peut viser les recettes : la commune peut constituer des provisions pour anticiper une perte de recettes au service ordinaire.</w:t>
      </w:r>
    </w:p>
    <w:p w14:paraId="3E30A2FB" w14:textId="77777777" w:rsidR="00130C96" w:rsidRPr="005C4637" w:rsidRDefault="00130C96">
      <w:pPr>
        <w:pStyle w:val="Titre4"/>
        <w:numPr>
          <w:ilvl w:val="0"/>
          <w:numId w:val="153"/>
        </w:numPr>
        <w:ind w:left="786"/>
      </w:pPr>
      <w:r w:rsidRPr="005C4637">
        <w:t>Une provision peut-elle financer l’acquisition d’une immobilisation ?</w:t>
      </w:r>
    </w:p>
    <w:p w14:paraId="6AE93BAA" w14:textId="77777777" w:rsidR="00130C96" w:rsidRPr="005C4637" w:rsidRDefault="00130C96" w:rsidP="00130C96">
      <w:r w:rsidRPr="005C4637">
        <w:t>Non. Le RGCC n’envisage que deux catégories : provisions pour risques et provisions pour charges. Une provision destinée à couvrir l’acquisition d’une immobilisation n’entre pas dans ce champ, car les opérations visées par une provision ne peuvent pas avoir pour contrepartie la valeur du patrimoine communal.</w:t>
      </w:r>
    </w:p>
    <w:p w14:paraId="10A2E9B6" w14:textId="77777777" w:rsidR="00130C96" w:rsidRPr="005C4637" w:rsidRDefault="00130C96">
      <w:pPr>
        <w:pStyle w:val="Titre4"/>
        <w:numPr>
          <w:ilvl w:val="0"/>
          <w:numId w:val="153"/>
        </w:numPr>
        <w:ind w:left="786"/>
      </w:pPr>
      <w:r w:rsidRPr="005C4637">
        <w:t>Quelles sont les conditions cumulatives pour constituer une provision ?</w:t>
      </w:r>
    </w:p>
    <w:p w14:paraId="54ECB5D2" w14:textId="77777777" w:rsidR="00130C96" w:rsidRPr="005C4637" w:rsidRDefault="00130C96" w:rsidP="00130C96">
      <w:r w:rsidRPr="005C4637">
        <w:t>Les provisions doivent viser des risques ou charges : (1) futurs, certains ou très probables ; (2) nettement précisés quant à leur nature ; (3) indéterminés quant à leur montant. En pratique : la charge/risque doit être individualisé, son montant probable évalué de façon suffisamment approximative (non arbitraire), et l’événement doit être probable — au sens de ‘forte chance de se produire’, plus strict que ‘possible’.</w:t>
      </w:r>
    </w:p>
    <w:p w14:paraId="180816CD" w14:textId="77777777" w:rsidR="00130C96" w:rsidRPr="005C4637" w:rsidRDefault="00130C96">
      <w:pPr>
        <w:pStyle w:val="Titre4"/>
        <w:numPr>
          <w:ilvl w:val="0"/>
          <w:numId w:val="153"/>
        </w:numPr>
        <w:ind w:left="786"/>
      </w:pPr>
      <w:r w:rsidRPr="005C4637">
        <w:t>Quelles sont les exclusions et confusions à éviter ?</w:t>
      </w:r>
    </w:p>
    <w:p w14:paraId="095F8454" w14:textId="77777777" w:rsidR="00130C96" w:rsidRPr="005C4637" w:rsidRDefault="00130C96" w:rsidP="00130C96">
      <w:r w:rsidRPr="005C4637">
        <w:t>Les provisions n’ont pas vocation à financer l’augmentation future de charges annuelles récurrentes en l’absence d’un événement justifiant la provision. Lorsque la charge/risque est certain et le montant déterminé ou estimable avec précision, il s’agit d’une dette et non d’une provision.</w:t>
      </w:r>
    </w:p>
    <w:p w14:paraId="3064336E" w14:textId="77777777" w:rsidR="00130C96" w:rsidRPr="005C4637" w:rsidRDefault="00130C96">
      <w:pPr>
        <w:pStyle w:val="Titre4"/>
        <w:numPr>
          <w:ilvl w:val="0"/>
          <w:numId w:val="153"/>
        </w:numPr>
        <w:ind w:left="786"/>
      </w:pPr>
      <w:r w:rsidRPr="005C4637">
        <w:t>Combien de temps conserver une provision et comment la solder ?</w:t>
      </w:r>
    </w:p>
    <w:p w14:paraId="0F15BD2F" w14:textId="77777777" w:rsidR="00130C96" w:rsidRPr="005C4637" w:rsidRDefault="00130C96" w:rsidP="00130C96">
      <w:r w:rsidRPr="005C4637">
        <w:t>Compte tenu de leur caractère provisoire, les provisions ne sont maintenues qu’aussi longtemps que le caractère futur certain ou très probable reste justifié. Lorsqu’elles deviennent sans objet (réalisation ou disparition du risque/charge), elles doivent être soldées par leur reprise totale.</w:t>
      </w:r>
    </w:p>
    <w:p w14:paraId="50076CB8" w14:textId="77777777" w:rsidR="00130C96" w:rsidRPr="005C4637" w:rsidRDefault="00130C96">
      <w:pPr>
        <w:pStyle w:val="Titre4"/>
        <w:numPr>
          <w:ilvl w:val="0"/>
          <w:numId w:val="153"/>
        </w:numPr>
        <w:ind w:left="786"/>
      </w:pPr>
      <w:r w:rsidRPr="005C4637">
        <w:t>Peut-on constituer et utiliser une provision au cours du même exercice ? Peut-on mélanger prélèvements et provisions ?</w:t>
      </w:r>
    </w:p>
    <w:p w14:paraId="47E2B4F9" w14:textId="77777777" w:rsidR="00130C96" w:rsidRPr="005C4637" w:rsidRDefault="00130C96" w:rsidP="00130C96">
      <w:r w:rsidRPr="005C4637">
        <w:t>Non. L’article 3, §2 du RGCC interdit de constituer une provision et de l’utiliser au cours du même exercice. Il est également interdit de confondre prélèvements et provisions : cette confusion altère la nature des crédits, en infraction aux articles 7 et 8 du RGCC.</w:t>
      </w:r>
    </w:p>
    <w:p w14:paraId="5F457E09" w14:textId="77777777" w:rsidR="00130C96" w:rsidRPr="005C4637" w:rsidRDefault="00130C96">
      <w:pPr>
        <w:pStyle w:val="Titre4"/>
        <w:numPr>
          <w:ilvl w:val="0"/>
          <w:numId w:val="153"/>
        </w:numPr>
        <w:ind w:left="786"/>
      </w:pPr>
      <w:r w:rsidRPr="005C4637">
        <w:t>Dans quelles conditions budgétaires peut-on inscrire des crédits pour constituer provisions et fonds de réserve ?</w:t>
      </w:r>
    </w:p>
    <w:p w14:paraId="08010759" w14:textId="77777777" w:rsidR="00130C96" w:rsidRPr="005C4637" w:rsidRDefault="00130C96" w:rsidP="00130C96">
      <w:r w:rsidRPr="005C4637">
        <w:t>L’article 9, 4°, a) du RGCC prévoit que lorsque les disponibilités budgétaires sont suffisantes, le conseil communal peut inscrire au budget des crédits afin d’affecter ces disponibilités à des provisions ou à des fonds de réserve ordinaires et extraordinaires. Attention : la constitution d’une provision ne peut pas provoquer un mali à l’exercice propre.</w:t>
      </w:r>
    </w:p>
    <w:p w14:paraId="2A83A046" w14:textId="77777777" w:rsidR="00130C96" w:rsidRPr="005C4637" w:rsidRDefault="00130C96">
      <w:pPr>
        <w:pStyle w:val="Titre4"/>
        <w:numPr>
          <w:ilvl w:val="0"/>
          <w:numId w:val="153"/>
        </w:numPr>
        <w:ind w:left="786"/>
      </w:pPr>
      <w:r w:rsidRPr="005C4637">
        <w:t>Sur combien d’exercices s’étendent la constitution et l’utilisation des provisions ?</w:t>
      </w:r>
    </w:p>
    <w:p w14:paraId="16A86716" w14:textId="77777777" w:rsidR="00130C96" w:rsidRPr="005C4637" w:rsidRDefault="00130C96" w:rsidP="00130C96">
      <w:r w:rsidRPr="005C4637">
        <w:t xml:space="preserve">Elles portent sur l’exercice proprement dit de plusieurs budgets non nécessairement successifs. Il est interdit (et sans intérêt) de constituer et d’utiliser une provision au cours du </w:t>
      </w:r>
      <w:r w:rsidRPr="005C4637">
        <w:lastRenderedPageBreak/>
        <w:t>même exercice. Il est illégal de mélanger prélèvements et provisions, par exemple en constituant un fonds par prélèvement (provenance globale) et en le rapatriant comme une provision à l’exercice propre.</w:t>
      </w:r>
    </w:p>
    <w:p w14:paraId="55877FAC" w14:textId="77777777" w:rsidR="00130C96" w:rsidRPr="005C4637" w:rsidRDefault="00130C96">
      <w:pPr>
        <w:pStyle w:val="Titre4"/>
        <w:numPr>
          <w:ilvl w:val="0"/>
          <w:numId w:val="153"/>
        </w:numPr>
        <w:ind w:left="786"/>
      </w:pPr>
      <w:r w:rsidRPr="005C4637">
        <w:t>Quelles précautions prendre pour ne pas masquer un déséquilibre structurel ?</w:t>
      </w:r>
    </w:p>
    <w:p w14:paraId="4A39CAAB" w14:textId="77777777" w:rsidR="00130C96" w:rsidRPr="005C4637" w:rsidRDefault="00130C96" w:rsidP="00130C96">
      <w:r w:rsidRPr="005C4637">
        <w:t>Les communes sont invitées à une grande prudence : l’équilibre budgétaire ne peut pas être artificiellement assuré par des recettes de provisions si les dépenses courantes excèdent les recettes ordinaires. Avant d’y recourir, il faut évaluer l’opportunité d’utiliser ces moyens pour soutenir une trajectoire budgétaire durable (réduction de certaines dépenses ou mobilisation de nouvelles recettes à plus long terme).</w:t>
      </w:r>
    </w:p>
    <w:p w14:paraId="2620CC27" w14:textId="77777777" w:rsidR="00130C96" w:rsidRPr="005C4637" w:rsidRDefault="00130C96">
      <w:pPr>
        <w:pStyle w:val="Titre4"/>
        <w:numPr>
          <w:ilvl w:val="0"/>
          <w:numId w:val="153"/>
        </w:numPr>
        <w:ind w:left="786"/>
      </w:pPr>
      <w:r w:rsidRPr="005C4637">
        <w:t>Peut-on constituer des provisions directement au compte, sans inscription préalable au budget ?</w:t>
      </w:r>
    </w:p>
    <w:p w14:paraId="5344B953" w14:textId="77777777" w:rsidR="00130C96" w:rsidRPr="005C4637" w:rsidRDefault="00130C96" w:rsidP="00130C96">
      <w:r w:rsidRPr="005C4637">
        <w:t>Oui. À partir des prochains comptes, il est autorisé de constituer des provisions directement au compte, sans inscription préalable au budget, pour tenir compte d’imprévus en cours d’exercice. Deux conditions impératives : (1) la constitution de la provision ne peut entraîner un mali ni à l’exercice propre ni à l’exercice global ; (2) l’inscription de cette provision doit être explicitement mentionnée dans la délibération par laquelle le conseil communal arrête le compte.</w:t>
      </w:r>
    </w:p>
    <w:p w14:paraId="0E869818" w14:textId="77777777" w:rsidR="00130C96" w:rsidRPr="005C4637" w:rsidRDefault="00130C96" w:rsidP="00130C96">
      <w:pPr>
        <w:pStyle w:val="Titre2"/>
      </w:pPr>
      <w:bookmarkStart w:id="686" w:name="_Toc225504244"/>
      <w:bookmarkStart w:id="687" w:name="_Toc225772333"/>
      <w:bookmarkStart w:id="688" w:name="_Toc226445388"/>
      <w:bookmarkStart w:id="689" w:name="_Toc233626201"/>
      <w:r w:rsidRPr="005C4637">
        <w:t>Délégation</w:t>
      </w:r>
      <w:bookmarkEnd w:id="686"/>
      <w:bookmarkEnd w:id="687"/>
      <w:bookmarkEnd w:id="688"/>
      <w:bookmarkEnd w:id="689"/>
    </w:p>
    <w:p w14:paraId="5C859C9F" w14:textId="77777777" w:rsidR="00130C96" w:rsidRPr="005C4637" w:rsidRDefault="00130C96" w:rsidP="00130C96">
      <w:pPr>
        <w:pStyle w:val="Titre4"/>
        <w:ind w:left="720"/>
      </w:pPr>
      <w:r w:rsidRPr="005C4637">
        <w:t>Quelles sont les bases juridiques en matière de délégation ?</w:t>
      </w:r>
    </w:p>
    <w:p w14:paraId="0CD659AE" w14:textId="77777777" w:rsidR="00130C96" w:rsidRPr="005C4637" w:rsidRDefault="00130C96" w:rsidP="00130C96">
      <w:r w:rsidRPr="005C4637">
        <w:t xml:space="preserve">Pour les possibilités de délégation, il convient de se référer aux articles L1222-3 à L1222-8 du Code de la Démocratie Locale et de la Décentralisation (CDLD), ainsi qu’aux éléments issus </w:t>
      </w:r>
      <w:r>
        <w:t>du</w:t>
      </w:r>
      <w:r w:rsidRPr="005C4637">
        <w:t xml:space="preserve"> décret-programme </w:t>
      </w:r>
      <w:r>
        <w:t>du 26 mars 2026</w:t>
      </w:r>
      <w:r>
        <w:rPr>
          <w:rStyle w:val="Appelnotedebasdep"/>
        </w:rPr>
        <w:footnoteReference w:id="3"/>
      </w:r>
      <w:r>
        <w:t>.</w:t>
      </w:r>
      <w:r w:rsidRPr="005C4637">
        <w:t xml:space="preserve"> </w:t>
      </w:r>
    </w:p>
    <w:p w14:paraId="5254F5C7" w14:textId="77777777" w:rsidR="00FE4509" w:rsidRPr="005C4637" w:rsidRDefault="00FE4509" w:rsidP="00FE4509">
      <w:pPr>
        <w:pStyle w:val="Titre1"/>
      </w:pPr>
      <w:bookmarkStart w:id="690" w:name="_Toc225504245"/>
      <w:bookmarkStart w:id="691" w:name="_Toc225772334"/>
      <w:bookmarkStart w:id="692" w:name="_Toc226445389"/>
      <w:bookmarkStart w:id="693" w:name="_Toc233626202"/>
      <w:r w:rsidRPr="005C4637">
        <w:t>Service extraordinaire</w:t>
      </w:r>
      <w:bookmarkEnd w:id="690"/>
      <w:bookmarkEnd w:id="691"/>
      <w:bookmarkEnd w:id="692"/>
      <w:bookmarkEnd w:id="693"/>
    </w:p>
    <w:p w14:paraId="2065A857" w14:textId="77777777" w:rsidR="00FE4509" w:rsidRPr="005C4637" w:rsidRDefault="00FE4509">
      <w:pPr>
        <w:pStyle w:val="Titre2"/>
        <w:numPr>
          <w:ilvl w:val="0"/>
          <w:numId w:val="156"/>
        </w:numPr>
      </w:pPr>
      <w:bookmarkStart w:id="694" w:name="_Toc225504246"/>
      <w:bookmarkStart w:id="695" w:name="_Toc225772335"/>
      <w:bookmarkStart w:id="696" w:name="_Toc226445390"/>
      <w:bookmarkStart w:id="697" w:name="_Toc233626203"/>
      <w:r w:rsidRPr="005C4637">
        <w:t>Généralités</w:t>
      </w:r>
      <w:bookmarkEnd w:id="694"/>
      <w:bookmarkEnd w:id="695"/>
      <w:bookmarkEnd w:id="696"/>
      <w:bookmarkEnd w:id="697"/>
    </w:p>
    <w:p w14:paraId="76F7CB4C" w14:textId="77777777" w:rsidR="00FE4509" w:rsidRPr="005C4637" w:rsidRDefault="00FE4509">
      <w:pPr>
        <w:pStyle w:val="Titre4"/>
        <w:numPr>
          <w:ilvl w:val="0"/>
          <w:numId w:val="210"/>
        </w:numPr>
      </w:pPr>
      <w:r w:rsidRPr="005C4637">
        <w:t>Les investissements en énergies renouvelables sont-ils encouragés ? Sous quelles formes ?</w:t>
      </w:r>
    </w:p>
    <w:p w14:paraId="1B3F1D92" w14:textId="77777777" w:rsidR="00FE4509" w:rsidRPr="005C4637" w:rsidRDefault="00FE4509" w:rsidP="00FE4509">
      <w:r w:rsidRPr="005C4637">
        <w:t>Oui. Les investissements dans les énergies renouvelables sont encouragés, y compris au travers de partenariats public</w:t>
      </w:r>
      <w:r>
        <w:t>-</w:t>
      </w:r>
      <w:r w:rsidRPr="005C4637">
        <w:t>privé (PPP), pour autant qu’ils s’inscrivent dans une stratégie d’investissement responsable et compatible avec l’équilibre budgétaire.</w:t>
      </w:r>
    </w:p>
    <w:p w14:paraId="5F5E205C" w14:textId="77777777" w:rsidR="00FE4509" w:rsidRPr="005C4637" w:rsidRDefault="00FE4509">
      <w:pPr>
        <w:pStyle w:val="Titre4"/>
        <w:numPr>
          <w:ilvl w:val="0"/>
          <w:numId w:val="210"/>
        </w:numPr>
      </w:pPr>
      <w:r w:rsidRPr="005C4637">
        <w:t>Peut-on voter une modification budgétaire extraordinaire sans modification budgétaire ordinaire ?</w:t>
      </w:r>
    </w:p>
    <w:p w14:paraId="390C5DB6" w14:textId="77777777" w:rsidR="00FE4509" w:rsidRPr="005C4637" w:rsidRDefault="00FE4509" w:rsidP="00FE4509">
      <w:r w:rsidRPr="005C4637">
        <w:t>Par référence aux articles 7 et 15 du RGCC, il est illégal de ne voter qu’une MB extraordinaire isolée, sauf si cette MB extraordinaire n’a strictement aucun impact sur le service ordinaire.</w:t>
      </w:r>
    </w:p>
    <w:p w14:paraId="2A73E55C" w14:textId="77777777" w:rsidR="00FE4509" w:rsidRPr="005C4637" w:rsidRDefault="00FE4509" w:rsidP="00FE4509">
      <w:pPr>
        <w:pStyle w:val="Titre2"/>
      </w:pPr>
      <w:bookmarkStart w:id="698" w:name="_Toc225504247"/>
      <w:bookmarkStart w:id="699" w:name="_Toc225772336"/>
      <w:bookmarkStart w:id="700" w:name="_Toc226445391"/>
      <w:bookmarkStart w:id="701" w:name="_Toc233626204"/>
      <w:r w:rsidRPr="005C4637">
        <w:lastRenderedPageBreak/>
        <w:t>Ratios de charge de dette et d’endettement</w:t>
      </w:r>
      <w:bookmarkEnd w:id="698"/>
      <w:bookmarkEnd w:id="699"/>
      <w:bookmarkEnd w:id="700"/>
      <w:bookmarkEnd w:id="701"/>
    </w:p>
    <w:p w14:paraId="3B32D6E2" w14:textId="77777777" w:rsidR="00FE4509" w:rsidRPr="005C4637" w:rsidRDefault="00FE4509">
      <w:pPr>
        <w:pStyle w:val="Titre4"/>
        <w:numPr>
          <w:ilvl w:val="0"/>
          <w:numId w:val="211"/>
        </w:numPr>
      </w:pPr>
      <w:r w:rsidRPr="005C4637">
        <w:t>Quel est le cadre de pilotage de l’endettement depuis 2023 ?</w:t>
      </w:r>
    </w:p>
    <w:p w14:paraId="286A7B7D" w14:textId="77777777" w:rsidR="00FE4509" w:rsidRPr="005C4637" w:rsidRDefault="00FE4509" w:rsidP="00FE4509">
      <w:r w:rsidRPr="005C4637">
        <w:t>Depuis 2023, les communes doivent surveiller étroitement l’endettement et stabiliser la charge de la dette, notamment la part des dépenses de dette dans les recettes ordinaires. La ‘balise d’emprunts’ est abandonnée au profit de ratios d’endettement afin de garantir un niveau d’endettement maîtrisé et la préservation de l’équilibre budgétaire à moyen/long terme.</w:t>
      </w:r>
    </w:p>
    <w:p w14:paraId="181026A8" w14:textId="77777777" w:rsidR="00FE4509" w:rsidRPr="005C4637" w:rsidRDefault="00FE4509">
      <w:pPr>
        <w:pStyle w:val="Titre4"/>
        <w:numPr>
          <w:ilvl w:val="0"/>
          <w:numId w:val="170"/>
        </w:numPr>
        <w:tabs>
          <w:tab w:val="num" w:pos="360"/>
        </w:tabs>
        <w:ind w:left="0" w:firstLine="0"/>
      </w:pPr>
      <w:r w:rsidRPr="005C4637">
        <w:t>Quels sont les seuils à respecter et où trouver le canevas de calcul ?</w:t>
      </w:r>
    </w:p>
    <w:p w14:paraId="3EA7B002" w14:textId="77777777" w:rsidR="00FE4509" w:rsidRPr="005C4637" w:rsidRDefault="00FE4509" w:rsidP="00FE4509">
      <w:r w:rsidRPr="005C4637">
        <w:t>Seuils de référence : 125 % pour le ratio du volume de la dette ; 17,5 % pour le ratio des charges financières. Un canevas de calcul est mis à disposition sur le Portail des Pouvoirs locaux pour faciliter l’intégration des ratios aux documents budgétaires.</w:t>
      </w:r>
    </w:p>
    <w:p w14:paraId="42180050" w14:textId="77777777" w:rsidR="00FE4509" w:rsidRPr="005C4637" w:rsidRDefault="00FE4509">
      <w:pPr>
        <w:pStyle w:val="Titre4"/>
        <w:numPr>
          <w:ilvl w:val="0"/>
          <w:numId w:val="170"/>
        </w:numPr>
        <w:tabs>
          <w:tab w:val="num" w:pos="360"/>
        </w:tabs>
        <w:ind w:left="0" w:firstLine="0"/>
      </w:pPr>
      <w:r w:rsidRPr="005C4637">
        <w:t>Comment interpréter le ratio du volume de la dette ?</w:t>
      </w:r>
    </w:p>
    <w:p w14:paraId="2DD0D0C2" w14:textId="500592E7" w:rsidR="00FE4509" w:rsidRPr="005C4637" w:rsidRDefault="00FE4509" w:rsidP="00FE4509">
      <w:r w:rsidRPr="005C4637">
        <w:t xml:space="preserve">Ce ratio mesure la soutenabilité de la dette en rapportant l’endettement à la capacité structurelle de la commune à générer des recettes ordinaires. </w:t>
      </w:r>
      <w:r w:rsidR="005D6081" w:rsidRPr="005D6081">
        <w:t xml:space="preserve">Il permet de déterminer si la commune est en mesure de faire face, à moyen et long terme, à des obligations financières sans compromettre son équilibre budgétaire ordinaire. </w:t>
      </w:r>
      <w:r w:rsidR="0075468B" w:rsidRPr="0075468B">
        <w:t>Ce ratio s’inscrit dans une logique de surveillance financière et d’alerte :</w:t>
      </w:r>
      <w:r w:rsidR="0075468B">
        <w:t xml:space="preserve"> p</w:t>
      </w:r>
      <w:r w:rsidRPr="005C4637">
        <w:t>lus il est élevé, plus la dette pèse sur les recettes, indiquant un risque de surendettement et une marge de manœuvre réduite.</w:t>
      </w:r>
    </w:p>
    <w:p w14:paraId="3EE57832" w14:textId="77777777" w:rsidR="00FE4509" w:rsidRPr="005C4637" w:rsidRDefault="00FE4509">
      <w:pPr>
        <w:pStyle w:val="Titre4"/>
        <w:numPr>
          <w:ilvl w:val="0"/>
          <w:numId w:val="170"/>
        </w:numPr>
        <w:tabs>
          <w:tab w:val="num" w:pos="360"/>
        </w:tabs>
        <w:ind w:left="0" w:firstLine="0"/>
      </w:pPr>
      <w:r w:rsidRPr="005C4637">
        <w:t>Que mesure le ratio des charges financières ?</w:t>
      </w:r>
    </w:p>
    <w:p w14:paraId="0440E837" w14:textId="77777777" w:rsidR="00FE4509" w:rsidRPr="005C4637" w:rsidRDefault="00FE4509" w:rsidP="00FE4509">
      <w:r w:rsidRPr="005C4637">
        <w:t>Il évalue le poids budgétaire réel de la dette sur les recettes propres en se concentrant sur le flux annuel de charge (intérêts et amortissements) à charge de la commune, après correction des remboursements pris en charge par l’autorité supérieure. Il apprécie la capacité à honorer les engagements annuels tout en finançant le fonctionnement ordinaire.</w:t>
      </w:r>
    </w:p>
    <w:p w14:paraId="4919357C" w14:textId="77777777" w:rsidR="00FE4509" w:rsidRPr="005C4637" w:rsidRDefault="00FE4509">
      <w:pPr>
        <w:pStyle w:val="Titre4"/>
        <w:numPr>
          <w:ilvl w:val="0"/>
          <w:numId w:val="170"/>
        </w:numPr>
        <w:tabs>
          <w:tab w:val="num" w:pos="360"/>
        </w:tabs>
        <w:ind w:left="0" w:firstLine="0"/>
      </w:pPr>
      <w:r w:rsidRPr="005C4637">
        <w:t>Existe-t-il une dérogation pour les investissements dits productifs ?</w:t>
      </w:r>
    </w:p>
    <w:p w14:paraId="6725B607" w14:textId="77777777" w:rsidR="00FE4509" w:rsidRPr="005C4637" w:rsidRDefault="00FE4509" w:rsidP="00FE4509">
      <w:r w:rsidRPr="005C4637">
        <w:t>Oui. Lorsqu’un investissement induit des économies structurelles de fonctionnement au moins équivalentes à la charge de dette de l’emprunt qui le finance (en année pleine), la commune peut déroger en neutralisant la charge d’intérêt dans le calcul du ratio des charges financières. Concrètement, le numérateur du ratio peut être diminué d’un montant équivalent aux intérêts de l’emprunt relatif au projet productif. Cette neutralisation est conditionnée à une évaluation financière ex ante précise et documentée, intégrée au dossier soumis au Conseil communal et annexée au budget ou à la MB concernée.</w:t>
      </w:r>
    </w:p>
    <w:p w14:paraId="2CC51E89" w14:textId="77777777" w:rsidR="00FE4509" w:rsidRPr="005C4637" w:rsidRDefault="00FE4509">
      <w:pPr>
        <w:pStyle w:val="Titre4"/>
        <w:numPr>
          <w:ilvl w:val="0"/>
          <w:numId w:val="170"/>
        </w:numPr>
        <w:tabs>
          <w:tab w:val="num" w:pos="360"/>
        </w:tabs>
        <w:ind w:left="0" w:firstLine="0"/>
      </w:pPr>
      <w:r w:rsidRPr="005C4637">
        <w:t>Que faire si le ratio des charges financières dépasse 17,5 % ?</w:t>
      </w:r>
    </w:p>
    <w:p w14:paraId="21312824" w14:textId="77777777" w:rsidR="00FE4509" w:rsidRPr="005C4637" w:rsidRDefault="00FE4509" w:rsidP="00FE4509">
      <w:r w:rsidRPr="005C4637">
        <w:t xml:space="preserve">Joindre au document budgétaire suivant (budget initial ou MB) une trajectoire pluriannuelle (au moins cinq exercices) de l’évolution de la charge de la dette, démontrant un retour progressif sous 17,5 % sans compromettre l’équilibre structurel de l’ordinaire. Le tableau doit présenter, pour chacun des cinq exercices : (1) les prévisions de recettes ordinaires propres (issues des tableaux pluriannuels, le document </w:t>
      </w:r>
      <w:r>
        <w:t xml:space="preserve"> eComptes</w:t>
      </w:r>
      <w:r w:rsidRPr="005C4637">
        <w:t xml:space="preserve"> servant de base à amender selon la stratégie communale) ; (2) la charge de dette échue, ventilée emprunt par emprunt (intérêts et amortissements) sur base des données bancaires ; (3) la nouvelle charge de dette </w:t>
      </w:r>
      <w:r w:rsidRPr="005C4637">
        <w:lastRenderedPageBreak/>
        <w:t>anticipée liée aux investissements planifiés (calendrier, durée, taux, mode de remboursement, etc.).</w:t>
      </w:r>
    </w:p>
    <w:p w14:paraId="75DDB3A8" w14:textId="77777777" w:rsidR="00FE4509" w:rsidRPr="005C4637" w:rsidRDefault="00FE4509">
      <w:pPr>
        <w:pStyle w:val="Titre4"/>
        <w:numPr>
          <w:ilvl w:val="0"/>
          <w:numId w:val="170"/>
        </w:numPr>
        <w:tabs>
          <w:tab w:val="num" w:pos="360"/>
        </w:tabs>
        <w:ind w:left="0" w:firstLine="0"/>
      </w:pPr>
      <w:r w:rsidRPr="005C4637">
        <w:t>Quels tableaux joindre et quel périmètre d’entités consolider ?</w:t>
      </w:r>
    </w:p>
    <w:p w14:paraId="55423847" w14:textId="77777777" w:rsidR="00FE4509" w:rsidRPr="005C4637" w:rsidRDefault="00FE4509" w:rsidP="00FE4509">
      <w:r w:rsidRPr="005C4637">
        <w:t>Les tableaux ad hoc (modèles disponibles sur le Portail des Pouvoirs locaux) doivent être joints aux budgets et MB. Périmètre : (1) Fabriques d’église — non concernées par les ratios de la circulaire, les emprunts pour travaux étant repris à l’extraordinaire de la commune ; (2) RCO — intégrées au périmètre communal, tous les emprunts et intérêts comptent dans les ratios ; (3) CPAS — la commune fixe des balises/ratios internes pour encadrer l’endettement, la charge d’intérêt pouvant in fine incomber à la commune.</w:t>
      </w:r>
    </w:p>
    <w:p w14:paraId="1D4435AC" w14:textId="57EC299F" w:rsidR="00825275" w:rsidRDefault="00825275" w:rsidP="00FE4509">
      <w:pPr>
        <w:pStyle w:val="Titre2"/>
      </w:pPr>
      <w:bookmarkStart w:id="702" w:name="_Toc233626205"/>
      <w:bookmarkStart w:id="703" w:name="_Toc225504248"/>
      <w:bookmarkStart w:id="704" w:name="_Toc225772337"/>
      <w:bookmarkStart w:id="705" w:name="_Toc226445392"/>
      <w:r>
        <w:t>Fonds extraordinaire régional d’investissement FERI</w:t>
      </w:r>
      <w:bookmarkEnd w:id="702"/>
      <w:r>
        <w:t xml:space="preserve"> </w:t>
      </w:r>
    </w:p>
    <w:p w14:paraId="29DD8D35" w14:textId="77777777" w:rsidR="00825275" w:rsidRPr="00901BE4" w:rsidRDefault="00825275" w:rsidP="00825275"/>
    <w:p w14:paraId="50DA8A6F" w14:textId="38519B08" w:rsidR="00036609" w:rsidRPr="00DA3D9E" w:rsidRDefault="00036609">
      <w:pPr>
        <w:pStyle w:val="Titre4"/>
        <w:numPr>
          <w:ilvl w:val="0"/>
          <w:numId w:val="218"/>
        </w:numPr>
      </w:pPr>
      <w:r w:rsidRPr="00DA3D9E">
        <w:t>Comment est calculée ma dotation FERI ou Grandes villes ?</w:t>
      </w:r>
    </w:p>
    <w:p w14:paraId="3607BD4D" w14:textId="77777777" w:rsidR="00036609" w:rsidRPr="00DA3D9E" w:rsidRDefault="00036609" w:rsidP="00036609">
      <w:pPr>
        <w:pStyle w:val="Sansinterligne"/>
        <w:jc w:val="both"/>
        <w:rPr>
          <w:rFonts w:ascii="Cambria" w:hAnsi="Cambria"/>
          <w:lang w:val="fr-BE"/>
        </w:rPr>
      </w:pPr>
    </w:p>
    <w:p w14:paraId="6AFDADBF" w14:textId="4091D791" w:rsidR="00036609" w:rsidRPr="00DA3D9E" w:rsidRDefault="00036609" w:rsidP="00DA3D9E">
      <w:pPr>
        <w:pStyle w:val="Sansinterligne"/>
        <w:jc w:val="both"/>
        <w:rPr>
          <w:rFonts w:ascii="Cambria" w:hAnsi="Cambria"/>
          <w:lang w:val="fr-BE"/>
        </w:rPr>
      </w:pPr>
      <w:r w:rsidRPr="00DA3D9E">
        <w:rPr>
          <w:rFonts w:ascii="Cambria" w:hAnsi="Cambria"/>
          <w:lang w:val="fr-BE"/>
        </w:rPr>
        <w:t>La dotation FERI octroyée aux communes de -50.000 habitants est calculée sur la base d’une moyenne des dotations initiales octroyées dans le cadre du PIC 2019-2021 et du PIC 2022-2024. Le gouvernement a choisi un mécanisme de calcul stable dans le temps plutôt qu’évolutif chaque année afin de permettre aux communes d’avoir une vision claire de leur dotation.</w:t>
      </w:r>
    </w:p>
    <w:p w14:paraId="15FABD81" w14:textId="77777777" w:rsidR="00036609" w:rsidRPr="00DA3D9E" w:rsidRDefault="00036609" w:rsidP="00036609">
      <w:pPr>
        <w:pStyle w:val="Sansinterligne"/>
        <w:jc w:val="both"/>
        <w:rPr>
          <w:rFonts w:ascii="Cambria" w:hAnsi="Cambria"/>
          <w:lang w:val="fr-BE"/>
        </w:rPr>
      </w:pPr>
    </w:p>
    <w:p w14:paraId="0146C743" w14:textId="5E524A56" w:rsidR="00036609" w:rsidRPr="00DA3D9E" w:rsidRDefault="00036609" w:rsidP="00DA3D9E">
      <w:pPr>
        <w:pStyle w:val="Sansinterligne"/>
        <w:jc w:val="both"/>
        <w:rPr>
          <w:rFonts w:ascii="Cambria" w:hAnsi="Cambria"/>
          <w:lang w:val="fr-BE"/>
        </w:rPr>
      </w:pPr>
      <w:r w:rsidRPr="00DA3D9E">
        <w:rPr>
          <w:rFonts w:ascii="Cambria" w:hAnsi="Cambria"/>
          <w:lang w:val="fr-BE"/>
        </w:rPr>
        <w:t xml:space="preserve">La dotation « Grandes villes » octroyée aux communes de + 50.000 habitants est déterminée par l’addition de la dotation calculée selon l’ancien mécanisme du FRIC et par la dotation de l’ancien dispositif « Politiques des Grandes villes ».  </w:t>
      </w:r>
    </w:p>
    <w:p w14:paraId="69A33B7B" w14:textId="77777777" w:rsidR="00036609" w:rsidRPr="00DA3D9E" w:rsidRDefault="00036609" w:rsidP="00036609">
      <w:pPr>
        <w:pStyle w:val="Sansinterligne"/>
        <w:jc w:val="both"/>
        <w:rPr>
          <w:rFonts w:ascii="Cambria" w:hAnsi="Cambria"/>
          <w:lang w:val="fr-BE"/>
        </w:rPr>
      </w:pPr>
    </w:p>
    <w:p w14:paraId="62C2A55C" w14:textId="0953A9BC" w:rsidR="00036609" w:rsidRPr="00DA3D9E" w:rsidRDefault="00036609">
      <w:pPr>
        <w:pStyle w:val="Titre4"/>
        <w:numPr>
          <w:ilvl w:val="0"/>
          <w:numId w:val="218"/>
        </w:numPr>
      </w:pPr>
      <w:r w:rsidRPr="00DA3D9E">
        <w:t>Quand ma dotation sera-t-elle versée ?</w:t>
      </w:r>
    </w:p>
    <w:p w14:paraId="1EED6CD3" w14:textId="77777777" w:rsidR="00901BE4" w:rsidRDefault="00901BE4" w:rsidP="00901BE4">
      <w:pPr>
        <w:pStyle w:val="Sansinterligne"/>
        <w:jc w:val="both"/>
        <w:rPr>
          <w:rFonts w:ascii="Cambria" w:hAnsi="Cambria"/>
          <w:lang w:val="fr-BE"/>
        </w:rPr>
      </w:pPr>
    </w:p>
    <w:p w14:paraId="286C1C38" w14:textId="77777777" w:rsidR="00901BE4" w:rsidRDefault="00901BE4" w:rsidP="00901BE4">
      <w:pPr>
        <w:pStyle w:val="Sansinterligne"/>
        <w:jc w:val="both"/>
        <w:rPr>
          <w:rFonts w:ascii="Cambria" w:hAnsi="Cambria"/>
          <w:lang w:val="fr-BE"/>
        </w:rPr>
      </w:pPr>
    </w:p>
    <w:p w14:paraId="7950AF1E" w14:textId="6A5E9B7D" w:rsidR="00036609" w:rsidRPr="00DA3D9E" w:rsidRDefault="00036609" w:rsidP="00DA3D9E">
      <w:pPr>
        <w:pStyle w:val="Sansinterligne"/>
        <w:jc w:val="both"/>
        <w:rPr>
          <w:rFonts w:ascii="Cambria" w:hAnsi="Cambria"/>
          <w:lang w:val="fr-BE"/>
        </w:rPr>
      </w:pPr>
      <w:r w:rsidRPr="00DA3D9E">
        <w:rPr>
          <w:rFonts w:ascii="Cambria" w:hAnsi="Cambria"/>
          <w:lang w:val="fr-BE"/>
        </w:rPr>
        <w:t xml:space="preserve">La dotation portant sur la période 2026-2030 </w:t>
      </w:r>
      <w:r w:rsidR="00DA3D9E">
        <w:rPr>
          <w:rFonts w:ascii="Cambria" w:hAnsi="Cambria"/>
          <w:lang w:val="fr-BE"/>
        </w:rPr>
        <w:t>a fait</w:t>
      </w:r>
      <w:r w:rsidRPr="00DA3D9E">
        <w:rPr>
          <w:rFonts w:ascii="Cambria" w:hAnsi="Cambria"/>
          <w:lang w:val="fr-BE"/>
        </w:rPr>
        <w:t xml:space="preserve"> l’objet d’une notification unique avant le 31 mars 2026 et</w:t>
      </w:r>
      <w:r w:rsidR="00DA3D9E">
        <w:rPr>
          <w:rFonts w:ascii="Cambria" w:hAnsi="Cambria"/>
          <w:lang w:val="fr-BE"/>
        </w:rPr>
        <w:t xml:space="preserve"> les tranches seront </w:t>
      </w:r>
      <w:r w:rsidR="00DA3D9E" w:rsidRPr="00DA3D9E">
        <w:rPr>
          <w:rFonts w:ascii="Cambria" w:hAnsi="Cambria"/>
          <w:lang w:val="fr-BE"/>
        </w:rPr>
        <w:t>versées</w:t>
      </w:r>
      <w:r w:rsidRPr="00DA3D9E">
        <w:rPr>
          <w:rFonts w:ascii="Cambria" w:hAnsi="Cambria"/>
          <w:lang w:val="fr-BE"/>
        </w:rPr>
        <w:t xml:space="preserve"> à concurrence de 20% avant le 31 mars de chaque année entre 2027 et 2031.</w:t>
      </w:r>
    </w:p>
    <w:p w14:paraId="4D56AF85" w14:textId="77777777" w:rsidR="00901BE4" w:rsidRDefault="00901BE4" w:rsidP="00901BE4">
      <w:pPr>
        <w:spacing w:after="0" w:line="240" w:lineRule="auto"/>
        <w:rPr>
          <w:rFonts w:cs="Arial"/>
          <w:sz w:val="24"/>
          <w:szCs w:val="24"/>
        </w:rPr>
      </w:pPr>
    </w:p>
    <w:p w14:paraId="6B39E81E" w14:textId="539D1C62" w:rsidR="00036609" w:rsidRPr="00847555" w:rsidRDefault="00036609" w:rsidP="00DA3D9E">
      <w:pPr>
        <w:spacing w:after="0" w:line="240" w:lineRule="auto"/>
        <w:rPr>
          <w:rFonts w:cs="Arial"/>
        </w:rPr>
      </w:pPr>
      <w:r w:rsidRPr="00847555">
        <w:rPr>
          <w:rFonts w:cs="Arial"/>
        </w:rPr>
        <w:t xml:space="preserve">Le délai d’utilisation de la dotation FERI commence l’année de versement de la dotation. Les communes ont deux ans pour utiliser les dotations FERI versées en 2026 et 2027 et trois ans pour utiliser les dotations FERI versées à partir de 2028. </w:t>
      </w:r>
    </w:p>
    <w:p w14:paraId="278AC8D3" w14:textId="77777777" w:rsidR="00036609" w:rsidRPr="00DA3D9E" w:rsidRDefault="00036609" w:rsidP="00036609">
      <w:pPr>
        <w:pStyle w:val="Paragraphedeliste"/>
        <w:spacing w:after="0" w:line="240" w:lineRule="auto"/>
        <w:ind w:left="602"/>
        <w:rPr>
          <w:rFonts w:cs="Arial"/>
        </w:rPr>
      </w:pPr>
    </w:p>
    <w:p w14:paraId="12471F4C" w14:textId="77777777" w:rsidR="00036609" w:rsidRPr="00DA3D9E" w:rsidRDefault="00036609" w:rsidP="00DA3D9E">
      <w:pPr>
        <w:spacing w:after="0" w:line="240" w:lineRule="auto"/>
        <w:rPr>
          <w:rFonts w:cs="Arial"/>
        </w:rPr>
      </w:pPr>
      <w:r w:rsidRPr="00DA3D9E">
        <w:rPr>
          <w:rFonts w:cs="Arial"/>
        </w:rPr>
        <w:t>Le tableau suivant reprend le délai d’utilisation pour chacune des années de versement durant la mandature à venir.</w:t>
      </w:r>
    </w:p>
    <w:p w14:paraId="4D885584" w14:textId="77777777" w:rsidR="00036609" w:rsidRPr="00901BE4" w:rsidRDefault="00036609" w:rsidP="00036609">
      <w:pPr>
        <w:pStyle w:val="Paragraphedeliste"/>
        <w:spacing w:after="0" w:line="240" w:lineRule="auto"/>
        <w:ind w:left="602"/>
        <w:rPr>
          <w:rFonts w:cs="Arial"/>
          <w:sz w:val="24"/>
          <w:szCs w:val="24"/>
        </w:rPr>
      </w:pPr>
    </w:p>
    <w:tbl>
      <w:tblPr>
        <w:tblStyle w:val="Grilledutableau"/>
        <w:tblW w:w="0" w:type="auto"/>
        <w:jc w:val="center"/>
        <w:tblLook w:val="04A0" w:firstRow="1" w:lastRow="0" w:firstColumn="1" w:lastColumn="0" w:noHBand="0" w:noVBand="1"/>
      </w:tblPr>
      <w:tblGrid>
        <w:gridCol w:w="2122"/>
        <w:gridCol w:w="1984"/>
        <w:gridCol w:w="2126"/>
      </w:tblGrid>
      <w:tr w:rsidR="00036609" w:rsidRPr="00901BE4" w14:paraId="12517A28" w14:textId="77777777" w:rsidTr="00DC2E16">
        <w:trPr>
          <w:jc w:val="center"/>
        </w:trPr>
        <w:tc>
          <w:tcPr>
            <w:tcW w:w="2122" w:type="dxa"/>
            <w:vAlign w:val="center"/>
          </w:tcPr>
          <w:p w14:paraId="0245778F" w14:textId="77777777" w:rsidR="00036609" w:rsidRPr="00901BE4" w:rsidRDefault="00036609" w:rsidP="00DC2E16">
            <w:pPr>
              <w:pStyle w:val="Paragraphedeliste"/>
              <w:ind w:left="0"/>
              <w:jc w:val="center"/>
              <w:rPr>
                <w:rFonts w:cs="Arial"/>
                <w:b/>
                <w:bCs/>
                <w:sz w:val="24"/>
                <w:szCs w:val="24"/>
              </w:rPr>
            </w:pPr>
            <w:r w:rsidRPr="00901BE4">
              <w:rPr>
                <w:rFonts w:cs="Arial"/>
                <w:b/>
                <w:bCs/>
                <w:sz w:val="24"/>
                <w:szCs w:val="24"/>
              </w:rPr>
              <w:t>DOTATION FERI</w:t>
            </w:r>
          </w:p>
        </w:tc>
        <w:tc>
          <w:tcPr>
            <w:tcW w:w="1984" w:type="dxa"/>
            <w:vAlign w:val="center"/>
          </w:tcPr>
          <w:p w14:paraId="3E084AD1" w14:textId="77777777" w:rsidR="00036609" w:rsidRPr="00901BE4" w:rsidRDefault="00036609" w:rsidP="00DC2E16">
            <w:pPr>
              <w:pStyle w:val="Paragraphedeliste"/>
              <w:ind w:left="-99" w:firstLine="99"/>
              <w:jc w:val="center"/>
              <w:rPr>
                <w:rFonts w:cs="Arial"/>
                <w:b/>
                <w:bCs/>
                <w:sz w:val="24"/>
                <w:szCs w:val="24"/>
              </w:rPr>
            </w:pPr>
            <w:r w:rsidRPr="00901BE4">
              <w:rPr>
                <w:rFonts w:cs="Arial"/>
                <w:b/>
                <w:bCs/>
                <w:sz w:val="24"/>
                <w:szCs w:val="24"/>
              </w:rPr>
              <w:t>ANNEE DE VERSEMENT</w:t>
            </w:r>
          </w:p>
        </w:tc>
        <w:tc>
          <w:tcPr>
            <w:tcW w:w="2126" w:type="dxa"/>
            <w:vAlign w:val="center"/>
          </w:tcPr>
          <w:p w14:paraId="5F2B11A9" w14:textId="77777777" w:rsidR="00036609" w:rsidRPr="00901BE4" w:rsidRDefault="00036609" w:rsidP="00DC2E16">
            <w:pPr>
              <w:pStyle w:val="Paragraphedeliste"/>
              <w:ind w:left="0"/>
              <w:jc w:val="center"/>
              <w:rPr>
                <w:rFonts w:cs="Arial"/>
                <w:b/>
                <w:bCs/>
                <w:sz w:val="24"/>
                <w:szCs w:val="24"/>
              </w:rPr>
            </w:pPr>
            <w:r w:rsidRPr="00901BE4">
              <w:rPr>
                <w:rFonts w:cs="Arial"/>
                <w:b/>
                <w:bCs/>
                <w:sz w:val="24"/>
                <w:szCs w:val="24"/>
              </w:rPr>
              <w:t>ANNEE LIMITE D’UTILISATION</w:t>
            </w:r>
          </w:p>
        </w:tc>
      </w:tr>
      <w:tr w:rsidR="00036609" w:rsidRPr="00901BE4" w14:paraId="5D3380DF" w14:textId="77777777" w:rsidTr="00DC2E16">
        <w:trPr>
          <w:jc w:val="center"/>
        </w:trPr>
        <w:tc>
          <w:tcPr>
            <w:tcW w:w="2122" w:type="dxa"/>
            <w:vAlign w:val="center"/>
          </w:tcPr>
          <w:p w14:paraId="5AC80A60" w14:textId="77777777" w:rsidR="00036609" w:rsidRPr="00901BE4" w:rsidRDefault="00036609" w:rsidP="00DC2E16">
            <w:pPr>
              <w:pStyle w:val="Paragraphedeliste"/>
              <w:ind w:left="0"/>
              <w:jc w:val="center"/>
              <w:rPr>
                <w:rFonts w:cs="Arial"/>
                <w:b/>
                <w:bCs/>
                <w:sz w:val="24"/>
                <w:szCs w:val="24"/>
              </w:rPr>
            </w:pPr>
            <w:r w:rsidRPr="00901BE4">
              <w:rPr>
                <w:rFonts w:cs="Arial"/>
                <w:b/>
                <w:bCs/>
                <w:sz w:val="24"/>
                <w:szCs w:val="24"/>
              </w:rPr>
              <w:t>FERI 2025</w:t>
            </w:r>
          </w:p>
        </w:tc>
        <w:tc>
          <w:tcPr>
            <w:tcW w:w="1984" w:type="dxa"/>
            <w:vAlign w:val="center"/>
          </w:tcPr>
          <w:p w14:paraId="4742E768" w14:textId="77777777" w:rsidR="00036609" w:rsidRPr="00901BE4" w:rsidRDefault="00036609" w:rsidP="00DC2E16">
            <w:pPr>
              <w:pStyle w:val="Paragraphedeliste"/>
              <w:ind w:left="-99" w:firstLine="99"/>
              <w:jc w:val="center"/>
              <w:rPr>
                <w:rFonts w:cs="Arial"/>
                <w:sz w:val="24"/>
                <w:szCs w:val="24"/>
              </w:rPr>
            </w:pPr>
            <w:r w:rsidRPr="00901BE4">
              <w:rPr>
                <w:rFonts w:cs="Arial"/>
                <w:sz w:val="24"/>
                <w:szCs w:val="24"/>
              </w:rPr>
              <w:t>2026</w:t>
            </w:r>
          </w:p>
        </w:tc>
        <w:tc>
          <w:tcPr>
            <w:tcW w:w="2126" w:type="dxa"/>
            <w:vAlign w:val="center"/>
          </w:tcPr>
          <w:p w14:paraId="6CB45526" w14:textId="77777777" w:rsidR="00036609" w:rsidRPr="00901BE4" w:rsidRDefault="00036609" w:rsidP="00DC2E16">
            <w:pPr>
              <w:pStyle w:val="Paragraphedeliste"/>
              <w:ind w:left="0"/>
              <w:jc w:val="center"/>
              <w:rPr>
                <w:rFonts w:cs="Arial"/>
                <w:sz w:val="24"/>
                <w:szCs w:val="24"/>
              </w:rPr>
            </w:pPr>
            <w:r w:rsidRPr="00901BE4">
              <w:rPr>
                <w:rFonts w:cs="Arial"/>
                <w:sz w:val="24"/>
                <w:szCs w:val="24"/>
              </w:rPr>
              <w:t>2027</w:t>
            </w:r>
          </w:p>
        </w:tc>
      </w:tr>
      <w:tr w:rsidR="00036609" w:rsidRPr="00901BE4" w14:paraId="4815DA3C" w14:textId="77777777" w:rsidTr="00DC2E16">
        <w:trPr>
          <w:jc w:val="center"/>
        </w:trPr>
        <w:tc>
          <w:tcPr>
            <w:tcW w:w="2122" w:type="dxa"/>
            <w:vMerge w:val="restart"/>
            <w:vAlign w:val="center"/>
          </w:tcPr>
          <w:p w14:paraId="1BE3E4C6" w14:textId="77777777" w:rsidR="00036609" w:rsidRPr="00901BE4" w:rsidRDefault="00036609" w:rsidP="00DC2E16">
            <w:pPr>
              <w:pStyle w:val="Paragraphedeliste"/>
              <w:ind w:left="0"/>
              <w:jc w:val="center"/>
              <w:rPr>
                <w:rFonts w:cs="Arial"/>
                <w:b/>
                <w:bCs/>
                <w:sz w:val="24"/>
                <w:szCs w:val="24"/>
              </w:rPr>
            </w:pPr>
            <w:r w:rsidRPr="00901BE4">
              <w:rPr>
                <w:rFonts w:cs="Arial"/>
                <w:b/>
                <w:bCs/>
                <w:sz w:val="24"/>
                <w:szCs w:val="24"/>
              </w:rPr>
              <w:t>FERI 2026-2030</w:t>
            </w:r>
          </w:p>
        </w:tc>
        <w:tc>
          <w:tcPr>
            <w:tcW w:w="1984" w:type="dxa"/>
            <w:vAlign w:val="center"/>
          </w:tcPr>
          <w:p w14:paraId="10CC39C7" w14:textId="77777777" w:rsidR="00036609" w:rsidRPr="00901BE4" w:rsidRDefault="00036609" w:rsidP="00DC2E16">
            <w:pPr>
              <w:pStyle w:val="Paragraphedeliste"/>
              <w:ind w:left="-99" w:firstLine="99"/>
              <w:jc w:val="center"/>
              <w:rPr>
                <w:rFonts w:cs="Arial"/>
                <w:sz w:val="24"/>
                <w:szCs w:val="24"/>
              </w:rPr>
            </w:pPr>
            <w:r w:rsidRPr="00901BE4">
              <w:rPr>
                <w:rFonts w:cs="Arial"/>
                <w:sz w:val="24"/>
                <w:szCs w:val="24"/>
              </w:rPr>
              <w:t>2027</w:t>
            </w:r>
          </w:p>
        </w:tc>
        <w:tc>
          <w:tcPr>
            <w:tcW w:w="2126" w:type="dxa"/>
            <w:vAlign w:val="center"/>
          </w:tcPr>
          <w:p w14:paraId="05D14377" w14:textId="77777777" w:rsidR="00036609" w:rsidRPr="00901BE4" w:rsidRDefault="00036609" w:rsidP="00DC2E16">
            <w:pPr>
              <w:pStyle w:val="Paragraphedeliste"/>
              <w:ind w:left="0"/>
              <w:jc w:val="center"/>
              <w:rPr>
                <w:rFonts w:cs="Arial"/>
                <w:sz w:val="24"/>
                <w:szCs w:val="24"/>
              </w:rPr>
            </w:pPr>
            <w:r w:rsidRPr="00901BE4">
              <w:rPr>
                <w:rFonts w:cs="Arial"/>
                <w:sz w:val="24"/>
                <w:szCs w:val="24"/>
              </w:rPr>
              <w:t>2028</w:t>
            </w:r>
          </w:p>
        </w:tc>
      </w:tr>
      <w:tr w:rsidR="00036609" w:rsidRPr="00901BE4" w14:paraId="2C745A88" w14:textId="77777777" w:rsidTr="00DC2E16">
        <w:trPr>
          <w:jc w:val="center"/>
        </w:trPr>
        <w:tc>
          <w:tcPr>
            <w:tcW w:w="2122" w:type="dxa"/>
            <w:vMerge/>
            <w:vAlign w:val="center"/>
          </w:tcPr>
          <w:p w14:paraId="09621DDF" w14:textId="77777777" w:rsidR="00036609" w:rsidRPr="00901BE4" w:rsidRDefault="00036609" w:rsidP="00DC2E16">
            <w:pPr>
              <w:pStyle w:val="Paragraphedeliste"/>
              <w:ind w:left="602"/>
              <w:jc w:val="center"/>
              <w:rPr>
                <w:rFonts w:cs="Arial"/>
                <w:sz w:val="24"/>
                <w:szCs w:val="24"/>
              </w:rPr>
            </w:pPr>
          </w:p>
        </w:tc>
        <w:tc>
          <w:tcPr>
            <w:tcW w:w="1984" w:type="dxa"/>
            <w:vAlign w:val="center"/>
          </w:tcPr>
          <w:p w14:paraId="1420A0F9" w14:textId="77777777" w:rsidR="00036609" w:rsidRPr="00901BE4" w:rsidRDefault="00036609" w:rsidP="00DC2E16">
            <w:pPr>
              <w:pStyle w:val="Paragraphedeliste"/>
              <w:ind w:left="-99" w:firstLine="99"/>
              <w:jc w:val="center"/>
              <w:rPr>
                <w:rFonts w:cs="Arial"/>
                <w:sz w:val="24"/>
                <w:szCs w:val="24"/>
              </w:rPr>
            </w:pPr>
            <w:r w:rsidRPr="00901BE4">
              <w:rPr>
                <w:rFonts w:cs="Arial"/>
                <w:sz w:val="24"/>
                <w:szCs w:val="24"/>
              </w:rPr>
              <w:t>2028</w:t>
            </w:r>
          </w:p>
        </w:tc>
        <w:tc>
          <w:tcPr>
            <w:tcW w:w="2126" w:type="dxa"/>
            <w:vAlign w:val="center"/>
          </w:tcPr>
          <w:p w14:paraId="42CC2355" w14:textId="77777777" w:rsidR="00036609" w:rsidRPr="00901BE4" w:rsidRDefault="00036609" w:rsidP="00DC2E16">
            <w:pPr>
              <w:pStyle w:val="Paragraphedeliste"/>
              <w:ind w:left="0"/>
              <w:jc w:val="center"/>
              <w:rPr>
                <w:rFonts w:cs="Arial"/>
                <w:sz w:val="24"/>
                <w:szCs w:val="24"/>
              </w:rPr>
            </w:pPr>
            <w:r w:rsidRPr="00901BE4">
              <w:rPr>
                <w:rFonts w:cs="Arial"/>
                <w:sz w:val="24"/>
                <w:szCs w:val="24"/>
              </w:rPr>
              <w:t>2030</w:t>
            </w:r>
          </w:p>
        </w:tc>
      </w:tr>
      <w:tr w:rsidR="00036609" w:rsidRPr="00901BE4" w14:paraId="76FCA603" w14:textId="77777777" w:rsidTr="00DC2E16">
        <w:trPr>
          <w:jc w:val="center"/>
        </w:trPr>
        <w:tc>
          <w:tcPr>
            <w:tcW w:w="2122" w:type="dxa"/>
            <w:vMerge/>
            <w:vAlign w:val="center"/>
          </w:tcPr>
          <w:p w14:paraId="06C1E768" w14:textId="77777777" w:rsidR="00036609" w:rsidRPr="00901BE4" w:rsidRDefault="00036609" w:rsidP="00DC2E16">
            <w:pPr>
              <w:pStyle w:val="Paragraphedeliste"/>
              <w:ind w:left="602"/>
              <w:jc w:val="center"/>
              <w:rPr>
                <w:rFonts w:cs="Arial"/>
                <w:sz w:val="24"/>
                <w:szCs w:val="24"/>
              </w:rPr>
            </w:pPr>
          </w:p>
        </w:tc>
        <w:tc>
          <w:tcPr>
            <w:tcW w:w="1984" w:type="dxa"/>
            <w:vAlign w:val="center"/>
          </w:tcPr>
          <w:p w14:paraId="57D725A5" w14:textId="77777777" w:rsidR="00036609" w:rsidRPr="00901BE4" w:rsidRDefault="00036609" w:rsidP="00DC2E16">
            <w:pPr>
              <w:pStyle w:val="Paragraphedeliste"/>
              <w:ind w:left="-99" w:firstLine="99"/>
              <w:jc w:val="center"/>
              <w:rPr>
                <w:rFonts w:cs="Arial"/>
                <w:sz w:val="24"/>
                <w:szCs w:val="24"/>
              </w:rPr>
            </w:pPr>
            <w:r w:rsidRPr="00901BE4">
              <w:rPr>
                <w:rFonts w:cs="Arial"/>
                <w:sz w:val="24"/>
                <w:szCs w:val="24"/>
              </w:rPr>
              <w:t>2029</w:t>
            </w:r>
          </w:p>
        </w:tc>
        <w:tc>
          <w:tcPr>
            <w:tcW w:w="2126" w:type="dxa"/>
            <w:vAlign w:val="center"/>
          </w:tcPr>
          <w:p w14:paraId="73CC12DD" w14:textId="77777777" w:rsidR="00036609" w:rsidRPr="00901BE4" w:rsidRDefault="00036609" w:rsidP="00DC2E16">
            <w:pPr>
              <w:pStyle w:val="Paragraphedeliste"/>
              <w:ind w:left="0"/>
              <w:jc w:val="center"/>
              <w:rPr>
                <w:rFonts w:cs="Arial"/>
                <w:sz w:val="24"/>
                <w:szCs w:val="24"/>
              </w:rPr>
            </w:pPr>
            <w:r w:rsidRPr="00901BE4">
              <w:rPr>
                <w:rFonts w:cs="Arial"/>
                <w:sz w:val="24"/>
                <w:szCs w:val="24"/>
              </w:rPr>
              <w:t>2031</w:t>
            </w:r>
          </w:p>
        </w:tc>
      </w:tr>
      <w:tr w:rsidR="00036609" w:rsidRPr="00901BE4" w14:paraId="0CA76EDF" w14:textId="77777777" w:rsidTr="00DC2E16">
        <w:trPr>
          <w:jc w:val="center"/>
        </w:trPr>
        <w:tc>
          <w:tcPr>
            <w:tcW w:w="2122" w:type="dxa"/>
            <w:vMerge/>
            <w:vAlign w:val="center"/>
          </w:tcPr>
          <w:p w14:paraId="5579B980" w14:textId="77777777" w:rsidR="00036609" w:rsidRPr="00901BE4" w:rsidRDefault="00036609" w:rsidP="00DC2E16">
            <w:pPr>
              <w:pStyle w:val="Paragraphedeliste"/>
              <w:ind w:left="602"/>
              <w:jc w:val="center"/>
              <w:rPr>
                <w:rFonts w:cs="Arial"/>
                <w:sz w:val="24"/>
                <w:szCs w:val="24"/>
              </w:rPr>
            </w:pPr>
          </w:p>
        </w:tc>
        <w:tc>
          <w:tcPr>
            <w:tcW w:w="1984" w:type="dxa"/>
            <w:vAlign w:val="center"/>
          </w:tcPr>
          <w:p w14:paraId="39CE3972" w14:textId="77777777" w:rsidR="00036609" w:rsidRPr="00901BE4" w:rsidRDefault="00036609" w:rsidP="00DC2E16">
            <w:pPr>
              <w:pStyle w:val="Paragraphedeliste"/>
              <w:ind w:left="-99" w:firstLine="99"/>
              <w:jc w:val="center"/>
              <w:rPr>
                <w:rFonts w:cs="Arial"/>
                <w:sz w:val="24"/>
                <w:szCs w:val="24"/>
              </w:rPr>
            </w:pPr>
            <w:r w:rsidRPr="00901BE4">
              <w:rPr>
                <w:rFonts w:cs="Arial"/>
                <w:sz w:val="24"/>
                <w:szCs w:val="24"/>
              </w:rPr>
              <w:t>2030</w:t>
            </w:r>
          </w:p>
        </w:tc>
        <w:tc>
          <w:tcPr>
            <w:tcW w:w="2126" w:type="dxa"/>
            <w:vAlign w:val="center"/>
          </w:tcPr>
          <w:p w14:paraId="377E8B01" w14:textId="77777777" w:rsidR="00036609" w:rsidRPr="00901BE4" w:rsidRDefault="00036609" w:rsidP="00DC2E16">
            <w:pPr>
              <w:pStyle w:val="Paragraphedeliste"/>
              <w:ind w:left="0"/>
              <w:jc w:val="center"/>
              <w:rPr>
                <w:rFonts w:cs="Arial"/>
                <w:sz w:val="24"/>
                <w:szCs w:val="24"/>
              </w:rPr>
            </w:pPr>
            <w:r w:rsidRPr="00901BE4">
              <w:rPr>
                <w:rFonts w:cs="Arial"/>
                <w:sz w:val="24"/>
                <w:szCs w:val="24"/>
              </w:rPr>
              <w:t>2032</w:t>
            </w:r>
          </w:p>
        </w:tc>
      </w:tr>
      <w:tr w:rsidR="00036609" w:rsidRPr="00901BE4" w14:paraId="14C9ADDD" w14:textId="77777777" w:rsidTr="00DC2E16">
        <w:trPr>
          <w:jc w:val="center"/>
        </w:trPr>
        <w:tc>
          <w:tcPr>
            <w:tcW w:w="2122" w:type="dxa"/>
            <w:vMerge/>
            <w:vAlign w:val="center"/>
          </w:tcPr>
          <w:p w14:paraId="0E551BC2" w14:textId="77777777" w:rsidR="00036609" w:rsidRPr="00901BE4" w:rsidRDefault="00036609" w:rsidP="00DC2E16">
            <w:pPr>
              <w:pStyle w:val="Paragraphedeliste"/>
              <w:ind w:left="602"/>
              <w:jc w:val="center"/>
              <w:rPr>
                <w:rFonts w:cs="Arial"/>
                <w:sz w:val="24"/>
                <w:szCs w:val="24"/>
              </w:rPr>
            </w:pPr>
          </w:p>
        </w:tc>
        <w:tc>
          <w:tcPr>
            <w:tcW w:w="1984" w:type="dxa"/>
            <w:vAlign w:val="center"/>
          </w:tcPr>
          <w:p w14:paraId="7216A489" w14:textId="77777777" w:rsidR="00036609" w:rsidRPr="00901BE4" w:rsidRDefault="00036609" w:rsidP="00DC2E16">
            <w:pPr>
              <w:pStyle w:val="Paragraphedeliste"/>
              <w:ind w:left="-99" w:firstLine="99"/>
              <w:jc w:val="center"/>
              <w:rPr>
                <w:rFonts w:cs="Arial"/>
                <w:sz w:val="24"/>
                <w:szCs w:val="24"/>
              </w:rPr>
            </w:pPr>
            <w:r w:rsidRPr="00901BE4">
              <w:rPr>
                <w:rFonts w:cs="Arial"/>
                <w:sz w:val="24"/>
                <w:szCs w:val="24"/>
              </w:rPr>
              <w:t>2031</w:t>
            </w:r>
          </w:p>
        </w:tc>
        <w:tc>
          <w:tcPr>
            <w:tcW w:w="2126" w:type="dxa"/>
            <w:vAlign w:val="center"/>
          </w:tcPr>
          <w:p w14:paraId="69B30B69" w14:textId="77777777" w:rsidR="00036609" w:rsidRPr="00901BE4" w:rsidRDefault="00036609" w:rsidP="00DC2E16">
            <w:pPr>
              <w:pStyle w:val="Paragraphedeliste"/>
              <w:ind w:left="0"/>
              <w:jc w:val="center"/>
              <w:rPr>
                <w:rFonts w:cs="Arial"/>
                <w:sz w:val="24"/>
                <w:szCs w:val="24"/>
              </w:rPr>
            </w:pPr>
            <w:r w:rsidRPr="00901BE4">
              <w:rPr>
                <w:rFonts w:cs="Arial"/>
                <w:sz w:val="24"/>
                <w:szCs w:val="24"/>
              </w:rPr>
              <w:t>2033</w:t>
            </w:r>
          </w:p>
        </w:tc>
      </w:tr>
    </w:tbl>
    <w:p w14:paraId="181FAE49" w14:textId="77777777" w:rsidR="00036609" w:rsidRPr="00DA3D9E" w:rsidRDefault="00036609" w:rsidP="00036609">
      <w:pPr>
        <w:pStyle w:val="Sansinterligne"/>
        <w:ind w:left="602"/>
        <w:jc w:val="both"/>
        <w:rPr>
          <w:rFonts w:ascii="Cambria" w:hAnsi="Cambria"/>
          <w:lang w:val="fr-BE"/>
        </w:rPr>
      </w:pPr>
    </w:p>
    <w:p w14:paraId="126DE670" w14:textId="18559A1E" w:rsidR="00036609" w:rsidRPr="00DA3D9E" w:rsidRDefault="00036609">
      <w:pPr>
        <w:pStyle w:val="Titre4"/>
        <w:numPr>
          <w:ilvl w:val="0"/>
          <w:numId w:val="218"/>
        </w:numPr>
      </w:pPr>
      <w:r w:rsidRPr="00DA3D9E">
        <w:t>Comment dois-je comptabiliser ma dotation FERI ou Grandes villes</w:t>
      </w:r>
      <w:r w:rsidR="002357A5">
        <w:t xml:space="preserve"> si je ne l’ai pas fais en 2026</w:t>
      </w:r>
      <w:r w:rsidRPr="00DA3D9E">
        <w:t xml:space="preserve"> ?</w:t>
      </w:r>
    </w:p>
    <w:p w14:paraId="22657CAC" w14:textId="77777777" w:rsidR="00DA3D9E" w:rsidRDefault="00DA3D9E" w:rsidP="00DA3D9E">
      <w:pPr>
        <w:pStyle w:val="Sansinterligne"/>
        <w:jc w:val="both"/>
        <w:rPr>
          <w:rFonts w:ascii="Cambria" w:hAnsi="Cambria"/>
          <w:lang w:val="fr-BE"/>
        </w:rPr>
      </w:pPr>
    </w:p>
    <w:p w14:paraId="1D2E07D8" w14:textId="3D0921E1" w:rsidR="00036609" w:rsidRPr="00DA3D9E" w:rsidRDefault="00036609" w:rsidP="00DA3D9E">
      <w:pPr>
        <w:pStyle w:val="Sansinterligne"/>
        <w:jc w:val="both"/>
        <w:rPr>
          <w:rFonts w:ascii="Cambria" w:hAnsi="Cambria"/>
          <w:lang w:val="fr-BE"/>
        </w:rPr>
      </w:pPr>
      <w:r w:rsidRPr="00DA3D9E">
        <w:rPr>
          <w:rFonts w:ascii="Cambria" w:hAnsi="Cambria"/>
          <w:lang w:val="fr-BE"/>
        </w:rPr>
        <w:t xml:space="preserve">La dotation FERI et la dotation « Grandes villes » doivent être inscrites à l’exercice propre du service extraordinaire. </w:t>
      </w:r>
    </w:p>
    <w:p w14:paraId="09EFA2F1" w14:textId="77777777" w:rsidR="00036609" w:rsidRPr="00DA3D9E" w:rsidRDefault="00036609" w:rsidP="00036609">
      <w:pPr>
        <w:pStyle w:val="Sansinterligne"/>
        <w:ind w:left="602"/>
        <w:jc w:val="both"/>
        <w:rPr>
          <w:rFonts w:ascii="Cambria" w:hAnsi="Cambria"/>
          <w:lang w:val="fr-BE"/>
        </w:rPr>
      </w:pPr>
    </w:p>
    <w:p w14:paraId="75C76C8C" w14:textId="394B1BAC" w:rsidR="00036609" w:rsidRPr="00DA3D9E" w:rsidRDefault="00036609" w:rsidP="002357A5">
      <w:pPr>
        <w:pStyle w:val="Sansinterligne"/>
        <w:jc w:val="both"/>
        <w:rPr>
          <w:lang w:val="fr-BE"/>
        </w:rPr>
      </w:pPr>
      <w:r w:rsidRPr="00DA3D9E">
        <w:rPr>
          <w:lang w:val="fr-BE"/>
        </w:rPr>
        <w:t xml:space="preserve">La dotation totale qui couvre la période 2026-2030 est à inscrire au budget initial si cela est encore possible ou dans le cadre de la première modification budgétaire.  Si la dotation n’est pas reprise au budget initial faute de temps, la tutelle ne réformera pas automatique les inscriptions budgétaires. </w:t>
      </w:r>
    </w:p>
    <w:p w14:paraId="7E9C1BC9" w14:textId="77777777" w:rsidR="00036609" w:rsidRPr="00DA3D9E" w:rsidRDefault="00036609" w:rsidP="00036609">
      <w:pPr>
        <w:pStyle w:val="Sansinterligne"/>
        <w:ind w:left="602"/>
        <w:jc w:val="both"/>
        <w:rPr>
          <w:lang w:val="fr-BE"/>
        </w:rPr>
      </w:pPr>
    </w:p>
    <w:p w14:paraId="45E2E1A2" w14:textId="1149A903" w:rsidR="00036609" w:rsidRPr="00DA3D9E" w:rsidRDefault="00036609" w:rsidP="002357A5">
      <w:pPr>
        <w:pStyle w:val="Sansinterligne"/>
        <w:jc w:val="both"/>
        <w:rPr>
          <w:lang w:val="fr-BE"/>
        </w:rPr>
      </w:pPr>
      <w:r w:rsidRPr="00DA3D9E">
        <w:rPr>
          <w:lang w:val="fr-BE"/>
        </w:rPr>
        <w:t>Un FRE peut être constitué pour le total des dotations. La tutelle recommande l’utilisation d’un code fonctionnel 060 non millésimé et sans numéro de projet pour la dépense de constitution du FRE avec en comptabilité générale un compte particulier identifiable et commun aux deux versements</w:t>
      </w:r>
      <w:r w:rsidR="002357A5">
        <w:rPr>
          <w:lang w:val="fr-BE"/>
        </w:rPr>
        <w:t>.</w:t>
      </w:r>
    </w:p>
    <w:p w14:paraId="2BF6E82F" w14:textId="77777777" w:rsidR="00036609" w:rsidRPr="00DA3D9E" w:rsidRDefault="00036609" w:rsidP="00036609">
      <w:pPr>
        <w:pStyle w:val="Sansinterligne"/>
        <w:ind w:left="602"/>
        <w:jc w:val="both"/>
        <w:rPr>
          <w:rFonts w:ascii="Cambria" w:hAnsi="Cambria"/>
          <w:lang w:val="fr-BE"/>
        </w:rPr>
      </w:pPr>
    </w:p>
    <w:p w14:paraId="61D0B471" w14:textId="77777777" w:rsidR="00036609" w:rsidRPr="002357A5" w:rsidRDefault="00036609" w:rsidP="002357A5">
      <w:pPr>
        <w:pStyle w:val="Sansinterligne"/>
        <w:jc w:val="both"/>
        <w:rPr>
          <w:lang w:val="fr-BE"/>
        </w:rPr>
      </w:pPr>
      <w:r w:rsidRPr="002357A5">
        <w:rPr>
          <w:lang w:val="fr-BE"/>
        </w:rPr>
        <w:t xml:space="preserve">Le rapatriement progressif du FRE sera toujours comptabilisé sur un code fonctionnel non millésimé mais devra être rattaché au numéro de projet extraordinaire du projet en lien avec la dépense extraordinaire financée. </w:t>
      </w:r>
    </w:p>
    <w:p w14:paraId="1EA74ADD" w14:textId="77777777" w:rsidR="00036609" w:rsidRPr="002357A5" w:rsidRDefault="00036609" w:rsidP="00036609">
      <w:pPr>
        <w:pStyle w:val="Sansinterligne"/>
        <w:ind w:left="602"/>
        <w:jc w:val="both"/>
        <w:rPr>
          <w:rFonts w:ascii="Cambria" w:hAnsi="Cambria"/>
          <w:lang w:val="fr-BE"/>
        </w:rPr>
      </w:pPr>
    </w:p>
    <w:p w14:paraId="12EFC4C6" w14:textId="77777777" w:rsidR="00036609" w:rsidRPr="002357A5" w:rsidRDefault="00036609">
      <w:pPr>
        <w:pStyle w:val="Titre4"/>
        <w:numPr>
          <w:ilvl w:val="0"/>
          <w:numId w:val="218"/>
        </w:numPr>
      </w:pPr>
      <w:r w:rsidRPr="002357A5">
        <w:t xml:space="preserve">Quelles dépenses extraordinaires puis-je financer avec ma dotation FERI ou Grandes villes ? </w:t>
      </w:r>
    </w:p>
    <w:p w14:paraId="119462FF" w14:textId="77777777" w:rsidR="002357A5" w:rsidRDefault="002357A5" w:rsidP="00036609">
      <w:pPr>
        <w:pStyle w:val="Sansinterligne"/>
        <w:ind w:left="602"/>
        <w:jc w:val="both"/>
        <w:rPr>
          <w:lang w:val="fr-BE"/>
        </w:rPr>
      </w:pPr>
    </w:p>
    <w:p w14:paraId="135C9428" w14:textId="64A463C5" w:rsidR="00036609" w:rsidRPr="002357A5" w:rsidRDefault="00036609" w:rsidP="00036609">
      <w:pPr>
        <w:pStyle w:val="Sansinterligne"/>
        <w:ind w:left="602"/>
        <w:jc w:val="both"/>
        <w:rPr>
          <w:rFonts w:cs="Arial"/>
          <w:lang w:val="fr-BE"/>
        </w:rPr>
      </w:pPr>
      <w:r w:rsidRPr="002357A5">
        <w:rPr>
          <w:lang w:val="fr-BE"/>
        </w:rPr>
        <w:t xml:space="preserve">Vous pouvez </w:t>
      </w:r>
      <w:r w:rsidRPr="002357A5">
        <w:rPr>
          <w:rFonts w:cs="Arial"/>
          <w:lang w:val="fr-BE"/>
        </w:rPr>
        <w:t xml:space="preserve">utiliser la dotation pour financer n’importe quelle dépense du service extraordinaire, à savoir financer une dépense d’investissement, l’octroi d’un subside d’investissement à un tiers ou encore rembourser de manière anticipative votre dette. </w:t>
      </w:r>
    </w:p>
    <w:p w14:paraId="61AC8D28" w14:textId="77777777" w:rsidR="00036609" w:rsidRPr="002357A5" w:rsidRDefault="00036609" w:rsidP="00036609">
      <w:pPr>
        <w:pStyle w:val="Sansinterligne"/>
        <w:ind w:left="602"/>
        <w:jc w:val="both"/>
        <w:rPr>
          <w:rFonts w:cs="Arial"/>
          <w:lang w:val="fr-BE"/>
        </w:rPr>
      </w:pPr>
    </w:p>
    <w:p w14:paraId="33B03470" w14:textId="77777777" w:rsidR="00036609" w:rsidRPr="002357A5" w:rsidRDefault="00036609" w:rsidP="00036609">
      <w:pPr>
        <w:pStyle w:val="Sansinterligne"/>
        <w:ind w:left="602"/>
        <w:jc w:val="both"/>
        <w:rPr>
          <w:rFonts w:cs="Arial"/>
          <w:lang w:val="fr-BE"/>
        </w:rPr>
      </w:pPr>
      <w:r w:rsidRPr="002357A5">
        <w:rPr>
          <w:rFonts w:cs="Arial"/>
          <w:lang w:val="fr-BE"/>
        </w:rPr>
        <w:t xml:space="preserve">Il n’y a donc pas d’obligation formelle à utiliser la dotation pour financer des travaux d’investissements. </w:t>
      </w:r>
    </w:p>
    <w:p w14:paraId="09D87EAA" w14:textId="77777777" w:rsidR="00036609" w:rsidRPr="002357A5" w:rsidRDefault="00036609" w:rsidP="00036609">
      <w:pPr>
        <w:pStyle w:val="Sansinterligne"/>
        <w:ind w:left="602"/>
        <w:jc w:val="both"/>
        <w:rPr>
          <w:rFonts w:cs="Arial"/>
          <w:lang w:val="fr-BE"/>
        </w:rPr>
      </w:pPr>
    </w:p>
    <w:p w14:paraId="517FE84B" w14:textId="77777777" w:rsidR="00036609" w:rsidRPr="002357A5" w:rsidRDefault="00036609">
      <w:pPr>
        <w:pStyle w:val="Titre4"/>
        <w:numPr>
          <w:ilvl w:val="0"/>
          <w:numId w:val="218"/>
        </w:numPr>
      </w:pPr>
      <w:r w:rsidRPr="002357A5">
        <w:t>Puis-je transférer ma dotation vers le service ordinaire ?</w:t>
      </w:r>
    </w:p>
    <w:p w14:paraId="0FFE8C46" w14:textId="77777777" w:rsidR="002357A5" w:rsidRDefault="002357A5" w:rsidP="002357A5">
      <w:pPr>
        <w:pStyle w:val="Sansinterligne"/>
        <w:jc w:val="both"/>
        <w:rPr>
          <w:lang w:val="fr-BE"/>
        </w:rPr>
      </w:pPr>
    </w:p>
    <w:p w14:paraId="4CA21E2B" w14:textId="367DCE80" w:rsidR="00036609" w:rsidRPr="002357A5" w:rsidRDefault="00036609" w:rsidP="002357A5">
      <w:pPr>
        <w:pStyle w:val="Sansinterligne"/>
        <w:jc w:val="both"/>
        <w:rPr>
          <w:lang w:val="fr-BE"/>
        </w:rPr>
      </w:pPr>
      <w:r w:rsidRPr="002357A5">
        <w:rPr>
          <w:lang w:val="fr-BE"/>
        </w:rPr>
        <w:t>Les dotations FERI et « Grandes villes » peuvent être transférées du service extraordinaire vers le service ordinaire mais sous conditions strictes.</w:t>
      </w:r>
      <w:r w:rsidR="002357A5">
        <w:rPr>
          <w:lang w:val="fr-BE"/>
        </w:rPr>
        <w:t xml:space="preserve"> </w:t>
      </w:r>
      <w:r w:rsidRPr="002357A5">
        <w:rPr>
          <w:lang w:val="fr-BE"/>
        </w:rPr>
        <w:t xml:space="preserve">La dotation FERI peut être transférée au service ordinaire afin de financer des dépenses liées au remboursement d’emprunt et d’intérêts uniquement.  </w:t>
      </w:r>
    </w:p>
    <w:p w14:paraId="026C32D0" w14:textId="77777777" w:rsidR="00036609" w:rsidRPr="002357A5" w:rsidRDefault="00036609" w:rsidP="00036609">
      <w:pPr>
        <w:pStyle w:val="Sansinterligne"/>
        <w:ind w:left="602"/>
        <w:jc w:val="both"/>
        <w:rPr>
          <w:lang w:val="fr-BE"/>
        </w:rPr>
      </w:pPr>
    </w:p>
    <w:p w14:paraId="0BE60B37" w14:textId="77777777" w:rsidR="00036609" w:rsidRPr="002357A5" w:rsidRDefault="00036609" w:rsidP="002357A5">
      <w:pPr>
        <w:pStyle w:val="Sansinterligne"/>
        <w:jc w:val="both"/>
        <w:rPr>
          <w:lang w:val="fr-BE"/>
        </w:rPr>
      </w:pPr>
      <w:r w:rsidRPr="002357A5">
        <w:rPr>
          <w:lang w:val="fr-BE"/>
        </w:rPr>
        <w:t xml:space="preserve">La dotation « Grandes villes » peut être transférée au service ordinaire pour financer la dotation communale à la zone de police, à la zone de secours, au CPAS et la cotisation de responsabilisation pensions. </w:t>
      </w:r>
    </w:p>
    <w:p w14:paraId="1348F28F" w14:textId="77777777" w:rsidR="00036609" w:rsidRPr="002357A5" w:rsidRDefault="00036609" w:rsidP="00036609">
      <w:pPr>
        <w:pStyle w:val="Sansinterligne"/>
        <w:ind w:left="602"/>
        <w:jc w:val="both"/>
        <w:rPr>
          <w:lang w:val="fr-BE"/>
        </w:rPr>
      </w:pPr>
    </w:p>
    <w:p w14:paraId="708E1D8C" w14:textId="77777777" w:rsidR="00036609" w:rsidRPr="002357A5" w:rsidRDefault="00036609" w:rsidP="002357A5">
      <w:pPr>
        <w:pStyle w:val="Sansinterligne"/>
        <w:jc w:val="both"/>
        <w:rPr>
          <w:lang w:val="fr-BE"/>
        </w:rPr>
      </w:pPr>
      <w:r w:rsidRPr="002357A5">
        <w:rPr>
          <w:lang w:val="fr-BE"/>
        </w:rPr>
        <w:t>Les communes sous plan de gestion ne sont pas obligées de transférer leur dotation au service ordinaire afin d’équilibrer leur budget.</w:t>
      </w:r>
    </w:p>
    <w:p w14:paraId="17106B00" w14:textId="77777777" w:rsidR="00036609" w:rsidRPr="002357A5" w:rsidRDefault="00036609" w:rsidP="00036609">
      <w:pPr>
        <w:pStyle w:val="Sansinterligne"/>
        <w:ind w:left="602"/>
        <w:jc w:val="both"/>
        <w:rPr>
          <w:lang w:val="fr-BE"/>
        </w:rPr>
      </w:pPr>
    </w:p>
    <w:p w14:paraId="6BE5A6DB" w14:textId="77777777" w:rsidR="00036609" w:rsidRPr="002357A5" w:rsidRDefault="00036609" w:rsidP="002357A5">
      <w:pPr>
        <w:pStyle w:val="Sansinterligne"/>
        <w:jc w:val="both"/>
        <w:rPr>
          <w:lang w:val="fr-BE"/>
        </w:rPr>
      </w:pPr>
      <w:r w:rsidRPr="002357A5">
        <w:rPr>
          <w:lang w:val="fr-BE"/>
        </w:rPr>
        <w:t>Le total des dotations 2026-2030 étant comptabilisé en un droit net unique en 2026, le transfert de la dotation vers le service ordinaire est limité à 20% du total des dotations 2026-2030 chaque année.</w:t>
      </w:r>
    </w:p>
    <w:p w14:paraId="2254C5C6" w14:textId="77777777" w:rsidR="00E90BB0" w:rsidRPr="00825275" w:rsidRDefault="00E90BB0" w:rsidP="002357A5"/>
    <w:p w14:paraId="6875EC8F" w14:textId="7A94105A" w:rsidR="00FE4509" w:rsidRPr="005C4637" w:rsidRDefault="00FE4509" w:rsidP="00FE4509">
      <w:pPr>
        <w:pStyle w:val="Titre2"/>
      </w:pPr>
      <w:bookmarkStart w:id="706" w:name="_Toc233626206"/>
      <w:r w:rsidRPr="005C4637">
        <w:t>Petites dépenses d’investissement : comptabilisation</w:t>
      </w:r>
      <w:bookmarkEnd w:id="703"/>
      <w:bookmarkEnd w:id="704"/>
      <w:bookmarkEnd w:id="705"/>
      <w:bookmarkEnd w:id="706"/>
    </w:p>
    <w:p w14:paraId="0F0111F4" w14:textId="77777777" w:rsidR="00FE4509" w:rsidRPr="005C4637" w:rsidRDefault="00FE4509">
      <w:pPr>
        <w:pStyle w:val="Titre4"/>
        <w:numPr>
          <w:ilvl w:val="0"/>
          <w:numId w:val="171"/>
        </w:numPr>
        <w:tabs>
          <w:tab w:val="num" w:pos="360"/>
        </w:tabs>
        <w:ind w:left="0" w:firstLine="0"/>
      </w:pPr>
      <w:r w:rsidRPr="005C4637">
        <w:t>Quelles méthodes pour comptabiliser les petits investissements ?</w:t>
      </w:r>
    </w:p>
    <w:p w14:paraId="371A759D" w14:textId="77777777" w:rsidR="00FE4509" w:rsidRPr="005C4637" w:rsidRDefault="00FE4509" w:rsidP="00FE4509">
      <w:r w:rsidRPr="005C4637">
        <w:t>Deux voies : (1) Code économique 749</w:t>
      </w:r>
      <w:r w:rsidRPr="005C4637">
        <w:noBreakHyphen/>
        <w:t>98 — enregistrement à l’actif immobilisé et suivi ; amortissement d’un an (durée présumée réduite fixée par le RGCC). (2) Articles budgétaires du service ordinaire — meilleure ventilation, mais sans suivi via comptes particuliers. Les deux méthodes sont acceptables et peuvent être complétées : la première par une subdivision du code fonctionnel (communes) ou du code économique (CPAS) ; la seconde par un report signalétique dans le fichier du patrimoine des petits investissements réalisés à l’ordinaire. À défaut, il est toujours possible de traiter ces dépenses comme des investissements ‘classiques’ au service extraordinaire.</w:t>
      </w:r>
    </w:p>
    <w:p w14:paraId="0D1ED5D0" w14:textId="77777777" w:rsidR="00FE4509" w:rsidRPr="005C4637" w:rsidRDefault="00FE4509">
      <w:pPr>
        <w:pStyle w:val="Titre4"/>
        <w:numPr>
          <w:ilvl w:val="0"/>
          <w:numId w:val="172"/>
        </w:numPr>
        <w:tabs>
          <w:tab w:val="num" w:pos="360"/>
        </w:tabs>
        <w:ind w:left="0" w:firstLine="0"/>
      </w:pPr>
      <w:r w:rsidRPr="005C4637">
        <w:t>Quelles références de délégation pour ces opérations ?</w:t>
      </w:r>
    </w:p>
    <w:p w14:paraId="72FD54DE" w14:textId="77777777" w:rsidR="00FE4509" w:rsidRPr="005C4637" w:rsidRDefault="00FE4509" w:rsidP="00FE4509">
      <w:pPr>
        <w:rPr>
          <w:highlight w:val="yellow"/>
        </w:rPr>
      </w:pPr>
      <w:r>
        <w:t xml:space="preserve">Articles L12223 à L12228 du CDLD, </w:t>
      </w:r>
    </w:p>
    <w:p w14:paraId="7BADAD59" w14:textId="77777777" w:rsidR="00FE4509" w:rsidRPr="005C4637" w:rsidRDefault="00FE4509" w:rsidP="00FE4509">
      <w:pPr>
        <w:pStyle w:val="Titre2"/>
      </w:pPr>
      <w:bookmarkStart w:id="707" w:name="_Toc225504249"/>
      <w:bookmarkStart w:id="708" w:name="_Toc225772338"/>
      <w:bookmarkStart w:id="709" w:name="_Toc226445393"/>
      <w:bookmarkStart w:id="710" w:name="_Toc233626207"/>
      <w:r w:rsidRPr="005C4637">
        <w:t>Boni des exercices antérieurs</w:t>
      </w:r>
      <w:bookmarkEnd w:id="707"/>
      <w:bookmarkEnd w:id="708"/>
      <w:bookmarkEnd w:id="709"/>
      <w:bookmarkEnd w:id="710"/>
    </w:p>
    <w:p w14:paraId="50E03454" w14:textId="77777777" w:rsidR="00FE4509" w:rsidRPr="005C4637" w:rsidRDefault="00FE4509" w:rsidP="00FE4509">
      <w:pPr>
        <w:pStyle w:val="Titre4"/>
        <w:ind w:left="720"/>
      </w:pPr>
      <w:r w:rsidRPr="005C4637">
        <w:t>Comment sécuriser l’utilisation du boni extraordinaire des exercices antérieurs ?</w:t>
      </w:r>
    </w:p>
    <w:p w14:paraId="4444643D" w14:textId="77777777" w:rsidR="00FE4509" w:rsidRPr="005C4637" w:rsidRDefault="00FE4509" w:rsidP="00FE4509">
      <w:r w:rsidRPr="005C4637">
        <w:t>Le boni figurant au tableau de synthèse ne peut être affecté sans discernement. Il faut d’abord isoler les éléments réellement disponibles, sous peine de rompre l’équilibre du service. Sauf circonstances dûment justifiées, éviter de conserver un boni extraordinaire important et inemployé si des emprunts ou des ‘queues’ d’emprunts inutilisées (parfois coûteuses) persistent. Recommandation : constituer un fonds de réserve extraordinaire non affecté alimenté par les bonis cumulés, soutenu par une réalité comptable.</w:t>
      </w:r>
    </w:p>
    <w:p w14:paraId="0EC65D51" w14:textId="77777777" w:rsidR="00FE4509" w:rsidRPr="005C4637" w:rsidRDefault="00FE4509" w:rsidP="00FE4509">
      <w:pPr>
        <w:pStyle w:val="Titre2"/>
      </w:pPr>
      <w:bookmarkStart w:id="711" w:name="_Toc225504250"/>
      <w:bookmarkStart w:id="712" w:name="_Toc225772339"/>
      <w:bookmarkStart w:id="713" w:name="_Toc226445394"/>
      <w:bookmarkStart w:id="714" w:name="_Toc233626208"/>
      <w:r w:rsidRPr="005C4637">
        <w:t>Réserves extraordinaires</w:t>
      </w:r>
      <w:bookmarkEnd w:id="711"/>
      <w:bookmarkEnd w:id="712"/>
      <w:bookmarkEnd w:id="713"/>
      <w:bookmarkEnd w:id="714"/>
    </w:p>
    <w:p w14:paraId="6AF6A824" w14:textId="77777777" w:rsidR="00FE4509" w:rsidRPr="005C4637" w:rsidRDefault="00FE4509" w:rsidP="00FE4509">
      <w:pPr>
        <w:pStyle w:val="Titre4"/>
        <w:ind w:left="720"/>
      </w:pPr>
      <w:r w:rsidRPr="005C4637">
        <w:t>Quand constater le prélèvement sur la réserve extraordinaire et comment ajuster ?</w:t>
      </w:r>
    </w:p>
    <w:p w14:paraId="139D645E" w14:textId="77777777" w:rsidR="00FE4509" w:rsidRPr="005C4637" w:rsidRDefault="00FE4509" w:rsidP="00FE4509">
      <w:r w:rsidRPr="005C4637">
        <w:t>Le droit est constaté au moment de l’engagement de la dépense extraordinaire (‘prélèvement de la réserve extraordinaire’). Si l’imputation est inférieure à l’engagement et que la correction intervient durant le même exercice, le droit constaté à l’article 995</w:t>
      </w:r>
      <w:r w:rsidRPr="005C4637">
        <w:noBreakHyphen/>
        <w:t>51 est rectifié. En cas d’engagement reporté, l’excédent prélevé est annulé par une dépense extraordinaire à l’article 955</w:t>
      </w:r>
      <w:r w:rsidRPr="005C4637">
        <w:noBreakHyphen/>
        <w:t>51, réajustant la réserve.</w:t>
      </w:r>
    </w:p>
    <w:p w14:paraId="18202438" w14:textId="77777777" w:rsidR="00FE4509" w:rsidRPr="005C4637" w:rsidRDefault="00FE4509" w:rsidP="00FE4509">
      <w:pPr>
        <w:pStyle w:val="Titre2"/>
      </w:pPr>
      <w:bookmarkStart w:id="715" w:name="_Toc225504251"/>
      <w:bookmarkStart w:id="716" w:name="_Toc225772340"/>
      <w:bookmarkStart w:id="717" w:name="_Toc226445395"/>
      <w:bookmarkStart w:id="718" w:name="_Toc233626209"/>
      <w:r w:rsidRPr="005C4637">
        <w:t>Marchés publics</w:t>
      </w:r>
      <w:bookmarkEnd w:id="715"/>
      <w:bookmarkEnd w:id="716"/>
      <w:bookmarkEnd w:id="717"/>
      <w:bookmarkEnd w:id="718"/>
    </w:p>
    <w:p w14:paraId="241A496B" w14:textId="77777777" w:rsidR="00FE4509" w:rsidRPr="005C4637" w:rsidRDefault="00FE4509">
      <w:pPr>
        <w:pStyle w:val="Titre4"/>
        <w:numPr>
          <w:ilvl w:val="0"/>
          <w:numId w:val="157"/>
        </w:numPr>
        <w:ind w:left="786"/>
      </w:pPr>
      <w:r w:rsidRPr="005C4637">
        <w:t>Quelles conditions budgétaires préalables à l’attribution d’un marché ?</w:t>
      </w:r>
    </w:p>
    <w:p w14:paraId="1F7F55E1" w14:textId="77777777" w:rsidR="00FE4509" w:rsidRPr="005C4637" w:rsidRDefault="00FE4509" w:rsidP="00FE4509">
      <w:r w:rsidRPr="005C4637">
        <w:t xml:space="preserve">Aucune attribution de marché (travaux, fournitures, services) ne peut intervenir tant que les crédits nécessaires et suffisants ne sont pas prévus au budget et définitivement approuvés. L’engagement comptable correspond au montant d’attribution. Tolérance : prévoir un </w:t>
      </w:r>
      <w:r w:rsidRPr="005C4637">
        <w:lastRenderedPageBreak/>
        <w:t>engagement &gt; 100 % si la révision légale est explicitement prévue au cahier des charges ; le montant total doit figurer dans la décision d’attribution du Collège.</w:t>
      </w:r>
    </w:p>
    <w:p w14:paraId="730E6191" w14:textId="77777777" w:rsidR="00FE4509" w:rsidRPr="005C4637" w:rsidRDefault="00FE4509">
      <w:pPr>
        <w:pStyle w:val="Titre4"/>
        <w:numPr>
          <w:ilvl w:val="0"/>
          <w:numId w:val="157"/>
        </w:numPr>
        <w:ind w:left="786"/>
      </w:pPr>
      <w:r w:rsidRPr="005C4637">
        <w:t xml:space="preserve">Comment traiter les </w:t>
      </w:r>
      <w:r>
        <w:t xml:space="preserve">marchés </w:t>
      </w:r>
      <w:r w:rsidRPr="005C4637">
        <w:t>pluriannuels, accords</w:t>
      </w:r>
      <w:r>
        <w:t>-</w:t>
      </w:r>
      <w:r w:rsidRPr="005C4637">
        <w:t>cadres, tranches et options ?</w:t>
      </w:r>
    </w:p>
    <w:p w14:paraId="09C1E6CC" w14:textId="77777777" w:rsidR="00FE4509" w:rsidRPr="005C4637" w:rsidRDefault="00FE4509" w:rsidP="00FE4509">
      <w:r>
        <w:t>Marchés p</w:t>
      </w:r>
      <w:r w:rsidRPr="005C4637">
        <w:t xml:space="preserve">luriannuels : seul le montant couvrant la dépense de l’exercice figure au budget (ordinaire ou extraordinaire) et donc à l’engagement ; idem pour les reconductions tacites. </w:t>
      </w:r>
    </w:p>
    <w:p w14:paraId="6EBFE1F8" w14:textId="77777777" w:rsidR="00FE4509" w:rsidRPr="005C4637" w:rsidRDefault="00FE4509" w:rsidP="00FE4509">
      <w:r w:rsidRPr="005C4637">
        <w:t>Accord</w:t>
      </w:r>
      <w:r>
        <w:t>-</w:t>
      </w:r>
      <w:r w:rsidRPr="005C4637">
        <w:t xml:space="preserve">cadre : l’attribution/conclusion ne vaut pas engagement ; l’engagement se fait à chaque commande. </w:t>
      </w:r>
    </w:p>
    <w:p w14:paraId="524CDA55" w14:textId="77777777" w:rsidR="00FE4509" w:rsidRPr="005C4637" w:rsidRDefault="00FE4509" w:rsidP="00FE4509">
      <w:r w:rsidRPr="005C4637">
        <w:t xml:space="preserve">Tranches fermes/conditionnelles et options : l’attribution n’emporte engagement que pour les tranches fermes ; les tranches conditionnelles  </w:t>
      </w:r>
    </w:p>
    <w:p w14:paraId="6960D6CD" w14:textId="77777777" w:rsidR="00FE4509" w:rsidRPr="005C4637" w:rsidRDefault="00FE4509" w:rsidP="00FE4509">
      <w:r>
        <w:t>Marchés avec options:</w:t>
      </w:r>
      <w:r w:rsidRPr="005C4637">
        <w:t xml:space="preserve"> s’engagent lors de la décision du Collège de les lever/</w:t>
      </w:r>
      <w:r>
        <w:t>commander</w:t>
      </w:r>
    </w:p>
    <w:p w14:paraId="431D7434" w14:textId="77777777" w:rsidR="00FE4509" w:rsidRPr="005C4637" w:rsidRDefault="00FE4509">
      <w:pPr>
        <w:pStyle w:val="Titre4"/>
        <w:numPr>
          <w:ilvl w:val="0"/>
          <w:numId w:val="157"/>
        </w:numPr>
        <w:ind w:left="786"/>
      </w:pPr>
      <w:r w:rsidRPr="005C4637">
        <w:t>Quelles références juridiques clés consulter ?</w:t>
      </w:r>
    </w:p>
    <w:p w14:paraId="5BFFC0C9" w14:textId="77777777" w:rsidR="00FE4509" w:rsidRPr="005C4637" w:rsidRDefault="00FE4509" w:rsidP="00FE4509">
      <w:r w:rsidRPr="005C4637">
        <w:t>Lois du 17 juin 2016 (marchés publics et concessions) ; AR du 14/01/2013 (règles générales d’exécution), AR du 18/04/2017 (passation – secteurs classiques), AR du 18/06/2017 (passation – secteurs spéciaux), AR du 25/06/2017 (passation et règles d’exécution des concessions) ; Loi du 17/06/2013 (motivation, information, voies de recours).</w:t>
      </w:r>
    </w:p>
    <w:p w14:paraId="7D93CD4F" w14:textId="77777777" w:rsidR="00FE4509" w:rsidRPr="005C4637" w:rsidRDefault="00FE4509">
      <w:pPr>
        <w:pStyle w:val="Titre4"/>
        <w:numPr>
          <w:ilvl w:val="0"/>
          <w:numId w:val="157"/>
        </w:numPr>
        <w:ind w:left="786"/>
      </w:pPr>
      <w:r w:rsidRPr="005C4637">
        <w:t>Comment payer un marché annulé par la tutelle mais déjà exécuté ?</w:t>
      </w:r>
    </w:p>
    <w:p w14:paraId="2A385E4A" w14:textId="77777777" w:rsidR="00FE4509" w:rsidRPr="005C4637" w:rsidRDefault="00FE4509" w:rsidP="00FE4509">
      <w:r w:rsidRPr="005C4637">
        <w:t>À titre de tolérance, et en attendant une nouvelle base administrative légale (transaction, jugement civil, etc.), la dépense peut être exécutée à partir des articles budgétaires d’origine. Cette tolérance vise uniquement le paiement et n’implique aucune régularisation du marché ni exonération de responsabilité ; la tutelle se réserve toutes voies de droit en cas de négligence ou d’infractions.</w:t>
      </w:r>
    </w:p>
    <w:p w14:paraId="4F8609D5" w14:textId="77777777" w:rsidR="00FE4509" w:rsidRPr="005C4637" w:rsidRDefault="00FE4509">
      <w:pPr>
        <w:pStyle w:val="Titre4"/>
        <w:numPr>
          <w:ilvl w:val="0"/>
          <w:numId w:val="157"/>
        </w:numPr>
        <w:ind w:left="786"/>
      </w:pPr>
      <w:r w:rsidRPr="005C4637">
        <w:t>Comment intégrer des clauses ESE et favoriser les achats responsables ?</w:t>
      </w:r>
    </w:p>
    <w:p w14:paraId="3E773A05" w14:textId="77777777" w:rsidR="00FC396B" w:rsidRDefault="00FE4509" w:rsidP="00FE4509">
      <w:r w:rsidRPr="005C4637">
        <w:t>Insérer des clauses environnementales, sociales et éthiques (ESE), proportionnées à l’objet et à l’ampleur du marché, afin de promouvoir les achats responsables, l’économie circulaire et le ‘zéro déchet’. Des informations et outils sont disponibles sur le portail des marchés publics de Wallonie ; la Charte ‘Green Deal achats circulaires’ peut également être consultée.</w:t>
      </w:r>
    </w:p>
    <w:p w14:paraId="3E9AD3EF" w14:textId="77777777" w:rsidR="00FE4509" w:rsidRPr="005C4637" w:rsidRDefault="00FE4509">
      <w:pPr>
        <w:pStyle w:val="Titre4"/>
        <w:numPr>
          <w:ilvl w:val="0"/>
          <w:numId w:val="157"/>
        </w:numPr>
        <w:ind w:left="786"/>
      </w:pPr>
      <w:r w:rsidRPr="005C4637">
        <w:t>Quid des avances et indemnités de soumission pour soutenir l’accès des PME ?</w:t>
      </w:r>
    </w:p>
    <w:p w14:paraId="54C15256" w14:textId="77777777" w:rsidR="00FE4509" w:rsidRPr="005C4637" w:rsidRDefault="00FE4509" w:rsidP="00FE4509">
      <w:r w:rsidRPr="005C4637">
        <w:t>La loi du 22/12/2023 permet, dans certains cas, des avances au soumissionnaire retenu et des indemnités de soumission pour les soumissionnaires écartés lorsque des échantillons/maquettes/prototypes/dessins/conceptions sont exigés. À l’attribution, engager le crédit sur l’article des travaux/fournitures/services pour le montant total de l’attribution, augmenté des indemnités aux soumissionnaires écartés ; distinguer clairement ces montants sur l’article (identifiant/caractère), tout en conservant le même numéro de projet.</w:t>
      </w:r>
    </w:p>
    <w:p w14:paraId="17809745" w14:textId="77777777" w:rsidR="00FE4509" w:rsidRPr="005C4637" w:rsidRDefault="00FE4509" w:rsidP="00FE4509">
      <w:pPr>
        <w:pStyle w:val="Titre2"/>
      </w:pPr>
      <w:bookmarkStart w:id="719" w:name="_Toc225504252"/>
      <w:bookmarkStart w:id="720" w:name="_Toc225772341"/>
      <w:bookmarkStart w:id="721" w:name="_Toc226445396"/>
      <w:bookmarkStart w:id="722" w:name="_Toc233626210"/>
      <w:r w:rsidRPr="005C4637">
        <w:lastRenderedPageBreak/>
        <w:t>Investissement par leasing</w:t>
      </w:r>
      <w:bookmarkEnd w:id="719"/>
      <w:bookmarkEnd w:id="720"/>
      <w:bookmarkEnd w:id="721"/>
      <w:bookmarkEnd w:id="722"/>
    </w:p>
    <w:p w14:paraId="3B37E65E" w14:textId="77777777" w:rsidR="00FE4509" w:rsidRPr="005C4637" w:rsidRDefault="00FE4509" w:rsidP="00FE4509">
      <w:pPr>
        <w:pStyle w:val="Titre4"/>
        <w:ind w:left="720"/>
      </w:pPr>
      <w:r w:rsidRPr="005C4637">
        <w:t>Comment budgéter un investissement financé par leasing ?</w:t>
      </w:r>
    </w:p>
    <w:p w14:paraId="6A8D75BE" w14:textId="77777777" w:rsidR="00FE4509" w:rsidRPr="005C4637" w:rsidRDefault="00FE4509" w:rsidP="00FE4509">
      <w:r w:rsidRPr="005C4637">
        <w:t>Inscrire à l’extraordinaire : dépense (748</w:t>
      </w:r>
      <w:r w:rsidRPr="005C4637">
        <w:noBreakHyphen/>
        <w:t>5x) pour le montant de l’investissement ; recette (961</w:t>
      </w:r>
      <w:r w:rsidRPr="005C4637">
        <w:noBreakHyphen/>
        <w:t>53) pour le montant emprunté. La procédure est similaire à celle d’un emprunt traditionnel. Les charges périodiques de leasing relèvent du budget ordinaire.</w:t>
      </w:r>
    </w:p>
    <w:p w14:paraId="4FEAF2CF" w14:textId="77777777" w:rsidR="00FE4509" w:rsidRPr="005C4637" w:rsidRDefault="00FE4509" w:rsidP="00FE4509">
      <w:pPr>
        <w:pStyle w:val="Titre2"/>
      </w:pPr>
      <w:bookmarkStart w:id="723" w:name="_Toc225504253"/>
      <w:bookmarkStart w:id="724" w:name="_Toc225772342"/>
      <w:bookmarkStart w:id="725" w:name="_Toc226445397"/>
      <w:bookmarkStart w:id="726" w:name="_Toc233626211"/>
      <w:r w:rsidRPr="005C4637">
        <w:t>Achat et vente de biens immobiliers</w:t>
      </w:r>
      <w:bookmarkEnd w:id="723"/>
      <w:bookmarkEnd w:id="724"/>
      <w:bookmarkEnd w:id="725"/>
      <w:bookmarkEnd w:id="726"/>
    </w:p>
    <w:p w14:paraId="0371C18D" w14:textId="77777777" w:rsidR="00FE4509" w:rsidRPr="005C4637" w:rsidRDefault="00FE4509" w:rsidP="00FE4509">
      <w:pPr>
        <w:pStyle w:val="Titre4"/>
        <w:ind w:left="720"/>
      </w:pPr>
      <w:r w:rsidRPr="005C4637">
        <w:t>Quelle référence pour les opérations patrimoniales ?</w:t>
      </w:r>
    </w:p>
    <w:p w14:paraId="3E1AE33D" w14:textId="77777777" w:rsidR="00FE4509" w:rsidRDefault="00FE4509" w:rsidP="00FE4509">
      <w:r w:rsidRPr="005C4637">
        <w:t>Se référer à la circulaire du 20 juin 2024 relative aux opérations patrimoniales des pouvoirs locaux.</w:t>
      </w:r>
    </w:p>
    <w:p w14:paraId="4505C2C2" w14:textId="77777777" w:rsidR="007242FE" w:rsidRDefault="007242FE" w:rsidP="00FE4509"/>
    <w:p w14:paraId="5F71C1BF" w14:textId="77777777" w:rsidR="007242FE" w:rsidRDefault="007242FE" w:rsidP="00FE4509"/>
    <w:p w14:paraId="0E7C4321" w14:textId="77777777" w:rsidR="007242FE" w:rsidRPr="005C4637" w:rsidRDefault="007242FE" w:rsidP="00FE4509"/>
    <w:p w14:paraId="0A1B2473" w14:textId="77777777" w:rsidR="00064B5C" w:rsidRDefault="00064B5C" w:rsidP="001A0C1C">
      <w:pPr>
        <w:spacing w:after="160" w:line="257" w:lineRule="auto"/>
        <w:rPr>
          <w:rFonts w:ascii="Cambria" w:eastAsia="MS Mincho" w:hAnsi="Cambria" w:cs="Times New Roman"/>
        </w:rPr>
      </w:pPr>
    </w:p>
    <w:p w14:paraId="4700C383" w14:textId="77777777" w:rsidR="00F64CD0" w:rsidRDefault="00F64CD0" w:rsidP="001A0C1C">
      <w:pPr>
        <w:spacing w:after="160" w:line="257" w:lineRule="auto"/>
        <w:rPr>
          <w:rFonts w:ascii="Cambria" w:eastAsia="MS Mincho" w:hAnsi="Cambria" w:cs="Times New Roman"/>
        </w:rPr>
      </w:pPr>
    </w:p>
    <w:p w14:paraId="159F2D6B" w14:textId="77777777" w:rsidR="00F64CD0" w:rsidRDefault="00F64CD0" w:rsidP="001A0C1C">
      <w:pPr>
        <w:spacing w:after="160" w:line="257" w:lineRule="auto"/>
        <w:rPr>
          <w:rFonts w:ascii="Cambria" w:eastAsia="MS Mincho" w:hAnsi="Cambria" w:cs="Times New Roman"/>
        </w:rPr>
      </w:pPr>
    </w:p>
    <w:p w14:paraId="45BAFDF2" w14:textId="77777777" w:rsidR="00F64CD0" w:rsidRDefault="00F64CD0" w:rsidP="001A0C1C">
      <w:pPr>
        <w:spacing w:after="160" w:line="257" w:lineRule="auto"/>
        <w:rPr>
          <w:rFonts w:ascii="Cambria" w:eastAsia="MS Mincho" w:hAnsi="Cambria" w:cs="Times New Roman"/>
        </w:rPr>
      </w:pPr>
    </w:p>
    <w:p w14:paraId="55784AD9" w14:textId="77777777" w:rsidR="00F64CD0" w:rsidRDefault="00F64CD0" w:rsidP="001A0C1C">
      <w:pPr>
        <w:spacing w:after="160" w:line="257" w:lineRule="auto"/>
        <w:rPr>
          <w:rFonts w:ascii="Cambria" w:eastAsia="MS Mincho" w:hAnsi="Cambria" w:cs="Times New Roman"/>
        </w:rPr>
      </w:pPr>
    </w:p>
    <w:p w14:paraId="2AA502BA" w14:textId="77777777" w:rsidR="00F64CD0" w:rsidRDefault="00F64CD0" w:rsidP="001A0C1C">
      <w:pPr>
        <w:spacing w:after="160" w:line="257" w:lineRule="auto"/>
        <w:rPr>
          <w:rFonts w:ascii="Cambria" w:eastAsia="MS Mincho" w:hAnsi="Cambria" w:cs="Times New Roman"/>
        </w:rPr>
      </w:pPr>
    </w:p>
    <w:p w14:paraId="4CD286B6" w14:textId="77777777" w:rsidR="00F64CD0" w:rsidRDefault="00F64CD0" w:rsidP="001A0C1C">
      <w:pPr>
        <w:spacing w:after="160" w:line="257" w:lineRule="auto"/>
        <w:rPr>
          <w:rFonts w:ascii="Cambria" w:eastAsia="MS Mincho" w:hAnsi="Cambria" w:cs="Times New Roman"/>
        </w:rPr>
      </w:pPr>
    </w:p>
    <w:p w14:paraId="3915CC6E" w14:textId="72A123F2" w:rsidR="00F64CD0" w:rsidRPr="00A73031" w:rsidRDefault="00F64CD0" w:rsidP="00F64CD0">
      <w:pPr>
        <w:jc w:val="left"/>
        <w:rPr>
          <w:rFonts w:ascii="Cambria" w:eastAsia="MS Mincho" w:hAnsi="Cambria" w:cs="Times New Roman"/>
        </w:rPr>
      </w:pPr>
      <w:r>
        <w:rPr>
          <w:rFonts w:ascii="Cambria" w:eastAsia="MS Mincho" w:hAnsi="Cambria" w:cs="Times New Roman"/>
        </w:rPr>
        <w:br w:type="page"/>
      </w:r>
    </w:p>
    <w:p w14:paraId="732E3487" w14:textId="7AC461BB" w:rsidR="00304EEA" w:rsidRPr="005C4637" w:rsidRDefault="00304EEA" w:rsidP="00304EEA">
      <w:pPr>
        <w:pStyle w:val="Titre1"/>
      </w:pPr>
      <w:bookmarkStart w:id="727" w:name="_Toc225504254"/>
      <w:bookmarkStart w:id="728" w:name="_Toc225772343"/>
      <w:bookmarkStart w:id="729" w:name="_Toc233626212"/>
      <w:r w:rsidRPr="005C4637">
        <w:lastRenderedPageBreak/>
        <w:t>FISCALITE COMMUNALE : RECOMMANDATIONS GENERALES</w:t>
      </w:r>
      <w:bookmarkEnd w:id="727"/>
      <w:bookmarkEnd w:id="728"/>
      <w:bookmarkEnd w:id="729"/>
    </w:p>
    <w:p w14:paraId="4EA21282" w14:textId="77777777" w:rsidR="00304EEA" w:rsidRPr="005C4637" w:rsidRDefault="00304EEA" w:rsidP="00304EEA"/>
    <w:p w14:paraId="3AACDB9F" w14:textId="2835E02B" w:rsidR="00304EEA" w:rsidRPr="005C4637" w:rsidRDefault="00304EEA">
      <w:pPr>
        <w:pStyle w:val="Titre2"/>
        <w:numPr>
          <w:ilvl w:val="0"/>
          <w:numId w:val="111"/>
        </w:numPr>
      </w:pPr>
      <w:r w:rsidRPr="005C4637">
        <w:tab/>
      </w:r>
      <w:bookmarkStart w:id="730" w:name="_Toc1912412264"/>
      <w:bookmarkStart w:id="731" w:name="_Toc225504255"/>
      <w:bookmarkStart w:id="732" w:name="_Toc225772344"/>
      <w:bookmarkStart w:id="733" w:name="_Toc233626213"/>
      <w:r w:rsidRPr="005C4637">
        <w:t>Introduction</w:t>
      </w:r>
      <w:bookmarkEnd w:id="730"/>
      <w:bookmarkEnd w:id="731"/>
      <w:bookmarkEnd w:id="732"/>
      <w:bookmarkEnd w:id="733"/>
      <w:r w:rsidRPr="005C4637">
        <w:t xml:space="preserve"> </w:t>
      </w:r>
    </w:p>
    <w:p w14:paraId="147226CD" w14:textId="77777777" w:rsidR="00304EEA" w:rsidRPr="005C4637" w:rsidRDefault="00304EEA" w:rsidP="00304EEA">
      <w:r w:rsidRPr="005C4637">
        <w:t>L'autonomie fiscale dévolue aux pouvoirs locaux doit se concilier avec la responsabilité que s'est donnée le Gouvernement wallon de veiller à la préservation de l'intérêt général qui implique de veiller à ce que la politique fiscale des pouvoirs locaux s'intègre dans le cadre plus global de l'ensemble des fiscalités qui pèsent sur les entreprises et les citoyens wallons.</w:t>
      </w:r>
    </w:p>
    <w:p w14:paraId="7A47373F" w14:textId="77777777" w:rsidR="00304EEA" w:rsidRPr="005C4637" w:rsidRDefault="00304EEA" w:rsidP="00304EEA">
      <w:r w:rsidRPr="005C4637">
        <w:t>Il convient donc que les pouvoirs locaux veillent à pratiquer des politiques cohérentes et raisonnables et que l'effort financier demandé aux contribuables conserve un caractère de juste participation à la vie de la Région.</w:t>
      </w:r>
    </w:p>
    <w:p w14:paraId="191F759C" w14:textId="3E4E424D" w:rsidR="00304EEA" w:rsidRPr="005C4637" w:rsidRDefault="00304EEA" w:rsidP="00304EEA">
      <w:r w:rsidRPr="005C4637">
        <w:t>Je souhaite que les Conseils communaux maintiennent leur collaboration à la poursuite de cet objectif lors de l'exercice</w:t>
      </w:r>
      <w:r w:rsidR="00A54625">
        <w:t>2027</w:t>
      </w:r>
      <w:r w:rsidRPr="005C4637">
        <w:t>.</w:t>
      </w:r>
    </w:p>
    <w:p w14:paraId="66EF8FC0" w14:textId="77777777" w:rsidR="00304EEA" w:rsidRPr="005C4637" w:rsidRDefault="00304EEA" w:rsidP="00304EEA">
      <w:r w:rsidRPr="005C4637">
        <w:t>J'invite ainsi ces Conseils à limiter les champs de leur fiscalité aux taxes et redevances reprises à la nomenclature figurant ci-après. La pratique a démontré que le choix de ces taxes et redevances, communément appliquées aux taux recommandés, garantit une plus grande sécurité juridique et ne risque pas de blesser l'intérêt général. Pour rappel, hormis lorsque de nouvelles recommandations sont apparues depuis 1er janvier 1998, les taxes qui ne sont plus reprises dans la nomenclature ci-annexée ainsi que les taux supérieurs à ceux figurant dans ladite nomenclature, que les communes possédaient au 1er janvier 1998, peuvent néanmoins être maintenus sans obstacle sauf les taxes relatives :</w:t>
      </w:r>
    </w:p>
    <w:p w14:paraId="0F6AADCB" w14:textId="77777777" w:rsidR="00304EEA" w:rsidRPr="005C4637" w:rsidRDefault="00304EEA" w:rsidP="00304EEA">
      <w:r w:rsidRPr="005C4637">
        <w:t>•</w:t>
      </w:r>
      <w:r w:rsidRPr="005C4637">
        <w:tab/>
        <w:t>Aux automates de toute nature (les pompes à carburant, les appareils délivrant des boissons, des aliments, des tabacs, des billets de banque, les guichets automatisés des banques, les lecteurs optiques, ...) ;</w:t>
      </w:r>
    </w:p>
    <w:p w14:paraId="0A99ED96" w14:textId="77777777" w:rsidR="00304EEA" w:rsidRPr="005C4637" w:rsidRDefault="00304EEA" w:rsidP="00304EEA">
      <w:r w:rsidRPr="005C4637">
        <w:t>•</w:t>
      </w:r>
      <w:r w:rsidRPr="005C4637">
        <w:tab/>
        <w:t>Au personnel occupé ;</w:t>
      </w:r>
    </w:p>
    <w:p w14:paraId="4E3C46BE" w14:textId="77777777" w:rsidR="00304EEA" w:rsidRPr="005C4637" w:rsidRDefault="00304EEA" w:rsidP="00304EEA">
      <w:r w:rsidRPr="005C4637">
        <w:t>•</w:t>
      </w:r>
      <w:r w:rsidRPr="005C4637">
        <w:tab/>
        <w:t>Aux immeubles exonérés du précompte immobilier par la Région wallonne.</w:t>
      </w:r>
    </w:p>
    <w:p w14:paraId="7972CA26" w14:textId="77777777" w:rsidR="00304EEA" w:rsidRPr="005C4637" w:rsidRDefault="00304EEA" w:rsidP="00304EEA">
      <w:r w:rsidRPr="005C4637">
        <w:t xml:space="preserve">Pour tout renouvellement d’un règlement-taxe en vigueur à la date de la présente circulaire existant et présentant un taux supérieur à celui repris dans la présente nomenclature, la commune concernée devra m’adresser une note détaillant l’historique ayant mené la commune à adopter ce taux, ainsi que les éventuelles raisons l’empêchant d’amener le taux de la taxe concernée dans la limite énoncée dans cette nomenclature. </w:t>
      </w:r>
    </w:p>
    <w:p w14:paraId="43C21FEC" w14:textId="77777777" w:rsidR="00304EEA" w:rsidRPr="005C4637" w:rsidRDefault="00304EEA" w:rsidP="00304EEA">
      <w:r w:rsidRPr="005C4637">
        <w:t xml:space="preserve">Le respect de la paix fiscale par les pouvoirs locaux s’inscrit dans les objectifs que poursuit le Gouvernement wallon. Il apparaît évident d’assurer la cohérence entre les politiques régionales et les politiques locales en matière de prélèvement de taxes et de redevances. </w:t>
      </w:r>
    </w:p>
    <w:p w14:paraId="473B40CD" w14:textId="77777777" w:rsidR="00304EEA" w:rsidRPr="005C4637" w:rsidRDefault="00304EEA" w:rsidP="00304EEA">
      <w:r w:rsidRPr="005C4637">
        <w:lastRenderedPageBreak/>
        <w:t xml:space="preserve">Les autorités locales seront attentives au fait que l'établissement d'une taxe doit non seulement tenir compte de son rendement net réel, du coût du recensement, de l'enrôlement et de la perception, mais aussi de ses répercussions sociales, environnementales et économiques. Ceci n'exclut évidemment pas le rôle d'outil politique de la fiscalité. La déclaration de politique régionale veut augmenter l’offre de logements de qualité et de mettre en œuvre une politique plus proactive en matière de lutte contre les logements insalubres. Ainsi, il demeure loisible aux communes d'instaurer une taxe sur les immeubles bâtis inoccupés. En effet, les communes constituent le niveau de pouvoir le plus adapté pour apprécier l'opportunité de mettre en place le recouvrement d'une telle taxe et mener les investigations propres à dresser l'inventaire des biens concernés. </w:t>
      </w:r>
    </w:p>
    <w:p w14:paraId="4731D3A9" w14:textId="5BD3CF28" w:rsidR="00304EEA" w:rsidRPr="005C4637" w:rsidRDefault="00304EEA" w:rsidP="00304EEA">
      <w:r w:rsidRPr="005C4637">
        <w:t>Un site internet relatif à la fiscalité communale existe sur le site :  https://interieuwallonie.be (finances &gt; fiscalité &gt; Taxes &amp; Redevances communales).</w:t>
      </w:r>
    </w:p>
    <w:p w14:paraId="5D91D668" w14:textId="77777777" w:rsidR="00304EEA" w:rsidRPr="005C4637" w:rsidRDefault="00304EEA" w:rsidP="00304EEA">
      <w:r w:rsidRPr="005C4637">
        <w:t xml:space="preserve">Vous y trouverez notamment une partie comprenant une liste de modèles de règlements-taxes et de règlements-redevances destinés à aider les communes dans leur travail de réglementation. Ils sont toutefois indicatifs et donc non contraignants. </w:t>
      </w:r>
    </w:p>
    <w:p w14:paraId="3EDB2FB8" w14:textId="77777777" w:rsidR="00304EEA" w:rsidRPr="005C4637" w:rsidRDefault="00304EEA" w:rsidP="00304EEA">
      <w:r w:rsidRPr="005C4637">
        <w:t>Il est néanmoins important de bien structurer sa délibération et, à cet effet, je vous invite à veiller à ce que le préambule respecte rigoureusement la hiérarchie des normes, que le quorum de présence et de vote soient bien spécifiés et que la mention du caractère public de la séance soit inscrite.</w:t>
      </w:r>
    </w:p>
    <w:p w14:paraId="79C27ACF" w14:textId="77777777" w:rsidR="00304EEA" w:rsidRPr="005C4637" w:rsidRDefault="00304EEA" w:rsidP="00304EEA">
      <w:r w:rsidRPr="005C4637">
        <w:t>Si l'autonomie de la commune reste pleine et entière en matière de réglementation fiscale, sous réserve du respect des lois et décrets, ainsi que de l'exercice du contrôle de tutelle, je me dois d'insister sur la nécessité absolue pour les administrations locales d'apporter un soin tout particulier à définir les objectifs qu'elles entendent poursuivre par le vote d'un règlement-taxe ou d’un règlement-redevance. En effet, ce n'est qu'au travers de ces objectifs que non seulement les juridictions pourront juger de la légalité du règlement qui leur est soumis mais aussi, que l’autorité de tutelle pourra effectuer un examen concret et individualisé des circonstances de l'espèce, lorsqu'elle est amenée à apprécier les motifs qui ont justifié l’adoption du règlement qui est soumis à son contrôle.</w:t>
      </w:r>
    </w:p>
    <w:p w14:paraId="34EE56A7" w14:textId="77777777" w:rsidR="00304EEA" w:rsidRPr="005C4637" w:rsidRDefault="00304EEA" w:rsidP="00304EEA">
      <w:r w:rsidRPr="005C4637">
        <w:t>C’est donc à la fois au niveau du préambule du règlement et dans le dossier administratif éventuel que doivent se retrouver non seulement les objectifs, mais également les motivations des règles particulières (exceptions, exonérations, différenciation, etc.).</w:t>
      </w:r>
    </w:p>
    <w:p w14:paraId="367F1D75" w14:textId="77777777" w:rsidR="00304EEA" w:rsidRPr="005C4637" w:rsidRDefault="00304EEA" w:rsidP="00304EEA">
      <w:r w:rsidRPr="005C4637">
        <w:t xml:space="preserve">Je vous invite à être particulièrement attentifs à cette exigence qui s’avère essentiel en cas de contentieux. </w:t>
      </w:r>
    </w:p>
    <w:p w14:paraId="52314045" w14:textId="4599F4B5" w:rsidR="003F6FEE" w:rsidRPr="005C4637" w:rsidRDefault="00304EEA" w:rsidP="00304EEA">
      <w:r w:rsidRPr="005C4637">
        <w:t>Je rappelle qu'à l'exception de ceux établissant les taxes additionnelles à l'impôt des personnes physiques et aux centimes additionnels au précompte immobilier, les règlements relatifs aux taxes et redevances communales sont soumis à la tutelle spéciale d'approbation.</w:t>
      </w:r>
    </w:p>
    <w:p w14:paraId="49FD7344" w14:textId="73022C0D" w:rsidR="00304EEA" w:rsidRPr="005C4637" w:rsidRDefault="005A052E">
      <w:pPr>
        <w:pStyle w:val="Titre3"/>
        <w:numPr>
          <w:ilvl w:val="0"/>
          <w:numId w:val="115"/>
        </w:numPr>
      </w:pPr>
      <w:bookmarkStart w:id="734" w:name="_Toc225504256"/>
      <w:bookmarkStart w:id="735" w:name="_Toc225772345"/>
      <w:bookmarkStart w:id="736" w:name="_Toc233626214"/>
      <w:r w:rsidRPr="005C4637">
        <w:lastRenderedPageBreak/>
        <w:t>Comment rendre opposable un règlement ?</w:t>
      </w:r>
      <w:bookmarkEnd w:id="734"/>
      <w:bookmarkEnd w:id="735"/>
      <w:bookmarkEnd w:id="736"/>
    </w:p>
    <w:p w14:paraId="54E33939" w14:textId="77777777" w:rsidR="002A6554" w:rsidRPr="005C4637" w:rsidRDefault="002A6554" w:rsidP="002A6554">
      <w:pPr>
        <w:spacing w:before="120"/>
        <w:textAlignment w:val="baseline"/>
        <w:rPr>
          <w:rFonts w:cs="Calibri Light"/>
        </w:rPr>
      </w:pPr>
      <w:r w:rsidRPr="005C4637">
        <w:rPr>
          <w:rFonts w:cs="Calibri Light"/>
        </w:rPr>
        <w:t xml:space="preserve">Pour avoir un règlement opposable aux tiers, </w:t>
      </w:r>
      <w:r w:rsidRPr="005C4637">
        <w:rPr>
          <w:rFonts w:cs="Calibri Light"/>
          <w:b/>
          <w:bCs/>
        </w:rPr>
        <w:t xml:space="preserve">la ligne du temps </w:t>
      </w:r>
      <w:r w:rsidRPr="005C4637">
        <w:rPr>
          <w:rFonts w:cs="Calibri Light"/>
        </w:rPr>
        <w:t>suivante doit être respectée pour les règlements relatifs aux taxes et redevances communales (à l'exception, des règlements relatifs aux taxes additionnelles à l'impôt des personnes physiques et aux centimes additionnels au précompte immobilier).</w:t>
      </w:r>
    </w:p>
    <w:p w14:paraId="4090AB42" w14:textId="49715897" w:rsidR="002A6554" w:rsidRPr="005C4637" w:rsidRDefault="002A6554" w:rsidP="002A6554">
      <w:pPr>
        <w:spacing w:before="120"/>
        <w:rPr>
          <w:rFonts w:cs="Calibri Light"/>
        </w:rPr>
      </w:pPr>
    </w:p>
    <w:p w14:paraId="0906DF71" w14:textId="77777777" w:rsidR="002A6554" w:rsidRPr="005C4637" w:rsidRDefault="002A6554" w:rsidP="002A6554">
      <w:pPr>
        <w:spacing w:after="240"/>
        <w:rPr>
          <w:rFonts w:cs="Calibri Light"/>
          <w:b/>
          <w:u w:val="single"/>
        </w:rPr>
      </w:pPr>
      <w:r w:rsidRPr="005C4637">
        <w:rPr>
          <w:rFonts w:cs="Calibri Light"/>
          <w:b/>
          <w:u w:val="single"/>
        </w:rPr>
        <w:t>La ligne du temps peut se schématiser comme suit :</w:t>
      </w:r>
    </w:p>
    <w:p w14:paraId="67B6AB12" w14:textId="77777777" w:rsidR="002A6554" w:rsidRPr="005C4637" w:rsidRDefault="002A6554" w:rsidP="002A6554">
      <w:pPr>
        <w:pStyle w:val="WW-Standard"/>
        <w:rPr>
          <w:rFonts w:asciiTheme="minorHAnsi" w:hAnsiTheme="minorHAnsi" w:cs="Calibri Light"/>
          <w:sz w:val="20"/>
          <w:szCs w:val="20"/>
          <w:lang w:val="fr-BE"/>
        </w:rPr>
      </w:pPr>
      <w:r w:rsidRPr="005C4637">
        <w:rPr>
          <w:rFonts w:asciiTheme="minorHAnsi" w:hAnsiTheme="minorHAnsi" w:cs="Calibri Light"/>
          <w:noProof/>
          <w:sz w:val="20"/>
          <w:szCs w:val="20"/>
          <w:lang w:val="fr-BE" w:eastAsia="fr-BE"/>
        </w:rPr>
        <mc:AlternateContent>
          <mc:Choice Requires="wps">
            <w:drawing>
              <wp:anchor distT="0" distB="0" distL="114300" distR="114300" simplePos="0" relativeHeight="251658246" behindDoc="0" locked="0" layoutInCell="1" allowOverlap="1" wp14:anchorId="774B34AD" wp14:editId="1B30C55D">
                <wp:simplePos x="0" y="0"/>
                <wp:positionH relativeFrom="column">
                  <wp:posOffset>2816117</wp:posOffset>
                </wp:positionH>
                <wp:positionV relativeFrom="paragraph">
                  <wp:posOffset>90218</wp:posOffset>
                </wp:positionV>
                <wp:extent cx="45719" cy="7065034"/>
                <wp:effectExtent l="76200" t="0" r="50165" b="59690"/>
                <wp:wrapNone/>
                <wp:docPr id="739" name="Connecteur droit avec flèche 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70650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02B360" id="_x0000_t32" coordsize="21600,21600" o:spt="32" o:oned="t" path="m,l21600,21600e" filled="f">
                <v:path arrowok="t" fillok="f" o:connecttype="none"/>
                <o:lock v:ext="edit" shapetype="t"/>
              </v:shapetype>
              <v:shape id="Connecteur droit avec flèche 739" o:spid="_x0000_s1026" type="#_x0000_t32" style="position:absolute;margin-left:221.75pt;margin-top:7.1pt;width:3.6pt;height:556.3pt;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">
                <v:stroke endarrow="block"/>
              </v:shape>
            </w:pict>
          </mc:Fallback>
        </mc:AlternateContent>
      </w:r>
      <w:r w:rsidRPr="005C4637">
        <w:rPr>
          <w:rFonts w:asciiTheme="minorHAnsi" w:hAnsiTheme="minorHAnsi" w:cs="Calibri Light"/>
          <w:noProof/>
          <w:sz w:val="20"/>
          <w:szCs w:val="20"/>
          <w:lang w:val="fr-BE" w:eastAsia="fr-BE"/>
        </w:rPr>
        <mc:AlternateContent>
          <mc:Choice Requires="wps">
            <w:drawing>
              <wp:anchor distT="0" distB="0" distL="114300" distR="114300" simplePos="0" relativeHeight="251658263" behindDoc="0" locked="0" layoutInCell="1" allowOverlap="1" wp14:anchorId="391045A5" wp14:editId="404CA202">
                <wp:simplePos x="0" y="0"/>
                <wp:positionH relativeFrom="column">
                  <wp:posOffset>304165</wp:posOffset>
                </wp:positionH>
                <wp:positionV relativeFrom="paragraph">
                  <wp:posOffset>86360</wp:posOffset>
                </wp:positionV>
                <wp:extent cx="1958975" cy="883920"/>
                <wp:effectExtent l="0" t="0" r="22225" b="11430"/>
                <wp:wrapNone/>
                <wp:docPr id="740" name="Zone de text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58975" cy="883920"/>
                        </a:xfrm>
                        <a:prstGeom prst="rect">
                          <a:avLst/>
                        </a:prstGeom>
                        <a:solidFill>
                          <a:srgbClr val="FFFFFF"/>
                        </a:solidFill>
                        <a:ln w="9525">
                          <a:solidFill>
                            <a:srgbClr val="000000"/>
                          </a:solidFill>
                          <a:miter/>
                        </a:ln>
                      </wps:spPr>
                      <wps:txbx>
                        <w:txbxContent>
                          <w:p w14:paraId="39FBFE0F" w14:textId="77777777" w:rsidR="002A6554" w:rsidRPr="005C4637" w:rsidRDefault="002A6554" w:rsidP="002A6554">
                            <w:pPr>
                              <w:rPr>
                                <w:rFonts w:cs="Calibri"/>
                              </w:rPr>
                            </w:pPr>
                            <w:r w:rsidRPr="005C4637">
                              <w:rPr>
                                <w:rFonts w:cs="Calibri"/>
                              </w:rPr>
                              <w:t xml:space="preserve">Accessibilité du dossier (projet de délibération et annexes) au DF pour avis de légalité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391045A5" id="Zone de texte 740" o:spid="_x0000_s1026" style="position:absolute;left:0;text-align:left;margin-left:23.95pt;margin-top:6.8pt;width:154.25pt;height:69.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">
                <v:textbox>
                  <w:txbxContent>
                    <w:p w14:paraId="39FBFE0F" w14:textId="77777777" w:rsidR="002A6554" w:rsidRPr="005C4637" w:rsidRDefault="002A6554" w:rsidP="002A6554">
                      <w:pPr>
                        <w:rPr>
                          <w:rFonts w:cs="Calibri"/>
                        </w:rPr>
                      </w:pPr>
                      <w:r w:rsidRPr="005C4637">
                        <w:rPr>
                          <w:rFonts w:cs="Calibri"/>
                        </w:rPr>
                        <w:t xml:space="preserve">Accessibilité du dossier (projet de délibération et annexes) au DF pour avis de légalité </w:t>
                      </w:r>
                    </w:p>
                  </w:txbxContent>
                </v:textbox>
              </v:rect>
            </w:pict>
          </mc:Fallback>
        </mc:AlternateContent>
      </w:r>
    </w:p>
    <w:p w14:paraId="65CDB425" w14:textId="77777777" w:rsidR="002A6554" w:rsidRPr="005C4637" w:rsidRDefault="002A6554" w:rsidP="002A6554">
      <w:pPr>
        <w:pStyle w:val="WW-Standard"/>
        <w:rPr>
          <w:rFonts w:asciiTheme="minorHAnsi" w:hAnsiTheme="minorHAnsi" w:cs="Calibri Light"/>
          <w:sz w:val="20"/>
          <w:szCs w:val="20"/>
          <w:lang w:val="fr-BE"/>
        </w:rPr>
      </w:pPr>
      <w:r w:rsidRPr="005C4637">
        <w:rPr>
          <w:rFonts w:asciiTheme="minorHAnsi" w:hAnsiTheme="minorHAnsi" w:cs="Calibri Light"/>
          <w:noProof/>
          <w:sz w:val="20"/>
          <w:szCs w:val="20"/>
          <w:lang w:val="fr-BE" w:eastAsia="fr-BE"/>
        </w:rPr>
        <mc:AlternateContent>
          <mc:Choice Requires="wps">
            <w:drawing>
              <wp:anchor distT="0" distB="0" distL="114300" distR="114300" simplePos="0" relativeHeight="251658264" behindDoc="0" locked="0" layoutInCell="1" allowOverlap="1" wp14:anchorId="56F0031D" wp14:editId="50B447F3">
                <wp:simplePos x="0" y="0"/>
                <wp:positionH relativeFrom="column">
                  <wp:posOffset>3548380</wp:posOffset>
                </wp:positionH>
                <wp:positionV relativeFrom="paragraph">
                  <wp:posOffset>52070</wp:posOffset>
                </wp:positionV>
                <wp:extent cx="1714500" cy="1038225"/>
                <wp:effectExtent l="0" t="0" r="19050" b="28575"/>
                <wp:wrapNone/>
                <wp:docPr id="738" name="Zone de texte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38225"/>
                        </a:xfrm>
                        <a:prstGeom prst="rect">
                          <a:avLst/>
                        </a:prstGeom>
                        <a:solidFill>
                          <a:srgbClr val="FFFFFF"/>
                        </a:solidFill>
                        <a:ln w="9525">
                          <a:solidFill>
                            <a:srgbClr val="000000"/>
                          </a:solidFill>
                          <a:miter lim="800000"/>
                          <a:headEnd/>
                          <a:tailEnd/>
                        </a:ln>
                      </wps:spPr>
                      <wps:txbx>
                        <w:txbxContent>
                          <w:p w14:paraId="134E46CA" w14:textId="77777777" w:rsidR="002A6554" w:rsidRPr="005C4637" w:rsidRDefault="002A6554" w:rsidP="002A6554">
                            <w:r w:rsidRPr="005C4637">
                              <w:t xml:space="preserve">Minimum 10 jours ouvrables avant l’envoi de la convocation du Conseil communal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F0031D" id="_x0000_t202" coordsize="21600,21600" o:spt="202" path="m,l,21600r21600,l21600,xe">
                <v:stroke joinstyle="miter"/>
                <v:path gradientshapeok="t" o:connecttype="rect"/>
              </v:shapetype>
              <v:shape id="Zone de texte 738" o:spid="_x0000_s1027" type="#_x0000_t202" style="position:absolute;left:0;text-align:left;margin-left:279.4pt;margin-top:4.1pt;width:135pt;height:81.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">
                <v:textbox>
                  <w:txbxContent>
                    <w:p w14:paraId="134E46CA" w14:textId="77777777" w:rsidR="002A6554" w:rsidRPr="005C4637" w:rsidRDefault="002A6554" w:rsidP="002A6554">
                      <w:r w:rsidRPr="005C4637">
                        <w:t xml:space="preserve">Minimum 10 jours ouvrables avant l’envoi de la convocation du Conseil communal </w:t>
                      </w:r>
                    </w:p>
                  </w:txbxContent>
                </v:textbox>
              </v:shape>
            </w:pict>
          </mc:Fallback>
        </mc:AlternateContent>
      </w:r>
    </w:p>
    <w:p w14:paraId="1F84CAC8" w14:textId="77777777" w:rsidR="002A6554" w:rsidRPr="005C4637" w:rsidRDefault="002A6554" w:rsidP="002A6554">
      <w:pPr>
        <w:pStyle w:val="WW-Standard"/>
        <w:rPr>
          <w:rFonts w:asciiTheme="minorHAnsi" w:hAnsiTheme="minorHAnsi" w:cs="Calibri Light"/>
          <w:sz w:val="20"/>
          <w:szCs w:val="20"/>
          <w:lang w:val="fr-BE"/>
        </w:rPr>
      </w:pPr>
      <w:r w:rsidRPr="005C4637">
        <w:rPr>
          <w:rFonts w:asciiTheme="minorHAnsi" w:hAnsiTheme="minorHAnsi" w:cs="Calibri Light"/>
          <w:noProof/>
          <w:sz w:val="20"/>
          <w:szCs w:val="20"/>
          <w:lang w:val="fr-BE" w:eastAsia="fr-BE"/>
        </w:rPr>
        <mc:AlternateContent>
          <mc:Choice Requires="wps">
            <w:drawing>
              <wp:anchor distT="0" distB="0" distL="114300" distR="114300" simplePos="0" relativeHeight="251658262" behindDoc="0" locked="0" layoutInCell="1" allowOverlap="1" wp14:anchorId="2F391C01" wp14:editId="3CF42D54">
                <wp:simplePos x="0" y="0"/>
                <wp:positionH relativeFrom="column">
                  <wp:posOffset>2263775</wp:posOffset>
                </wp:positionH>
                <wp:positionV relativeFrom="paragraph">
                  <wp:posOffset>132080</wp:posOffset>
                </wp:positionV>
                <wp:extent cx="1095375" cy="635"/>
                <wp:effectExtent l="0" t="76200" r="9525" b="75565"/>
                <wp:wrapNone/>
                <wp:docPr id="737" name="Connecteur droit avec flèche 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32CF2" id="Connecteur droit avec flèche 737" o:spid="_x0000_s1026" type="#_x0000_t32" style="position:absolute;margin-left:178.25pt;margin-top:10.4pt;width:86.25pt;height:.0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">
                <v:stroke endarrow="block"/>
              </v:shape>
            </w:pict>
          </mc:Fallback>
        </mc:AlternateContent>
      </w:r>
    </w:p>
    <w:p w14:paraId="44641E3E" w14:textId="77777777" w:rsidR="002A6554" w:rsidRPr="005C4637" w:rsidRDefault="002A6554" w:rsidP="002A6554">
      <w:pPr>
        <w:rPr>
          <w:rFonts w:cs="Calibri Light"/>
          <w:sz w:val="20"/>
          <w:szCs w:val="20"/>
        </w:rPr>
      </w:pPr>
    </w:p>
    <w:p w14:paraId="4FE90438" w14:textId="77777777" w:rsidR="002A6554" w:rsidRPr="005C4637" w:rsidRDefault="002A6554" w:rsidP="002A6554">
      <w:pPr>
        <w:rPr>
          <w:rFonts w:cs="Calibri Light"/>
          <w:sz w:val="20"/>
          <w:szCs w:val="20"/>
        </w:rPr>
      </w:pPr>
    </w:p>
    <w:p w14:paraId="3953AE10" w14:textId="77777777" w:rsidR="002A6554" w:rsidRPr="005C4637" w:rsidRDefault="002A6554" w:rsidP="002A6554">
      <w:pPr>
        <w:rPr>
          <w:rFonts w:cs="Calibri Light"/>
          <w:sz w:val="20"/>
          <w:szCs w:val="20"/>
        </w:rPr>
      </w:pPr>
    </w:p>
    <w:p w14:paraId="5A496DDC" w14:textId="77777777" w:rsidR="002A6554" w:rsidRPr="005C4637" w:rsidRDefault="002A6554" w:rsidP="002A6554">
      <w:pPr>
        <w:rPr>
          <w:rFonts w:cs="Calibri Light"/>
          <w:sz w:val="20"/>
          <w:szCs w:val="20"/>
        </w:rPr>
      </w:pPr>
    </w:p>
    <w:p w14:paraId="4E0866CA" w14:textId="77777777" w:rsidR="002A6554" w:rsidRPr="005C4637" w:rsidRDefault="002A6554" w:rsidP="002A6554">
      <w:pPr>
        <w:rPr>
          <w:rFonts w:cs="Calibri Light"/>
          <w:sz w:val="20"/>
          <w:szCs w:val="20"/>
        </w:rPr>
      </w:pPr>
      <w:r w:rsidRPr="005C4637">
        <w:rPr>
          <w:rFonts w:cs="Calibri Light"/>
          <w:noProof/>
          <w:sz w:val="20"/>
          <w:szCs w:val="20"/>
          <w:lang w:eastAsia="fr-BE"/>
        </w:rPr>
        <mc:AlternateContent>
          <mc:Choice Requires="wps">
            <w:drawing>
              <wp:anchor distT="0" distB="0" distL="114300" distR="114300" simplePos="0" relativeHeight="251658240" behindDoc="0" locked="0" layoutInCell="1" allowOverlap="1" wp14:anchorId="7E7BB69E" wp14:editId="6B19DA0F">
                <wp:simplePos x="0" y="0"/>
                <wp:positionH relativeFrom="column">
                  <wp:posOffset>260985</wp:posOffset>
                </wp:positionH>
                <wp:positionV relativeFrom="paragraph">
                  <wp:posOffset>4445</wp:posOffset>
                </wp:positionV>
                <wp:extent cx="1958975" cy="495300"/>
                <wp:effectExtent l="0" t="0" r="3175" b="0"/>
                <wp:wrapNone/>
                <wp:docPr id="736" name="Zone de texte 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495300"/>
                        </a:xfrm>
                        <a:prstGeom prst="rect">
                          <a:avLst/>
                        </a:prstGeom>
                        <a:solidFill>
                          <a:srgbClr val="FFFFFF"/>
                        </a:solidFill>
                        <a:ln w="9525">
                          <a:solidFill>
                            <a:srgbClr val="000000"/>
                          </a:solidFill>
                          <a:miter lim="800000"/>
                          <a:headEnd/>
                          <a:tailEnd/>
                        </a:ln>
                      </wps:spPr>
                      <wps:txbx>
                        <w:txbxContent>
                          <w:p w14:paraId="3CFE75D8" w14:textId="77777777" w:rsidR="002A6554" w:rsidRPr="005C4637" w:rsidRDefault="002A6554" w:rsidP="002A6554">
                            <w:pPr>
                              <w:jc w:val="center"/>
                            </w:pPr>
                            <w:r w:rsidRPr="005C4637">
                              <w:t>Fixation de l’ordre du jour du Conseil communal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BB69E" id="Zone de texte 736" o:spid="_x0000_s1028" type="#_x0000_t202" style="position:absolute;left:0;text-align:left;margin-left:20.55pt;margin-top:.35pt;width:154.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">
                <v:textbox>
                  <w:txbxContent>
                    <w:p w14:paraId="3CFE75D8" w14:textId="77777777" w:rsidR="002A6554" w:rsidRPr="005C4637" w:rsidRDefault="002A6554" w:rsidP="002A6554">
                      <w:pPr>
                        <w:jc w:val="center"/>
                      </w:pPr>
                      <w:r w:rsidRPr="005C4637">
                        <w:t>Fixation de l’ordre du jour du Conseil communal</w:t>
                      </w:r>
                    </w:p>
                  </w:txbxContent>
                </v:textbox>
              </v:shape>
            </w:pict>
          </mc:Fallback>
        </mc:AlternateContent>
      </w:r>
    </w:p>
    <w:p w14:paraId="335C335E" w14:textId="77777777" w:rsidR="002A6554" w:rsidRPr="005C4637" w:rsidRDefault="002A6554" w:rsidP="002A6554">
      <w:pPr>
        <w:rPr>
          <w:rFonts w:cs="Calibri Light"/>
          <w:sz w:val="20"/>
          <w:szCs w:val="20"/>
        </w:rPr>
      </w:pPr>
      <w:r w:rsidRPr="005C4637">
        <w:rPr>
          <w:rFonts w:cs="Calibri Light"/>
          <w:noProof/>
          <w:sz w:val="20"/>
          <w:szCs w:val="20"/>
          <w:lang w:eastAsia="fr-BE"/>
        </w:rPr>
        <mc:AlternateContent>
          <mc:Choice Requires="wps">
            <w:drawing>
              <wp:anchor distT="0" distB="0" distL="114300" distR="114300" simplePos="0" relativeHeight="251658254" behindDoc="0" locked="0" layoutInCell="1" allowOverlap="1" wp14:anchorId="59CF6BA8" wp14:editId="0561EFC4">
                <wp:simplePos x="0" y="0"/>
                <wp:positionH relativeFrom="column">
                  <wp:posOffset>3375025</wp:posOffset>
                </wp:positionH>
                <wp:positionV relativeFrom="paragraph">
                  <wp:posOffset>127000</wp:posOffset>
                </wp:positionV>
                <wp:extent cx="137160" cy="762000"/>
                <wp:effectExtent l="0" t="0" r="15240" b="19050"/>
                <wp:wrapNone/>
                <wp:docPr id="29" name="Accolade fermant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762000"/>
                        </a:xfrm>
                        <a:prstGeom prst="rightBrace">
                          <a:avLst>
                            <a:gd name="adj1" fmla="val 602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751D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29" o:spid="_x0000_s1026" type="#_x0000_t88" style="position:absolute;margin-left:265.75pt;margin-top:10pt;width:10.8pt;height:60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" adj="2341"/>
            </w:pict>
          </mc:Fallback>
        </mc:AlternateContent>
      </w:r>
      <w:r w:rsidRPr="005C4637">
        <w:rPr>
          <w:rFonts w:cs="Calibri Light"/>
          <w:noProof/>
          <w:sz w:val="20"/>
          <w:szCs w:val="20"/>
          <w:lang w:eastAsia="fr-BE"/>
        </w:rPr>
        <mc:AlternateContent>
          <mc:Choice Requires="wps">
            <w:drawing>
              <wp:anchor distT="0" distB="0" distL="114300" distR="114300" simplePos="0" relativeHeight="251658261" behindDoc="0" locked="0" layoutInCell="1" allowOverlap="1" wp14:anchorId="1937DC9E" wp14:editId="0F174589">
                <wp:simplePos x="0" y="0"/>
                <wp:positionH relativeFrom="column">
                  <wp:posOffset>2221230</wp:posOffset>
                </wp:positionH>
                <wp:positionV relativeFrom="paragraph">
                  <wp:posOffset>127000</wp:posOffset>
                </wp:positionV>
                <wp:extent cx="1095375" cy="635"/>
                <wp:effectExtent l="0" t="76200" r="9525" b="75565"/>
                <wp:wrapNone/>
                <wp:docPr id="31"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0BBC7" id="Connecteur droit avec flèche 31" o:spid="_x0000_s1026" type="#_x0000_t32" style="position:absolute;margin-left:174.9pt;margin-top:10pt;width:86.25pt;height:.0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">
                <v:stroke endarrow="block"/>
              </v:shape>
            </w:pict>
          </mc:Fallback>
        </mc:AlternateContent>
      </w:r>
    </w:p>
    <w:p w14:paraId="732B6AC5" w14:textId="77777777" w:rsidR="002A6554" w:rsidRPr="005C4637" w:rsidRDefault="002A6554" w:rsidP="002A6554">
      <w:pPr>
        <w:rPr>
          <w:rFonts w:cs="Calibri Light"/>
          <w:sz w:val="20"/>
          <w:szCs w:val="20"/>
        </w:rPr>
      </w:pPr>
    </w:p>
    <w:p w14:paraId="63AC0EA9" w14:textId="77777777" w:rsidR="002A6554" w:rsidRPr="005C4637" w:rsidRDefault="002A6554" w:rsidP="002A6554">
      <w:pPr>
        <w:rPr>
          <w:rFonts w:cs="Calibri Light"/>
          <w:sz w:val="20"/>
          <w:szCs w:val="20"/>
        </w:rPr>
      </w:pPr>
      <w:r w:rsidRPr="005C4637">
        <w:rPr>
          <w:rFonts w:cs="Calibri Light"/>
          <w:noProof/>
          <w:sz w:val="20"/>
          <w:szCs w:val="20"/>
          <w:lang w:eastAsia="fr-BE"/>
        </w:rPr>
        <mc:AlternateContent>
          <mc:Choice Requires="wps">
            <w:drawing>
              <wp:anchor distT="0" distB="0" distL="114300" distR="114300" simplePos="0" relativeHeight="251658257" behindDoc="0" locked="0" layoutInCell="1" allowOverlap="1" wp14:anchorId="0AD34BB9" wp14:editId="670CBF76">
                <wp:simplePos x="0" y="0"/>
                <wp:positionH relativeFrom="column">
                  <wp:posOffset>3582035</wp:posOffset>
                </wp:positionH>
                <wp:positionV relativeFrom="paragraph">
                  <wp:posOffset>16510</wp:posOffset>
                </wp:positionV>
                <wp:extent cx="1736090" cy="288925"/>
                <wp:effectExtent l="0" t="0" r="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288925"/>
                        </a:xfrm>
                        <a:prstGeom prst="rect">
                          <a:avLst/>
                        </a:prstGeom>
                        <a:solidFill>
                          <a:srgbClr val="FFFFFF"/>
                        </a:solidFill>
                        <a:ln w="9525">
                          <a:solidFill>
                            <a:srgbClr val="000000"/>
                          </a:solidFill>
                          <a:miter lim="800000"/>
                          <a:headEnd/>
                          <a:tailEnd/>
                        </a:ln>
                      </wps:spPr>
                      <wps:txbx>
                        <w:txbxContent>
                          <w:p w14:paraId="08FBBDBB" w14:textId="77777777" w:rsidR="002A6554" w:rsidRPr="005C4637" w:rsidRDefault="002A6554" w:rsidP="002A6554">
                            <w:r w:rsidRPr="005C4637">
                              <w:t>Minimum 7 jours francs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D34BB9" id="Zone de texte 27" o:spid="_x0000_s1029" type="#_x0000_t202" style="position:absolute;left:0;text-align:left;margin-left:282.05pt;margin-top:1.3pt;width:136.7pt;height:2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">
                <v:textbox>
                  <w:txbxContent>
                    <w:p w14:paraId="08FBBDBB" w14:textId="77777777" w:rsidR="002A6554" w:rsidRPr="005C4637" w:rsidRDefault="002A6554" w:rsidP="002A6554">
                      <w:r w:rsidRPr="005C4637">
                        <w:t>Minimum 7 jours francs</w:t>
                      </w:r>
                    </w:p>
                  </w:txbxContent>
                </v:textbox>
              </v:shape>
            </w:pict>
          </mc:Fallback>
        </mc:AlternateContent>
      </w:r>
    </w:p>
    <w:p w14:paraId="5ABB566A" w14:textId="77777777" w:rsidR="002A6554" w:rsidRPr="005C4637" w:rsidRDefault="002A6554" w:rsidP="002A6554">
      <w:pPr>
        <w:rPr>
          <w:rFonts w:cs="Calibri Light"/>
          <w:sz w:val="20"/>
          <w:szCs w:val="20"/>
        </w:rPr>
      </w:pPr>
      <w:r w:rsidRPr="005C4637">
        <w:rPr>
          <w:rFonts w:cs="Calibri Light"/>
          <w:noProof/>
          <w:sz w:val="20"/>
          <w:szCs w:val="20"/>
          <w:lang w:eastAsia="fr-BE"/>
        </w:rPr>
        <mc:AlternateContent>
          <mc:Choice Requires="wps">
            <w:drawing>
              <wp:anchor distT="0" distB="0" distL="114300" distR="114300" simplePos="0" relativeHeight="251658241" behindDoc="0" locked="0" layoutInCell="1" allowOverlap="1" wp14:anchorId="6F1A081A" wp14:editId="54B5BF69">
                <wp:simplePos x="0" y="0"/>
                <wp:positionH relativeFrom="column">
                  <wp:posOffset>280670</wp:posOffset>
                </wp:positionH>
                <wp:positionV relativeFrom="paragraph">
                  <wp:posOffset>1270</wp:posOffset>
                </wp:positionV>
                <wp:extent cx="1938655" cy="849630"/>
                <wp:effectExtent l="0" t="0" r="4445" b="762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849630"/>
                        </a:xfrm>
                        <a:prstGeom prst="rect">
                          <a:avLst/>
                        </a:prstGeom>
                        <a:solidFill>
                          <a:srgbClr val="FFFFFF"/>
                        </a:solidFill>
                        <a:ln w="9525">
                          <a:solidFill>
                            <a:srgbClr val="000000"/>
                          </a:solidFill>
                          <a:miter lim="800000"/>
                          <a:headEnd/>
                          <a:tailEnd/>
                        </a:ln>
                      </wps:spPr>
                      <wps:txbx>
                        <w:txbxContent>
                          <w:p w14:paraId="3CAA75BE" w14:textId="77777777" w:rsidR="002A6554" w:rsidRPr="005C4637" w:rsidRDefault="002A6554" w:rsidP="002A6554">
                            <w:pPr>
                              <w:jc w:val="center"/>
                            </w:pPr>
                            <w:r w:rsidRPr="005C4637">
                              <w:t>Convocation du Conseil communal minimum 7 jours francs avant la date du conseil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A081A" id="Zone de texte 30" o:spid="_x0000_s1030" type="#_x0000_t202" style="position:absolute;left:0;text-align:left;margin-left:22.1pt;margin-top:.1pt;width:152.65pt;height:66.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">
                <v:textbox>
                  <w:txbxContent>
                    <w:p w14:paraId="3CAA75BE" w14:textId="77777777" w:rsidR="002A6554" w:rsidRPr="005C4637" w:rsidRDefault="002A6554" w:rsidP="002A6554">
                      <w:pPr>
                        <w:jc w:val="center"/>
                      </w:pPr>
                      <w:r w:rsidRPr="005C4637">
                        <w:t>Convocation du Conseil communal minimum 7 jours francs avant la date du conseil</w:t>
                      </w:r>
                    </w:p>
                  </w:txbxContent>
                </v:textbox>
              </v:shape>
            </w:pict>
          </mc:Fallback>
        </mc:AlternateContent>
      </w:r>
    </w:p>
    <w:p w14:paraId="5FEF055C" w14:textId="77777777" w:rsidR="002A6554" w:rsidRPr="005C4637" w:rsidRDefault="002A6554" w:rsidP="002A6554">
      <w:pPr>
        <w:rPr>
          <w:rFonts w:cs="Calibri Light"/>
          <w:sz w:val="20"/>
          <w:szCs w:val="20"/>
        </w:rPr>
      </w:pPr>
    </w:p>
    <w:p w14:paraId="6FAD86FE" w14:textId="77777777" w:rsidR="002A6554" w:rsidRPr="005C4637" w:rsidRDefault="002A6554" w:rsidP="002A6554">
      <w:pPr>
        <w:rPr>
          <w:rFonts w:cs="Calibri Light"/>
          <w:sz w:val="20"/>
          <w:szCs w:val="20"/>
        </w:rPr>
      </w:pPr>
      <w:r w:rsidRPr="005C4637">
        <w:rPr>
          <w:rFonts w:cs="Calibri Light"/>
          <w:noProof/>
          <w:sz w:val="20"/>
          <w:szCs w:val="20"/>
          <w:lang w:eastAsia="fr-BE"/>
        </w:rPr>
        <mc:AlternateContent>
          <mc:Choice Requires="wps">
            <w:drawing>
              <wp:anchor distT="4294967293" distB="4294967293" distL="114300" distR="114300" simplePos="0" relativeHeight="251658249" behindDoc="0" locked="0" layoutInCell="1" allowOverlap="1" wp14:anchorId="5B7D039F" wp14:editId="6600DADA">
                <wp:simplePos x="0" y="0"/>
                <wp:positionH relativeFrom="column">
                  <wp:posOffset>2221230</wp:posOffset>
                </wp:positionH>
                <wp:positionV relativeFrom="paragraph">
                  <wp:posOffset>81280</wp:posOffset>
                </wp:positionV>
                <wp:extent cx="1095375" cy="0"/>
                <wp:effectExtent l="0" t="76200" r="0" b="76200"/>
                <wp:wrapNone/>
                <wp:docPr id="28" name="Connecteur droit avec flèch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3D8BC" id="Connecteur droit avec flèche 28" o:spid="_x0000_s1026" type="#_x0000_t32" style="position:absolute;margin-left:174.9pt;margin-top:6.4pt;width:86.25pt;height:0;z-index:25165824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">
                <v:stroke endarrow="block"/>
              </v:shape>
            </w:pict>
          </mc:Fallback>
        </mc:AlternateContent>
      </w:r>
    </w:p>
    <w:p w14:paraId="6F209FAD" w14:textId="77777777" w:rsidR="002A6554" w:rsidRPr="005C4637" w:rsidRDefault="002A6554" w:rsidP="002A6554">
      <w:pPr>
        <w:rPr>
          <w:rFonts w:cs="Calibri Light"/>
          <w:sz w:val="20"/>
          <w:szCs w:val="20"/>
        </w:rPr>
      </w:pPr>
    </w:p>
    <w:p w14:paraId="519AB525" w14:textId="77777777" w:rsidR="002A6554" w:rsidRPr="005C4637" w:rsidRDefault="002A6554" w:rsidP="002A6554">
      <w:pPr>
        <w:rPr>
          <w:rFonts w:cs="Calibri Light"/>
          <w:sz w:val="20"/>
          <w:szCs w:val="20"/>
        </w:rPr>
      </w:pPr>
    </w:p>
    <w:p w14:paraId="37242BAD" w14:textId="77777777" w:rsidR="002A6554" w:rsidRPr="005C4637" w:rsidRDefault="002A6554" w:rsidP="002A6554">
      <w:pPr>
        <w:rPr>
          <w:rFonts w:cs="Calibri Light"/>
          <w:sz w:val="20"/>
          <w:szCs w:val="20"/>
        </w:rPr>
      </w:pPr>
    </w:p>
    <w:p w14:paraId="01AC6085" w14:textId="77777777" w:rsidR="002A6554" w:rsidRPr="005C4637" w:rsidRDefault="002A6554" w:rsidP="002A6554">
      <w:pPr>
        <w:rPr>
          <w:rFonts w:cs="Calibri Light"/>
          <w:sz w:val="20"/>
          <w:szCs w:val="20"/>
        </w:rPr>
      </w:pPr>
    </w:p>
    <w:p w14:paraId="4CFF8B88" w14:textId="77777777" w:rsidR="002A6554" w:rsidRPr="005C4637" w:rsidRDefault="002A6554" w:rsidP="002A6554">
      <w:pPr>
        <w:rPr>
          <w:rFonts w:cs="Calibri Light"/>
          <w:sz w:val="20"/>
          <w:szCs w:val="20"/>
        </w:rPr>
      </w:pPr>
      <w:r w:rsidRPr="005C4637">
        <w:rPr>
          <w:rFonts w:cs="Calibri Light"/>
          <w:noProof/>
          <w:sz w:val="20"/>
          <w:szCs w:val="20"/>
          <w:lang w:eastAsia="fr-BE"/>
        </w:rPr>
        <mc:AlternateContent>
          <mc:Choice Requires="wps">
            <w:drawing>
              <wp:anchor distT="0" distB="0" distL="114300" distR="114300" simplePos="0" relativeHeight="251658242" behindDoc="0" locked="0" layoutInCell="1" allowOverlap="1" wp14:anchorId="49D8D335" wp14:editId="1E2B7551">
                <wp:simplePos x="0" y="0"/>
                <wp:positionH relativeFrom="column">
                  <wp:posOffset>304800</wp:posOffset>
                </wp:positionH>
                <wp:positionV relativeFrom="paragraph">
                  <wp:posOffset>158750</wp:posOffset>
                </wp:positionV>
                <wp:extent cx="1938655" cy="496570"/>
                <wp:effectExtent l="0" t="0" r="4445" b="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496570"/>
                        </a:xfrm>
                        <a:prstGeom prst="rect">
                          <a:avLst/>
                        </a:prstGeom>
                        <a:solidFill>
                          <a:srgbClr val="FFFFFF"/>
                        </a:solidFill>
                        <a:ln w="9525">
                          <a:solidFill>
                            <a:srgbClr val="000000"/>
                          </a:solidFill>
                          <a:miter lim="800000"/>
                          <a:headEnd/>
                          <a:tailEnd/>
                        </a:ln>
                      </wps:spPr>
                      <wps:txbx>
                        <w:txbxContent>
                          <w:p w14:paraId="7273C673" w14:textId="77777777" w:rsidR="002A6554" w:rsidRPr="005C4637" w:rsidRDefault="002A6554" w:rsidP="002A6554">
                            <w:pPr>
                              <w:jc w:val="center"/>
                            </w:pPr>
                            <w:r w:rsidRPr="005C4637">
                              <w:t>Débat au Conseil communal + vote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8D335" id="Zone de texte 26" o:spid="_x0000_s1031" type="#_x0000_t202" style="position:absolute;left:0;text-align:left;margin-left:24pt;margin-top:12.5pt;width:152.65pt;height:39.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">
                <v:textbox>
                  <w:txbxContent>
                    <w:p w14:paraId="7273C673" w14:textId="77777777" w:rsidR="002A6554" w:rsidRPr="005C4637" w:rsidRDefault="002A6554" w:rsidP="002A6554">
                      <w:pPr>
                        <w:jc w:val="center"/>
                      </w:pPr>
                      <w:r w:rsidRPr="005C4637">
                        <w:t>Débat au Conseil communal + vote</w:t>
                      </w:r>
                    </w:p>
                  </w:txbxContent>
                </v:textbox>
              </v:shape>
            </w:pict>
          </mc:Fallback>
        </mc:AlternateContent>
      </w:r>
    </w:p>
    <w:p w14:paraId="0298C99D" w14:textId="77777777" w:rsidR="002A6554" w:rsidRPr="005C4637" w:rsidRDefault="002A6554" w:rsidP="002A6554">
      <w:pPr>
        <w:rPr>
          <w:rFonts w:cs="Calibri Light"/>
          <w:sz w:val="20"/>
          <w:szCs w:val="20"/>
        </w:rPr>
      </w:pPr>
    </w:p>
    <w:p w14:paraId="3A7B310D" w14:textId="77777777" w:rsidR="002A6554" w:rsidRPr="005C4637" w:rsidRDefault="002A6554" w:rsidP="002A6554">
      <w:pPr>
        <w:rPr>
          <w:rFonts w:cs="Calibri Light"/>
          <w:sz w:val="20"/>
          <w:szCs w:val="20"/>
        </w:rPr>
      </w:pPr>
      <w:r w:rsidRPr="005C4637">
        <w:rPr>
          <w:rFonts w:cs="Calibri Light"/>
          <w:noProof/>
          <w:sz w:val="20"/>
          <w:szCs w:val="20"/>
          <w:lang w:eastAsia="fr-BE"/>
        </w:rPr>
        <mc:AlternateContent>
          <mc:Choice Requires="wps">
            <w:drawing>
              <wp:anchor distT="0" distB="0" distL="114300" distR="114300" simplePos="0" relativeHeight="251658250" behindDoc="0" locked="0" layoutInCell="1" allowOverlap="1" wp14:anchorId="04406ED5" wp14:editId="36E8A304">
                <wp:simplePos x="0" y="0"/>
                <wp:positionH relativeFrom="column">
                  <wp:posOffset>2244090</wp:posOffset>
                </wp:positionH>
                <wp:positionV relativeFrom="paragraph">
                  <wp:posOffset>83820</wp:posOffset>
                </wp:positionV>
                <wp:extent cx="1095375" cy="635"/>
                <wp:effectExtent l="0" t="76200" r="9525" b="75565"/>
                <wp:wrapNone/>
                <wp:docPr id="25" name="Connecteur droit avec flèch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C6250" id="Connecteur droit avec flèche 25" o:spid="_x0000_s1026" type="#_x0000_t32" style="position:absolute;margin-left:176.7pt;margin-top:6.6pt;width:86.25pt;height:.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">
                <v:stroke endarrow="block"/>
              </v:shape>
            </w:pict>
          </mc:Fallback>
        </mc:AlternateContent>
      </w:r>
      <w:r w:rsidRPr="005C4637">
        <w:rPr>
          <w:rFonts w:cs="Calibri Light"/>
          <w:noProof/>
          <w:sz w:val="20"/>
          <w:szCs w:val="20"/>
          <w:lang w:eastAsia="fr-BE"/>
        </w:rPr>
        <mc:AlternateContent>
          <mc:Choice Requires="wps">
            <w:drawing>
              <wp:anchor distT="0" distB="0" distL="114300" distR="114300" simplePos="0" relativeHeight="251658255" behindDoc="0" locked="0" layoutInCell="1" allowOverlap="1" wp14:anchorId="15C2AECA" wp14:editId="68B84928">
                <wp:simplePos x="0" y="0"/>
                <wp:positionH relativeFrom="column">
                  <wp:posOffset>3443605</wp:posOffset>
                </wp:positionH>
                <wp:positionV relativeFrom="paragraph">
                  <wp:posOffset>122555</wp:posOffset>
                </wp:positionV>
                <wp:extent cx="129540" cy="676910"/>
                <wp:effectExtent l="0" t="0" r="22860" b="27940"/>
                <wp:wrapNone/>
                <wp:docPr id="24" name="Accolade fermant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676910"/>
                        </a:xfrm>
                        <a:prstGeom prst="rightBrace">
                          <a:avLst>
                            <a:gd name="adj1" fmla="val 4817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48A49" id="Accolade fermante 24" o:spid="_x0000_s1026" type="#_x0000_t88" style="position:absolute;margin-left:271.15pt;margin-top:9.65pt;width:10.2pt;height:53.3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" adj="1991"/>
            </w:pict>
          </mc:Fallback>
        </mc:AlternateContent>
      </w:r>
    </w:p>
    <w:p w14:paraId="23158F3A" w14:textId="77777777" w:rsidR="002A6554" w:rsidRPr="005C4637" w:rsidRDefault="002A6554" w:rsidP="002A6554">
      <w:pPr>
        <w:rPr>
          <w:rFonts w:cs="Calibri Light"/>
          <w:sz w:val="20"/>
          <w:szCs w:val="20"/>
        </w:rPr>
      </w:pPr>
      <w:r w:rsidRPr="005C4637">
        <w:rPr>
          <w:rFonts w:cs="Calibri Light"/>
          <w:noProof/>
          <w:sz w:val="20"/>
          <w:szCs w:val="20"/>
          <w:lang w:eastAsia="fr-BE"/>
        </w:rPr>
        <mc:AlternateContent>
          <mc:Choice Requires="wps">
            <w:drawing>
              <wp:anchor distT="0" distB="0" distL="114300" distR="114300" simplePos="0" relativeHeight="251658258" behindDoc="0" locked="0" layoutInCell="1" allowOverlap="1" wp14:anchorId="00DB7234" wp14:editId="7DB8F33A">
                <wp:simplePos x="0" y="0"/>
                <wp:positionH relativeFrom="column">
                  <wp:posOffset>3693795</wp:posOffset>
                </wp:positionH>
                <wp:positionV relativeFrom="paragraph">
                  <wp:posOffset>144780</wp:posOffset>
                </wp:positionV>
                <wp:extent cx="1414145" cy="320040"/>
                <wp:effectExtent l="0" t="0" r="0" b="3810"/>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320040"/>
                        </a:xfrm>
                        <a:prstGeom prst="rect">
                          <a:avLst/>
                        </a:prstGeom>
                        <a:solidFill>
                          <a:srgbClr val="FFFFFF"/>
                        </a:solidFill>
                        <a:ln w="9525">
                          <a:solidFill>
                            <a:srgbClr val="000000"/>
                          </a:solidFill>
                          <a:miter lim="800000"/>
                          <a:headEnd/>
                          <a:tailEnd/>
                        </a:ln>
                      </wps:spPr>
                      <wps:txbx>
                        <w:txbxContent>
                          <w:p w14:paraId="5E910E1B" w14:textId="77777777" w:rsidR="002A6554" w:rsidRPr="005C4637" w:rsidRDefault="002A6554" w:rsidP="002A6554">
                            <w:r w:rsidRPr="005C4637">
                              <w:t>Maximum 15 jours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DB7234" id="Zone de texte 23" o:spid="_x0000_s1032" type="#_x0000_t202" style="position:absolute;left:0;text-align:left;margin-left:290.85pt;margin-top:11.4pt;width:111.35pt;height:25.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">
                <v:textbox>
                  <w:txbxContent>
                    <w:p w14:paraId="5E910E1B" w14:textId="77777777" w:rsidR="002A6554" w:rsidRPr="005C4637" w:rsidRDefault="002A6554" w:rsidP="002A6554">
                      <w:r w:rsidRPr="005C4637">
                        <w:t>Maximum 15 jours</w:t>
                      </w:r>
                    </w:p>
                  </w:txbxContent>
                </v:textbox>
              </v:shape>
            </w:pict>
          </mc:Fallback>
        </mc:AlternateContent>
      </w:r>
    </w:p>
    <w:p w14:paraId="0D2463D6" w14:textId="77777777" w:rsidR="002A6554" w:rsidRPr="005C4637" w:rsidRDefault="002A6554" w:rsidP="002A6554">
      <w:pPr>
        <w:rPr>
          <w:rFonts w:cs="Calibri Light"/>
          <w:sz w:val="20"/>
          <w:szCs w:val="20"/>
        </w:rPr>
      </w:pPr>
    </w:p>
    <w:p w14:paraId="4816D252" w14:textId="77777777" w:rsidR="002A6554" w:rsidRPr="005C4637" w:rsidRDefault="002A6554" w:rsidP="002A6554">
      <w:pPr>
        <w:rPr>
          <w:rFonts w:cs="Calibri Light"/>
          <w:sz w:val="20"/>
          <w:szCs w:val="20"/>
        </w:rPr>
      </w:pPr>
      <w:r w:rsidRPr="005C4637">
        <w:rPr>
          <w:rFonts w:cs="Calibri Light"/>
          <w:noProof/>
          <w:sz w:val="20"/>
          <w:szCs w:val="20"/>
          <w:lang w:eastAsia="fr-BE"/>
        </w:rPr>
        <w:lastRenderedPageBreak/>
        <mc:AlternateContent>
          <mc:Choice Requires="wps">
            <w:drawing>
              <wp:anchor distT="0" distB="0" distL="114300" distR="114300" simplePos="0" relativeHeight="251658243" behindDoc="0" locked="0" layoutInCell="1" allowOverlap="1" wp14:anchorId="3B57FD12" wp14:editId="39946A70">
                <wp:simplePos x="0" y="0"/>
                <wp:positionH relativeFrom="column">
                  <wp:posOffset>312420</wp:posOffset>
                </wp:positionH>
                <wp:positionV relativeFrom="paragraph">
                  <wp:posOffset>7620</wp:posOffset>
                </wp:positionV>
                <wp:extent cx="1938655" cy="694055"/>
                <wp:effectExtent l="0" t="0" r="4445"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694055"/>
                        </a:xfrm>
                        <a:prstGeom prst="rect">
                          <a:avLst/>
                        </a:prstGeom>
                        <a:solidFill>
                          <a:srgbClr val="FFFFFF"/>
                        </a:solidFill>
                        <a:ln w="9525">
                          <a:solidFill>
                            <a:srgbClr val="000000"/>
                          </a:solidFill>
                          <a:miter lim="800000"/>
                          <a:headEnd/>
                          <a:tailEnd/>
                        </a:ln>
                      </wps:spPr>
                      <wps:txbx>
                        <w:txbxContent>
                          <w:p w14:paraId="7DD70409" w14:textId="77777777" w:rsidR="002A6554" w:rsidRPr="005C4637" w:rsidRDefault="002A6554" w:rsidP="002A6554">
                            <w:pPr>
                              <w:jc w:val="center"/>
                            </w:pPr>
                            <w:r w:rsidRPr="005C4637">
                              <w:t>Transmission du règlement fiscal au Gouvernement wallon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7FD12" id="Zone de texte 22" o:spid="_x0000_s1033" type="#_x0000_t202" style="position:absolute;left:0;text-align:left;margin-left:24.6pt;margin-top:.6pt;width:152.65pt;height:5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9CGQIAADIEAAAOAAAAZHJzL2Uyb0RvYy54bWysU9tu2zAMfR+wfxD0vtjJkjQ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">
                <v:textbox>
                  <w:txbxContent>
                    <w:p w14:paraId="7DD70409" w14:textId="77777777" w:rsidR="002A6554" w:rsidRPr="005C4637" w:rsidRDefault="002A6554" w:rsidP="002A6554">
                      <w:pPr>
                        <w:jc w:val="center"/>
                      </w:pPr>
                      <w:r w:rsidRPr="005C4637">
                        <w:t>Transmission du règlement fiscal au Gouvernement wallon</w:t>
                      </w:r>
                    </w:p>
                  </w:txbxContent>
                </v:textbox>
              </v:shape>
            </w:pict>
          </mc:Fallback>
        </mc:AlternateContent>
      </w:r>
    </w:p>
    <w:p w14:paraId="2E8F7BDE" w14:textId="77777777" w:rsidR="002A6554" w:rsidRPr="005C4637" w:rsidRDefault="002A6554" w:rsidP="002A6554">
      <w:pPr>
        <w:rPr>
          <w:rFonts w:cs="Calibri Light"/>
          <w:sz w:val="20"/>
          <w:szCs w:val="20"/>
        </w:rPr>
      </w:pPr>
    </w:p>
    <w:p w14:paraId="518FB296" w14:textId="77777777" w:rsidR="002A6554" w:rsidRPr="005C4637" w:rsidRDefault="002A6554" w:rsidP="002A6554">
      <w:pPr>
        <w:rPr>
          <w:rFonts w:cs="Calibri Light"/>
          <w:sz w:val="20"/>
          <w:szCs w:val="20"/>
        </w:rPr>
      </w:pPr>
      <w:r w:rsidRPr="005C4637">
        <w:rPr>
          <w:rFonts w:cs="Calibri Light"/>
          <w:noProof/>
          <w:sz w:val="20"/>
          <w:szCs w:val="20"/>
          <w:lang w:eastAsia="fr-BE"/>
        </w:rPr>
        <mc:AlternateContent>
          <mc:Choice Requires="wps">
            <w:drawing>
              <wp:anchor distT="0" distB="0" distL="114300" distR="114300" simplePos="0" relativeHeight="251658251" behindDoc="0" locked="0" layoutInCell="1" allowOverlap="1" wp14:anchorId="0DC42ECC" wp14:editId="3A43EEFF">
                <wp:simplePos x="0" y="0"/>
                <wp:positionH relativeFrom="column">
                  <wp:posOffset>2244090</wp:posOffset>
                </wp:positionH>
                <wp:positionV relativeFrom="paragraph">
                  <wp:posOffset>24765</wp:posOffset>
                </wp:positionV>
                <wp:extent cx="1095375" cy="635"/>
                <wp:effectExtent l="0" t="76200" r="9525" b="75565"/>
                <wp:wrapNone/>
                <wp:docPr id="20" name="Connecteur droit avec flèch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B54C0E" id="Connecteur droit avec flèche 20" o:spid="_x0000_s1026" type="#_x0000_t32" style="position:absolute;margin-left:176.7pt;margin-top:1.95pt;width:86.25pt;height:.0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">
                <v:stroke endarrow="block"/>
              </v:shape>
            </w:pict>
          </mc:Fallback>
        </mc:AlternateContent>
      </w:r>
    </w:p>
    <w:p w14:paraId="10C31483" w14:textId="77777777" w:rsidR="002A6554" w:rsidRPr="005C4637" w:rsidRDefault="002A6554" w:rsidP="002A6554">
      <w:pPr>
        <w:rPr>
          <w:rFonts w:cs="Calibri Light"/>
          <w:sz w:val="20"/>
          <w:szCs w:val="20"/>
        </w:rPr>
      </w:pPr>
    </w:p>
    <w:p w14:paraId="26F6AE46" w14:textId="77777777" w:rsidR="002A6554" w:rsidRPr="005C4637" w:rsidRDefault="002A6554" w:rsidP="002A6554">
      <w:pPr>
        <w:rPr>
          <w:rFonts w:cs="Calibri Light"/>
          <w:sz w:val="6"/>
          <w:szCs w:val="6"/>
        </w:rPr>
      </w:pPr>
    </w:p>
    <w:p w14:paraId="60886E3F" w14:textId="77777777" w:rsidR="002A6554" w:rsidRPr="005C4637" w:rsidRDefault="002A6554" w:rsidP="002A6554">
      <w:pPr>
        <w:rPr>
          <w:rFonts w:cs="Calibri Light"/>
          <w:sz w:val="6"/>
          <w:szCs w:val="6"/>
        </w:rPr>
      </w:pPr>
    </w:p>
    <w:p w14:paraId="6CFA5747" w14:textId="77777777" w:rsidR="002A6554" w:rsidRPr="005C4637" w:rsidRDefault="002A6554" w:rsidP="002A6554">
      <w:pPr>
        <w:pStyle w:val="WW-Standard"/>
        <w:rPr>
          <w:rFonts w:asciiTheme="minorHAnsi" w:hAnsiTheme="minorHAnsi" w:cs="Calibri Light"/>
          <w:sz w:val="6"/>
          <w:szCs w:val="6"/>
          <w:lang w:val="fr-BE"/>
        </w:rPr>
      </w:pPr>
    </w:p>
    <w:p w14:paraId="5AF32A50" w14:textId="77777777" w:rsidR="002A6554" w:rsidRPr="005C4637" w:rsidRDefault="002A6554" w:rsidP="002A6554">
      <w:pPr>
        <w:pStyle w:val="WW-Standard"/>
        <w:rPr>
          <w:rFonts w:asciiTheme="minorHAnsi" w:hAnsiTheme="minorHAnsi" w:cs="Calibri Light"/>
          <w:sz w:val="20"/>
          <w:szCs w:val="20"/>
          <w:lang w:val="fr-BE"/>
        </w:rPr>
      </w:pPr>
      <w:r w:rsidRPr="005C4637">
        <w:rPr>
          <w:rFonts w:asciiTheme="minorHAnsi" w:hAnsiTheme="minorHAnsi" w:cs="Calibri Light"/>
          <w:noProof/>
          <w:sz w:val="20"/>
          <w:szCs w:val="20"/>
          <w:lang w:val="fr-BE" w:eastAsia="fr-BE"/>
        </w:rPr>
        <mc:AlternateContent>
          <mc:Choice Requires="wps">
            <w:drawing>
              <wp:anchor distT="0" distB="0" distL="114300" distR="114300" simplePos="0" relativeHeight="251658244" behindDoc="0" locked="0" layoutInCell="1" allowOverlap="1" wp14:anchorId="5B3490E4" wp14:editId="0AA75605">
                <wp:simplePos x="0" y="0"/>
                <wp:positionH relativeFrom="column">
                  <wp:posOffset>309245</wp:posOffset>
                </wp:positionH>
                <wp:positionV relativeFrom="paragraph">
                  <wp:posOffset>77470</wp:posOffset>
                </wp:positionV>
                <wp:extent cx="1938655" cy="382905"/>
                <wp:effectExtent l="0" t="0" r="4445"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382905"/>
                        </a:xfrm>
                        <a:prstGeom prst="rect">
                          <a:avLst/>
                        </a:prstGeom>
                        <a:solidFill>
                          <a:srgbClr val="FFFFFF"/>
                        </a:solidFill>
                        <a:ln w="9525">
                          <a:solidFill>
                            <a:srgbClr val="000000"/>
                          </a:solidFill>
                          <a:miter lim="800000"/>
                          <a:headEnd/>
                          <a:tailEnd/>
                        </a:ln>
                      </wps:spPr>
                      <wps:txbx>
                        <w:txbxContent>
                          <w:p w14:paraId="3CC2D27E" w14:textId="77777777" w:rsidR="002A6554" w:rsidRPr="005C4637" w:rsidRDefault="002A6554" w:rsidP="002A6554">
                            <w:pPr>
                              <w:jc w:val="center"/>
                            </w:pPr>
                            <w:r w:rsidRPr="005C4637">
                              <w:t>Approbation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490E4" id="Zone de texte 18" o:spid="_x0000_s1034" type="#_x0000_t202" style="position:absolute;left:0;text-align:left;margin-left:24.35pt;margin-top:6.1pt;width:152.65pt;height:30.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">
                <v:textbox>
                  <w:txbxContent>
                    <w:p w14:paraId="3CC2D27E" w14:textId="77777777" w:rsidR="002A6554" w:rsidRPr="005C4637" w:rsidRDefault="002A6554" w:rsidP="002A6554">
                      <w:pPr>
                        <w:jc w:val="center"/>
                      </w:pPr>
                      <w:r w:rsidRPr="005C4637">
                        <w:t>Approbation</w:t>
                      </w:r>
                    </w:p>
                  </w:txbxContent>
                </v:textbox>
              </v:shape>
            </w:pict>
          </mc:Fallback>
        </mc:AlternateContent>
      </w:r>
    </w:p>
    <w:p w14:paraId="3DAB3214" w14:textId="77777777" w:rsidR="002A6554" w:rsidRPr="005C4637" w:rsidRDefault="002A6554" w:rsidP="002A6554">
      <w:pPr>
        <w:pStyle w:val="WW-Standard"/>
        <w:rPr>
          <w:rFonts w:asciiTheme="minorHAnsi" w:hAnsiTheme="minorHAnsi" w:cs="Calibri Light"/>
          <w:sz w:val="20"/>
          <w:szCs w:val="20"/>
          <w:lang w:val="fr-BE"/>
        </w:rPr>
      </w:pPr>
      <w:r w:rsidRPr="005C4637">
        <w:rPr>
          <w:rFonts w:asciiTheme="minorHAnsi" w:hAnsiTheme="minorHAnsi" w:cs="Calibri Light"/>
          <w:noProof/>
          <w:sz w:val="20"/>
          <w:szCs w:val="20"/>
          <w:lang w:val="fr-BE" w:eastAsia="fr-BE"/>
        </w:rPr>
        <mc:AlternateContent>
          <mc:Choice Requires="wps">
            <w:drawing>
              <wp:anchor distT="0" distB="0" distL="114300" distR="114300" simplePos="0" relativeHeight="251658256" behindDoc="0" locked="0" layoutInCell="1" allowOverlap="1" wp14:anchorId="509BB377" wp14:editId="0040B82C">
                <wp:simplePos x="0" y="0"/>
                <wp:positionH relativeFrom="column">
                  <wp:posOffset>3405505</wp:posOffset>
                </wp:positionH>
                <wp:positionV relativeFrom="paragraph">
                  <wp:posOffset>85725</wp:posOffset>
                </wp:positionV>
                <wp:extent cx="152400" cy="664210"/>
                <wp:effectExtent l="0" t="0" r="19050" b="21590"/>
                <wp:wrapNone/>
                <wp:docPr id="21" name="Accolade fermant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664210"/>
                        </a:xfrm>
                        <a:prstGeom prst="rightBrace">
                          <a:avLst>
                            <a:gd name="adj1" fmla="val 419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3435D" id="Accolade fermante 21" o:spid="_x0000_s1026" type="#_x0000_t88" style="position:absolute;margin-left:268.15pt;margin-top:6.75pt;width:12pt;height:52.3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" adj="2080"/>
            </w:pict>
          </mc:Fallback>
        </mc:AlternateContent>
      </w:r>
      <w:r w:rsidRPr="005C4637">
        <w:rPr>
          <w:rFonts w:asciiTheme="minorHAnsi" w:hAnsiTheme="minorHAnsi" w:cs="Calibri Light"/>
          <w:noProof/>
          <w:sz w:val="20"/>
          <w:szCs w:val="20"/>
          <w:lang w:val="fr-BE" w:eastAsia="fr-BE"/>
        </w:rPr>
        <mc:AlternateContent>
          <mc:Choice Requires="wps">
            <w:drawing>
              <wp:anchor distT="0" distB="0" distL="114300" distR="114300" simplePos="0" relativeHeight="251658259" behindDoc="0" locked="0" layoutInCell="1" allowOverlap="1" wp14:anchorId="4DE61E97" wp14:editId="10305FF3">
                <wp:simplePos x="0" y="0"/>
                <wp:positionH relativeFrom="column">
                  <wp:posOffset>3669665</wp:posOffset>
                </wp:positionH>
                <wp:positionV relativeFrom="paragraph">
                  <wp:posOffset>123825</wp:posOffset>
                </wp:positionV>
                <wp:extent cx="1590675" cy="514350"/>
                <wp:effectExtent l="0" t="0" r="9525"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14350"/>
                        </a:xfrm>
                        <a:prstGeom prst="rect">
                          <a:avLst/>
                        </a:prstGeom>
                        <a:solidFill>
                          <a:srgbClr val="FFFFFF"/>
                        </a:solidFill>
                        <a:ln w="9525">
                          <a:solidFill>
                            <a:srgbClr val="000000"/>
                          </a:solidFill>
                          <a:miter lim="800000"/>
                          <a:headEnd/>
                          <a:tailEnd/>
                        </a:ln>
                      </wps:spPr>
                      <wps:txbx>
                        <w:txbxContent>
                          <w:p w14:paraId="1912041E" w14:textId="77777777" w:rsidR="002A6554" w:rsidRPr="005C4637" w:rsidRDefault="002A6554" w:rsidP="002A6554">
                            <w:r w:rsidRPr="005C4637">
                              <w:t>Délai de 30 jours sauf prorogation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61E97" id="Zone de texte 19" o:spid="_x0000_s1035" type="#_x0000_t202" style="position:absolute;left:0;text-align:left;margin-left:288.95pt;margin-top:9.75pt;width:125.25pt;height:40.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">
                <v:textbox>
                  <w:txbxContent>
                    <w:p w14:paraId="1912041E" w14:textId="77777777" w:rsidR="002A6554" w:rsidRPr="005C4637" w:rsidRDefault="002A6554" w:rsidP="002A6554">
                      <w:r w:rsidRPr="005C4637">
                        <w:t>Délai de 30 jours sauf prorogation</w:t>
                      </w:r>
                    </w:p>
                  </w:txbxContent>
                </v:textbox>
              </v:shape>
            </w:pict>
          </mc:Fallback>
        </mc:AlternateContent>
      </w:r>
      <w:r w:rsidRPr="005C4637">
        <w:rPr>
          <w:rFonts w:asciiTheme="minorHAnsi" w:hAnsiTheme="minorHAnsi" w:cs="Calibri Light"/>
          <w:noProof/>
          <w:sz w:val="20"/>
          <w:szCs w:val="20"/>
          <w:lang w:val="fr-BE" w:eastAsia="fr-BE"/>
        </w:rPr>
        <mc:AlternateContent>
          <mc:Choice Requires="wps">
            <w:drawing>
              <wp:anchor distT="0" distB="0" distL="114300" distR="114300" simplePos="0" relativeHeight="251658252" behindDoc="0" locked="0" layoutInCell="1" allowOverlap="1" wp14:anchorId="2ADDAE04" wp14:editId="1569A6E6">
                <wp:simplePos x="0" y="0"/>
                <wp:positionH relativeFrom="column">
                  <wp:posOffset>2212975</wp:posOffset>
                </wp:positionH>
                <wp:positionV relativeFrom="paragraph">
                  <wp:posOffset>62865</wp:posOffset>
                </wp:positionV>
                <wp:extent cx="1095375" cy="635"/>
                <wp:effectExtent l="0" t="76200" r="9525" b="75565"/>
                <wp:wrapNone/>
                <wp:docPr id="17" name="Connecteur droit avec flèch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F4DF9" id="Connecteur droit avec flèche 17" o:spid="_x0000_s1026" type="#_x0000_t32" style="position:absolute;margin-left:174.25pt;margin-top:4.95pt;width:86.25pt;height:.0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">
                <v:stroke endarrow="block"/>
              </v:shape>
            </w:pict>
          </mc:Fallback>
        </mc:AlternateContent>
      </w:r>
    </w:p>
    <w:p w14:paraId="6BACFC22" w14:textId="77777777" w:rsidR="002A6554" w:rsidRPr="005C4637" w:rsidRDefault="002A6554" w:rsidP="002A6554">
      <w:pPr>
        <w:pStyle w:val="WW-Standard"/>
        <w:rPr>
          <w:rFonts w:asciiTheme="minorHAnsi" w:hAnsiTheme="minorHAnsi" w:cs="Calibri Light"/>
          <w:sz w:val="20"/>
          <w:szCs w:val="20"/>
          <w:lang w:val="fr-BE"/>
        </w:rPr>
      </w:pPr>
      <w:r w:rsidRPr="005C4637">
        <w:rPr>
          <w:rFonts w:asciiTheme="minorHAnsi" w:hAnsiTheme="minorHAnsi" w:cs="Calibri Light"/>
          <w:noProof/>
          <w:sz w:val="20"/>
          <w:szCs w:val="20"/>
          <w:lang w:val="fr-BE" w:eastAsia="fr-BE"/>
        </w:rPr>
        <mc:AlternateContent>
          <mc:Choice Requires="wps">
            <w:drawing>
              <wp:anchor distT="0" distB="0" distL="114300" distR="114300" simplePos="0" relativeHeight="251658247" behindDoc="0" locked="0" layoutInCell="1" allowOverlap="1" wp14:anchorId="1134780F" wp14:editId="24EE9B43">
                <wp:simplePos x="0" y="0"/>
                <wp:positionH relativeFrom="column">
                  <wp:posOffset>304800</wp:posOffset>
                </wp:positionH>
                <wp:positionV relativeFrom="paragraph">
                  <wp:posOffset>180340</wp:posOffset>
                </wp:positionV>
                <wp:extent cx="1938655" cy="668020"/>
                <wp:effectExtent l="0" t="0" r="4445" b="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668020"/>
                        </a:xfrm>
                        <a:prstGeom prst="rect">
                          <a:avLst/>
                        </a:prstGeom>
                        <a:solidFill>
                          <a:srgbClr val="FFFFFF"/>
                        </a:solidFill>
                        <a:ln w="9525">
                          <a:solidFill>
                            <a:srgbClr val="000000"/>
                          </a:solidFill>
                          <a:miter lim="800000"/>
                          <a:headEnd/>
                          <a:tailEnd/>
                        </a:ln>
                      </wps:spPr>
                      <wps:txbx>
                        <w:txbxContent>
                          <w:p w14:paraId="6334AC4B" w14:textId="77777777" w:rsidR="002A6554" w:rsidRPr="005C4637" w:rsidRDefault="002A6554" w:rsidP="002A6554">
                            <w:pPr>
                              <w:jc w:val="center"/>
                            </w:pPr>
                            <w:r w:rsidRPr="005C4637">
                              <w:t>Réception de l’arrêté ministériel au Collège communal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4780F" id="Zone de texte 16" o:spid="_x0000_s1036" type="#_x0000_t202" style="position:absolute;left:0;text-align:left;margin-left:24pt;margin-top:14.2pt;width:152.65pt;height:52.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">
                <v:textbox>
                  <w:txbxContent>
                    <w:p w14:paraId="6334AC4B" w14:textId="77777777" w:rsidR="002A6554" w:rsidRPr="005C4637" w:rsidRDefault="002A6554" w:rsidP="002A6554">
                      <w:pPr>
                        <w:jc w:val="center"/>
                      </w:pPr>
                      <w:r w:rsidRPr="005C4637">
                        <w:t>Réception de l’arrêté ministériel au Collège communal</w:t>
                      </w:r>
                    </w:p>
                  </w:txbxContent>
                </v:textbox>
              </v:shape>
            </w:pict>
          </mc:Fallback>
        </mc:AlternateContent>
      </w:r>
    </w:p>
    <w:p w14:paraId="6651A081" w14:textId="77777777" w:rsidR="002A6554" w:rsidRPr="005C4637" w:rsidRDefault="002A6554" w:rsidP="002A6554">
      <w:pPr>
        <w:pStyle w:val="WW-Standard"/>
        <w:rPr>
          <w:rFonts w:asciiTheme="minorHAnsi" w:hAnsiTheme="minorHAnsi" w:cs="Calibri Light"/>
          <w:sz w:val="20"/>
          <w:szCs w:val="20"/>
          <w:lang w:val="fr-BE"/>
        </w:rPr>
      </w:pPr>
    </w:p>
    <w:p w14:paraId="64877450" w14:textId="77777777" w:rsidR="002A6554" w:rsidRPr="005C4637" w:rsidRDefault="002A6554" w:rsidP="002A6554">
      <w:pPr>
        <w:pStyle w:val="WW-Standard"/>
        <w:rPr>
          <w:rFonts w:asciiTheme="minorHAnsi" w:hAnsiTheme="minorHAnsi" w:cs="Calibri Light"/>
          <w:sz w:val="20"/>
          <w:szCs w:val="20"/>
          <w:lang w:val="fr-BE"/>
        </w:rPr>
      </w:pPr>
      <w:r w:rsidRPr="005C4637">
        <w:rPr>
          <w:rFonts w:asciiTheme="minorHAnsi" w:hAnsiTheme="minorHAnsi" w:cs="Calibri Light"/>
          <w:noProof/>
          <w:sz w:val="20"/>
          <w:szCs w:val="20"/>
          <w:lang w:val="fr-BE" w:eastAsia="fr-BE"/>
        </w:rPr>
        <mc:AlternateContent>
          <mc:Choice Requires="wps">
            <w:drawing>
              <wp:anchor distT="0" distB="0" distL="114300" distR="114300" simplePos="0" relativeHeight="251658266" behindDoc="0" locked="0" layoutInCell="1" allowOverlap="1" wp14:anchorId="70C71B93" wp14:editId="2179C61F">
                <wp:simplePos x="0" y="0"/>
                <wp:positionH relativeFrom="margin">
                  <wp:posOffset>3390265</wp:posOffset>
                </wp:positionH>
                <wp:positionV relativeFrom="paragraph">
                  <wp:posOffset>123825</wp:posOffset>
                </wp:positionV>
                <wp:extent cx="144780" cy="876935"/>
                <wp:effectExtent l="0" t="0" r="26670" b="18415"/>
                <wp:wrapNone/>
                <wp:docPr id="32" name="Accolade fermant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876935"/>
                        </a:xfrm>
                        <a:prstGeom prst="rightBrace">
                          <a:avLst>
                            <a:gd name="adj1" fmla="val 419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BD09D" id="Accolade fermante 32" o:spid="_x0000_s1026" type="#_x0000_t88" style="position:absolute;margin-left:266.95pt;margin-top:9.75pt;width:11.4pt;height:69.0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" adj="1497">
                <w10:wrap anchorx="margin"/>
              </v:shape>
            </w:pict>
          </mc:Fallback>
        </mc:AlternateContent>
      </w:r>
      <w:r w:rsidRPr="005C4637">
        <w:rPr>
          <w:rFonts w:asciiTheme="minorHAnsi" w:hAnsiTheme="minorHAnsi" w:cs="Calibri Light"/>
          <w:noProof/>
          <w:sz w:val="20"/>
          <w:szCs w:val="20"/>
          <w:lang w:val="fr-BE" w:eastAsia="fr-BE"/>
        </w:rPr>
        <mc:AlternateContent>
          <mc:Choice Requires="wps">
            <w:drawing>
              <wp:anchor distT="0" distB="0" distL="114300" distR="114300" simplePos="0" relativeHeight="251658253" behindDoc="0" locked="0" layoutInCell="1" allowOverlap="1" wp14:anchorId="57B26682" wp14:editId="72135B7F">
                <wp:simplePos x="0" y="0"/>
                <wp:positionH relativeFrom="column">
                  <wp:posOffset>2231390</wp:posOffset>
                </wp:positionH>
                <wp:positionV relativeFrom="paragraph">
                  <wp:posOffset>51435</wp:posOffset>
                </wp:positionV>
                <wp:extent cx="1071245" cy="635"/>
                <wp:effectExtent l="0" t="76200" r="0" b="75565"/>
                <wp:wrapNone/>
                <wp:docPr id="15"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2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52B2C" id="Connecteur droit avec flèche 15" o:spid="_x0000_s1026" type="#_x0000_t32" style="position:absolute;margin-left:175.7pt;margin-top:4.05pt;width:84.35pt;height:.0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">
                <v:stroke endarrow="block"/>
              </v:shape>
            </w:pict>
          </mc:Fallback>
        </mc:AlternateContent>
      </w:r>
    </w:p>
    <w:p w14:paraId="3B862024" w14:textId="77777777" w:rsidR="002A6554" w:rsidRPr="005C4637" w:rsidRDefault="002A6554" w:rsidP="002A6554">
      <w:pPr>
        <w:pStyle w:val="WW-Standard"/>
        <w:rPr>
          <w:rFonts w:asciiTheme="minorHAnsi" w:hAnsiTheme="minorHAnsi" w:cs="Calibri Light"/>
          <w:sz w:val="20"/>
          <w:szCs w:val="20"/>
          <w:lang w:val="fr-BE"/>
        </w:rPr>
      </w:pPr>
      <w:r w:rsidRPr="005C4637">
        <w:rPr>
          <w:rFonts w:asciiTheme="minorHAnsi" w:hAnsiTheme="minorHAnsi" w:cs="Calibri Light"/>
          <w:noProof/>
          <w:sz w:val="20"/>
          <w:szCs w:val="20"/>
          <w:lang w:val="fr-BE" w:eastAsia="fr-BE"/>
        </w:rPr>
        <mc:AlternateContent>
          <mc:Choice Requires="wps">
            <w:drawing>
              <wp:anchor distT="0" distB="0" distL="114300" distR="114300" simplePos="0" relativeHeight="251658260" behindDoc="0" locked="0" layoutInCell="1" allowOverlap="1" wp14:anchorId="6BAA01E8" wp14:editId="74181B56">
                <wp:simplePos x="0" y="0"/>
                <wp:positionH relativeFrom="column">
                  <wp:posOffset>3646805</wp:posOffset>
                </wp:positionH>
                <wp:positionV relativeFrom="paragraph">
                  <wp:posOffset>82550</wp:posOffset>
                </wp:positionV>
                <wp:extent cx="1675765" cy="485775"/>
                <wp:effectExtent l="0" t="0" r="635"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765" cy="485775"/>
                        </a:xfrm>
                        <a:prstGeom prst="rect">
                          <a:avLst/>
                        </a:prstGeom>
                        <a:solidFill>
                          <a:srgbClr val="FFFFFF"/>
                        </a:solidFill>
                        <a:ln w="9525">
                          <a:solidFill>
                            <a:srgbClr val="000000"/>
                          </a:solidFill>
                          <a:miter lim="800000"/>
                          <a:headEnd/>
                          <a:tailEnd/>
                        </a:ln>
                      </wps:spPr>
                      <wps:txbx>
                        <w:txbxContent>
                          <w:p w14:paraId="76C29854" w14:textId="77777777" w:rsidR="002A6554" w:rsidRPr="005C4637" w:rsidRDefault="002A6554" w:rsidP="002A6554">
                            <w:r w:rsidRPr="005C4637">
                              <w:t>5 jours sauf disposition contraire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A01E8" id="Zone de texte 11" o:spid="_x0000_s1037" type="#_x0000_t202" style="position:absolute;left:0;text-align:left;margin-left:287.15pt;margin-top:6.5pt;width:131.95pt;height:38.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">
                <v:textbox>
                  <w:txbxContent>
                    <w:p w14:paraId="76C29854" w14:textId="77777777" w:rsidR="002A6554" w:rsidRPr="005C4637" w:rsidRDefault="002A6554" w:rsidP="002A6554">
                      <w:r w:rsidRPr="005C4637">
                        <w:t>5 jours sauf disposition contraire</w:t>
                      </w:r>
                    </w:p>
                  </w:txbxContent>
                </v:textbox>
              </v:shape>
            </w:pict>
          </mc:Fallback>
        </mc:AlternateContent>
      </w:r>
    </w:p>
    <w:p w14:paraId="238BE151" w14:textId="77777777" w:rsidR="002A6554" w:rsidRPr="005C4637" w:rsidRDefault="002A6554" w:rsidP="002A6554">
      <w:pPr>
        <w:pStyle w:val="WW-Standard"/>
        <w:rPr>
          <w:rFonts w:asciiTheme="minorHAnsi" w:hAnsiTheme="minorHAnsi" w:cs="Calibri Light"/>
          <w:sz w:val="20"/>
          <w:szCs w:val="20"/>
          <w:lang w:val="fr-BE"/>
        </w:rPr>
      </w:pPr>
    </w:p>
    <w:p w14:paraId="484FAAE8" w14:textId="77777777" w:rsidR="002A6554" w:rsidRPr="005C4637" w:rsidRDefault="002A6554" w:rsidP="002A6554">
      <w:pPr>
        <w:pStyle w:val="WW-Standard"/>
        <w:rPr>
          <w:rFonts w:asciiTheme="minorHAnsi" w:hAnsiTheme="minorHAnsi" w:cs="Calibri Light"/>
          <w:sz w:val="20"/>
          <w:szCs w:val="20"/>
          <w:lang w:val="fr-BE"/>
        </w:rPr>
      </w:pPr>
      <w:r w:rsidRPr="005C4637">
        <w:rPr>
          <w:rFonts w:asciiTheme="minorHAnsi" w:hAnsiTheme="minorHAnsi" w:cs="Calibri Light"/>
          <w:noProof/>
          <w:sz w:val="20"/>
          <w:szCs w:val="20"/>
          <w:lang w:val="fr-BE" w:eastAsia="fr-BE"/>
        </w:rPr>
        <mc:AlternateContent>
          <mc:Choice Requires="wps">
            <w:drawing>
              <wp:anchor distT="0" distB="0" distL="114300" distR="114300" simplePos="0" relativeHeight="251658245" behindDoc="0" locked="0" layoutInCell="1" allowOverlap="1" wp14:anchorId="5BDDAE66" wp14:editId="62785825">
                <wp:simplePos x="0" y="0"/>
                <wp:positionH relativeFrom="margin">
                  <wp:posOffset>3486150</wp:posOffset>
                </wp:positionH>
                <wp:positionV relativeFrom="paragraph">
                  <wp:posOffset>127000</wp:posOffset>
                </wp:positionV>
                <wp:extent cx="1724660" cy="342900"/>
                <wp:effectExtent l="0" t="0" r="27940" b="1905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342900"/>
                        </a:xfrm>
                        <a:prstGeom prst="rect">
                          <a:avLst/>
                        </a:prstGeom>
                        <a:solidFill>
                          <a:srgbClr val="FFFFFF"/>
                        </a:solidFill>
                        <a:ln w="9525">
                          <a:solidFill>
                            <a:srgbClr val="000000"/>
                          </a:solidFill>
                          <a:miter lim="800000"/>
                          <a:headEnd/>
                          <a:tailEnd/>
                        </a:ln>
                      </wps:spPr>
                      <wps:txbx>
                        <w:txbxContent>
                          <w:p w14:paraId="225ABB9D" w14:textId="77777777" w:rsidR="002A6554" w:rsidRPr="005C4637" w:rsidRDefault="002A6554" w:rsidP="002A6554">
                            <w:pPr>
                              <w:jc w:val="center"/>
                              <w:rPr>
                                <w:b/>
                              </w:rPr>
                            </w:pPr>
                            <w:r w:rsidRPr="005C4637">
                              <w:rPr>
                                <w:b/>
                              </w:rPr>
                              <w:t>Entrée en vigueur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DAE66" id="Zone de texte 9" o:spid="_x0000_s1038" type="#_x0000_t202" style="position:absolute;left:0;text-align:left;margin-left:274.5pt;margin-top:10pt;width:135.8pt;height:27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">
                <v:textbox>
                  <w:txbxContent>
                    <w:p w14:paraId="225ABB9D" w14:textId="77777777" w:rsidR="002A6554" w:rsidRPr="005C4637" w:rsidRDefault="002A6554" w:rsidP="002A6554">
                      <w:pPr>
                        <w:jc w:val="center"/>
                        <w:rPr>
                          <w:b/>
                        </w:rPr>
                      </w:pPr>
                      <w:r w:rsidRPr="005C4637">
                        <w:rPr>
                          <w:b/>
                        </w:rPr>
                        <w:t>Entrée en vigueur</w:t>
                      </w:r>
                    </w:p>
                  </w:txbxContent>
                </v:textbox>
                <w10:wrap anchorx="margin"/>
              </v:shape>
            </w:pict>
          </mc:Fallback>
        </mc:AlternateContent>
      </w:r>
      <w:r w:rsidRPr="005C4637">
        <w:rPr>
          <w:rFonts w:asciiTheme="minorHAnsi" w:hAnsiTheme="minorHAnsi" w:cs="Calibri Light"/>
          <w:noProof/>
          <w:sz w:val="20"/>
          <w:szCs w:val="20"/>
          <w:lang w:val="fr-BE" w:eastAsia="fr-BE"/>
        </w:rPr>
        <mc:AlternateContent>
          <mc:Choice Requires="wps">
            <w:drawing>
              <wp:anchor distT="0" distB="0" distL="114300" distR="114300" simplePos="0" relativeHeight="251658248" behindDoc="0" locked="0" layoutInCell="1" allowOverlap="1" wp14:anchorId="3DDA5C28" wp14:editId="7D0E46C4">
                <wp:simplePos x="0" y="0"/>
                <wp:positionH relativeFrom="column">
                  <wp:posOffset>278765</wp:posOffset>
                </wp:positionH>
                <wp:positionV relativeFrom="paragraph">
                  <wp:posOffset>66040</wp:posOffset>
                </wp:positionV>
                <wp:extent cx="1938655" cy="504825"/>
                <wp:effectExtent l="0" t="0" r="4445" b="952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504825"/>
                        </a:xfrm>
                        <a:prstGeom prst="rect">
                          <a:avLst/>
                        </a:prstGeom>
                        <a:solidFill>
                          <a:srgbClr val="FFFFFF"/>
                        </a:solidFill>
                        <a:ln w="9525">
                          <a:solidFill>
                            <a:srgbClr val="000000"/>
                          </a:solidFill>
                          <a:miter lim="800000"/>
                          <a:headEnd/>
                          <a:tailEnd/>
                        </a:ln>
                      </wps:spPr>
                      <wps:txbx>
                        <w:txbxContent>
                          <w:p w14:paraId="0DDC3B7F" w14:textId="77777777" w:rsidR="002A6554" w:rsidRPr="005C4637" w:rsidRDefault="002A6554" w:rsidP="002A6554">
                            <w:pPr>
                              <w:jc w:val="center"/>
                            </w:pPr>
                            <w:r w:rsidRPr="005C4637">
                              <w:t>Publication et inscription au registre des publications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A5C28" id="Zone de texte 14" o:spid="_x0000_s1039" type="#_x0000_t202" style="position:absolute;left:0;text-align:left;margin-left:21.95pt;margin-top:5.2pt;width:152.65pt;height:39.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">
                <v:textbox>
                  <w:txbxContent>
                    <w:p w14:paraId="0DDC3B7F" w14:textId="77777777" w:rsidR="002A6554" w:rsidRPr="005C4637" w:rsidRDefault="002A6554" w:rsidP="002A6554">
                      <w:pPr>
                        <w:jc w:val="center"/>
                      </w:pPr>
                      <w:r w:rsidRPr="005C4637">
                        <w:t>Publication et inscription au registre des publications</w:t>
                      </w:r>
                    </w:p>
                  </w:txbxContent>
                </v:textbox>
              </v:shape>
            </w:pict>
          </mc:Fallback>
        </mc:AlternateContent>
      </w:r>
    </w:p>
    <w:p w14:paraId="335C4EE3" w14:textId="77777777" w:rsidR="002A6554" w:rsidRPr="005C4637" w:rsidRDefault="002A6554" w:rsidP="002A6554">
      <w:pPr>
        <w:rPr>
          <w:sz w:val="20"/>
          <w:szCs w:val="20"/>
        </w:rPr>
      </w:pPr>
      <w:r w:rsidRPr="005C4637">
        <w:rPr>
          <w:rFonts w:eastAsia="Arial" w:cs="Calibri Light"/>
          <w:noProof/>
          <w:kern w:val="1"/>
          <w:sz w:val="20"/>
          <w:szCs w:val="20"/>
          <w:lang w:eastAsia="fr-BE"/>
        </w:rPr>
        <mc:AlternateContent>
          <mc:Choice Requires="wps">
            <w:drawing>
              <wp:anchor distT="0" distB="0" distL="114300" distR="114300" simplePos="0" relativeHeight="251658265" behindDoc="0" locked="0" layoutInCell="1" allowOverlap="1" wp14:anchorId="27BDBE0C" wp14:editId="35309B1E">
                <wp:simplePos x="0" y="0"/>
                <wp:positionH relativeFrom="column">
                  <wp:posOffset>2232660</wp:posOffset>
                </wp:positionH>
                <wp:positionV relativeFrom="paragraph">
                  <wp:posOffset>78105</wp:posOffset>
                </wp:positionV>
                <wp:extent cx="1071245" cy="635"/>
                <wp:effectExtent l="0" t="76200" r="0" b="75565"/>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2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5A5E2" id="Connecteur droit avec flèche 5" o:spid="_x0000_s1026" type="#_x0000_t32" style="position:absolute;margin-left:175.8pt;margin-top:6.15pt;width:84.35pt;height:.0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">
                <v:stroke endarrow="block"/>
              </v:shape>
            </w:pict>
          </mc:Fallback>
        </mc:AlternateContent>
      </w:r>
      <w:bookmarkStart w:id="737" w:name="_Toc40185384"/>
      <w:bookmarkStart w:id="738" w:name="_Toc40186119"/>
      <w:bookmarkEnd w:id="737"/>
      <w:bookmarkEnd w:id="738"/>
    </w:p>
    <w:p w14:paraId="556E7C65" w14:textId="77777777" w:rsidR="005A052E" w:rsidRPr="005C4637" w:rsidRDefault="005A052E" w:rsidP="005A052E"/>
    <w:p w14:paraId="4D37C107" w14:textId="7F05E757" w:rsidR="00177E72" w:rsidRPr="005C4637" w:rsidRDefault="00176AD8" w:rsidP="00176AD8">
      <w:pPr>
        <w:pStyle w:val="Titre3"/>
      </w:pPr>
      <w:bookmarkStart w:id="739" w:name="_Toc225504257"/>
      <w:bookmarkStart w:id="740" w:name="_Toc225772346"/>
      <w:r>
        <w:t xml:space="preserve"> </w:t>
      </w:r>
      <w:bookmarkStart w:id="741" w:name="_Toc233626215"/>
      <w:r w:rsidR="00130B68" w:rsidRPr="005C4637">
        <w:t>Quel est le calendrier de vote afin de respecter les obligations légales et l</w:t>
      </w:r>
      <w:r w:rsidR="00F549A1" w:rsidRPr="005C4637">
        <w:t>a</w:t>
      </w:r>
      <w:r w:rsidR="00130B68" w:rsidRPr="005C4637">
        <w:t xml:space="preserve"> soumission</w:t>
      </w:r>
      <w:r w:rsidR="00F549A1" w:rsidRPr="005C4637">
        <w:t xml:space="preserve"> </w:t>
      </w:r>
      <w:r w:rsidR="00130B68" w:rsidRPr="005C4637">
        <w:t>à la tutelle ?</w:t>
      </w:r>
      <w:bookmarkEnd w:id="739"/>
      <w:bookmarkEnd w:id="740"/>
      <w:bookmarkEnd w:id="741"/>
    </w:p>
    <w:p w14:paraId="7318BEA1" w14:textId="77777777" w:rsidR="00F549A1" w:rsidRPr="005C4637" w:rsidRDefault="00F549A1" w:rsidP="00F549A1">
      <w:pPr>
        <w:spacing w:before="240"/>
        <w:ind w:right="-17"/>
        <w:rPr>
          <w:rFonts w:cs="Calibri Light"/>
        </w:rPr>
      </w:pPr>
      <w:r w:rsidRPr="005C4637">
        <w:rPr>
          <w:rFonts w:cs="Calibri Light"/>
        </w:rPr>
        <w:t>Afin de permettre d'exercer la compétence de tutelle dans de bonnes conditions, il apparaît qu'au vu de la procédure actuelle d'exercice de la tutelle et de la formalité de la publication, il y a lieu, a tout le moins pour les taxes indirectes et les redevances, de respecter le calendrier suivant :</w:t>
      </w:r>
    </w:p>
    <w:tbl>
      <w:tblPr>
        <w:tblW w:w="8950" w:type="dxa"/>
        <w:tblInd w:w="495" w:type="dxa"/>
        <w:tblLayout w:type="fixed"/>
        <w:tblLook w:val="06A0" w:firstRow="1" w:lastRow="0" w:firstColumn="1" w:lastColumn="0" w:noHBand="1" w:noVBand="1"/>
      </w:tblPr>
      <w:tblGrid>
        <w:gridCol w:w="2005"/>
        <w:gridCol w:w="2478"/>
        <w:gridCol w:w="2464"/>
        <w:gridCol w:w="2003"/>
      </w:tblGrid>
      <w:tr w:rsidR="00F549A1" w:rsidRPr="005C4637" w14:paraId="527EEAC7" w14:textId="77777777" w:rsidTr="00D04007">
        <w:trPr>
          <w:trHeight w:val="870"/>
        </w:trPr>
        <w:tc>
          <w:tcPr>
            <w:tcW w:w="2005" w:type="dxa"/>
            <w:tcBorders>
              <w:top w:val="single" w:sz="8" w:space="0" w:color="auto"/>
              <w:left w:val="single" w:sz="8" w:space="0" w:color="auto"/>
              <w:bottom w:val="single" w:sz="8" w:space="0" w:color="auto"/>
              <w:right w:val="single" w:sz="8" w:space="0" w:color="auto"/>
            </w:tcBorders>
            <w:tcMar>
              <w:left w:w="70" w:type="dxa"/>
              <w:right w:w="70" w:type="dxa"/>
            </w:tcMar>
          </w:tcPr>
          <w:p w14:paraId="17562E7C" w14:textId="77777777" w:rsidR="00F549A1" w:rsidRPr="005C4637" w:rsidRDefault="00F549A1" w:rsidP="00F323D9">
            <w:pPr>
              <w:spacing w:before="100" w:after="100"/>
              <w:jc w:val="center"/>
              <w:rPr>
                <w:rFonts w:eastAsia="Century Gothic" w:cstheme="minorHAnsi"/>
                <w:b/>
                <w:bCs/>
              </w:rPr>
            </w:pPr>
            <w:r w:rsidRPr="005C4637">
              <w:rPr>
                <w:rFonts w:eastAsia="Century Gothic" w:cstheme="minorHAnsi"/>
                <w:b/>
                <w:bCs/>
              </w:rPr>
              <w:t>Nature du règlement</w:t>
            </w:r>
          </w:p>
        </w:tc>
        <w:tc>
          <w:tcPr>
            <w:tcW w:w="2478" w:type="dxa"/>
            <w:tcBorders>
              <w:top w:val="single" w:sz="8" w:space="0" w:color="auto"/>
              <w:left w:val="single" w:sz="8" w:space="0" w:color="auto"/>
              <w:bottom w:val="single" w:sz="8" w:space="0" w:color="auto"/>
              <w:right w:val="single" w:sz="8" w:space="0" w:color="auto"/>
            </w:tcBorders>
            <w:tcMar>
              <w:left w:w="70" w:type="dxa"/>
              <w:right w:w="70" w:type="dxa"/>
            </w:tcMar>
          </w:tcPr>
          <w:p w14:paraId="60421899" w14:textId="77777777" w:rsidR="00F549A1" w:rsidRPr="005C4637" w:rsidRDefault="00F549A1" w:rsidP="00F323D9">
            <w:pPr>
              <w:spacing w:before="100" w:after="100"/>
              <w:jc w:val="center"/>
              <w:rPr>
                <w:rFonts w:eastAsia="Century Gothic" w:cstheme="minorHAnsi"/>
                <w:b/>
                <w:bCs/>
              </w:rPr>
            </w:pPr>
            <w:r w:rsidRPr="005C4637">
              <w:rPr>
                <w:rFonts w:eastAsia="Century Gothic" w:cstheme="minorHAnsi"/>
                <w:b/>
                <w:bCs/>
              </w:rPr>
              <w:t>Type de tutelle</w:t>
            </w:r>
          </w:p>
        </w:tc>
        <w:tc>
          <w:tcPr>
            <w:tcW w:w="2464" w:type="dxa"/>
            <w:tcBorders>
              <w:top w:val="single" w:sz="8" w:space="0" w:color="auto"/>
              <w:left w:val="single" w:sz="8" w:space="0" w:color="auto"/>
              <w:bottom w:val="single" w:sz="8" w:space="0" w:color="auto"/>
              <w:right w:val="single" w:sz="8" w:space="0" w:color="auto"/>
            </w:tcBorders>
            <w:tcMar>
              <w:left w:w="70" w:type="dxa"/>
              <w:right w:w="70" w:type="dxa"/>
            </w:tcMar>
          </w:tcPr>
          <w:p w14:paraId="62B67F58" w14:textId="77777777" w:rsidR="00F549A1" w:rsidRPr="005C4637" w:rsidRDefault="00F549A1" w:rsidP="00F323D9">
            <w:pPr>
              <w:spacing w:before="100" w:after="100"/>
              <w:jc w:val="center"/>
              <w:rPr>
                <w:rFonts w:eastAsia="Century Gothic" w:cstheme="minorHAnsi"/>
                <w:b/>
                <w:bCs/>
              </w:rPr>
            </w:pPr>
            <w:r w:rsidRPr="005C4637">
              <w:rPr>
                <w:rFonts w:eastAsia="Century Gothic" w:cstheme="minorHAnsi"/>
                <w:b/>
                <w:bCs/>
              </w:rPr>
              <w:t>Date ultime de transmission à la tutelle</w:t>
            </w:r>
          </w:p>
        </w:tc>
        <w:tc>
          <w:tcPr>
            <w:tcW w:w="2003" w:type="dxa"/>
            <w:tcBorders>
              <w:top w:val="single" w:sz="8" w:space="0" w:color="auto"/>
              <w:left w:val="single" w:sz="8" w:space="0" w:color="auto"/>
              <w:bottom w:val="single" w:sz="8" w:space="0" w:color="auto"/>
              <w:right w:val="single" w:sz="8" w:space="0" w:color="auto"/>
            </w:tcBorders>
            <w:tcMar>
              <w:left w:w="70" w:type="dxa"/>
              <w:right w:w="70" w:type="dxa"/>
            </w:tcMar>
          </w:tcPr>
          <w:p w14:paraId="0E40440A" w14:textId="77777777" w:rsidR="00F549A1" w:rsidRPr="005C4637" w:rsidRDefault="00F549A1" w:rsidP="00F323D9">
            <w:pPr>
              <w:spacing w:before="100" w:after="100"/>
              <w:jc w:val="center"/>
              <w:rPr>
                <w:rFonts w:eastAsia="Century Gothic" w:cstheme="minorHAnsi"/>
                <w:b/>
                <w:bCs/>
              </w:rPr>
            </w:pPr>
            <w:r w:rsidRPr="005C4637">
              <w:rPr>
                <w:rFonts w:eastAsia="Century Gothic" w:cstheme="minorHAnsi"/>
                <w:b/>
                <w:bCs/>
              </w:rPr>
              <w:t>Date ultime de publication</w:t>
            </w:r>
          </w:p>
        </w:tc>
      </w:tr>
      <w:tr w:rsidR="00F549A1" w:rsidRPr="005C4637" w14:paraId="7B2B4857" w14:textId="77777777" w:rsidTr="00D04007">
        <w:trPr>
          <w:trHeight w:val="705"/>
        </w:trPr>
        <w:tc>
          <w:tcPr>
            <w:tcW w:w="2005" w:type="dxa"/>
            <w:tcBorders>
              <w:top w:val="single" w:sz="8" w:space="0" w:color="auto"/>
              <w:left w:val="single" w:sz="8" w:space="0" w:color="auto"/>
              <w:bottom w:val="single" w:sz="8" w:space="0" w:color="auto"/>
              <w:right w:val="single" w:sz="8" w:space="0" w:color="auto"/>
            </w:tcBorders>
            <w:tcMar>
              <w:left w:w="70" w:type="dxa"/>
              <w:right w:w="70" w:type="dxa"/>
            </w:tcMar>
          </w:tcPr>
          <w:p w14:paraId="6A01C881" w14:textId="77777777" w:rsidR="00F549A1" w:rsidRPr="005C4637" w:rsidRDefault="00F549A1" w:rsidP="00F323D9">
            <w:pPr>
              <w:spacing w:before="100" w:after="100"/>
              <w:jc w:val="center"/>
              <w:rPr>
                <w:rFonts w:eastAsia="Century Gothic" w:cstheme="minorHAnsi"/>
              </w:rPr>
            </w:pPr>
            <w:r w:rsidRPr="005C4637">
              <w:rPr>
                <w:rFonts w:eastAsia="Century Gothic" w:cstheme="minorHAnsi"/>
              </w:rPr>
              <w:t>Taxes et redevances</w:t>
            </w:r>
          </w:p>
        </w:tc>
        <w:tc>
          <w:tcPr>
            <w:tcW w:w="2478" w:type="dxa"/>
            <w:tcBorders>
              <w:top w:val="single" w:sz="8" w:space="0" w:color="auto"/>
              <w:left w:val="single" w:sz="8" w:space="0" w:color="auto"/>
              <w:bottom w:val="single" w:sz="8" w:space="0" w:color="auto"/>
              <w:right w:val="single" w:sz="8" w:space="0" w:color="auto"/>
            </w:tcBorders>
            <w:tcMar>
              <w:left w:w="70" w:type="dxa"/>
              <w:right w:w="70" w:type="dxa"/>
            </w:tcMar>
          </w:tcPr>
          <w:p w14:paraId="6175F280" w14:textId="77777777" w:rsidR="00F549A1" w:rsidRPr="005C4637" w:rsidRDefault="00F549A1" w:rsidP="00F323D9">
            <w:pPr>
              <w:spacing w:before="100" w:after="100"/>
              <w:jc w:val="center"/>
              <w:rPr>
                <w:rFonts w:eastAsia="Century Gothic" w:cstheme="minorHAnsi"/>
              </w:rPr>
            </w:pPr>
            <w:r w:rsidRPr="005C4637">
              <w:rPr>
                <w:rFonts w:eastAsia="Century Gothic" w:cstheme="minorHAnsi"/>
              </w:rPr>
              <w:t>Tutelle spéciale d’approbation</w:t>
            </w:r>
          </w:p>
        </w:tc>
        <w:tc>
          <w:tcPr>
            <w:tcW w:w="2464" w:type="dxa"/>
            <w:tcBorders>
              <w:top w:val="single" w:sz="8" w:space="0" w:color="auto"/>
              <w:left w:val="single" w:sz="8" w:space="0" w:color="auto"/>
              <w:bottom w:val="single" w:sz="8" w:space="0" w:color="auto"/>
              <w:right w:val="single" w:sz="8" w:space="0" w:color="auto"/>
            </w:tcBorders>
            <w:tcMar>
              <w:left w:w="70" w:type="dxa"/>
              <w:right w:w="70" w:type="dxa"/>
            </w:tcMar>
          </w:tcPr>
          <w:p w14:paraId="04E4F916" w14:textId="3E335CD4" w:rsidR="00F549A1" w:rsidRPr="005C4637" w:rsidRDefault="7407C831" w:rsidP="00F323D9">
            <w:pPr>
              <w:spacing w:before="100" w:after="100"/>
              <w:jc w:val="center"/>
              <w:rPr>
                <w:rFonts w:eastAsia="Century Gothic"/>
              </w:rPr>
            </w:pPr>
            <w:r w:rsidRPr="059D9004">
              <w:rPr>
                <w:rFonts w:eastAsia="Century Gothic"/>
              </w:rPr>
              <w:t>16</w:t>
            </w:r>
            <w:r w:rsidR="00F549A1" w:rsidRPr="059D9004">
              <w:rPr>
                <w:rFonts w:eastAsia="Century Gothic"/>
              </w:rPr>
              <w:t xml:space="preserve"> novembre 202</w:t>
            </w:r>
            <w:r w:rsidR="320F8B67" w:rsidRPr="059D9004">
              <w:rPr>
                <w:rFonts w:eastAsia="Century Gothic"/>
              </w:rPr>
              <w:t>6</w:t>
            </w:r>
          </w:p>
        </w:tc>
        <w:tc>
          <w:tcPr>
            <w:tcW w:w="2003" w:type="dxa"/>
            <w:tcBorders>
              <w:top w:val="single" w:sz="8" w:space="0" w:color="auto"/>
              <w:left w:val="single" w:sz="8" w:space="0" w:color="auto"/>
              <w:bottom w:val="single" w:sz="8" w:space="0" w:color="auto"/>
              <w:right w:val="single" w:sz="8" w:space="0" w:color="auto"/>
            </w:tcBorders>
            <w:tcMar>
              <w:left w:w="70" w:type="dxa"/>
              <w:right w:w="70" w:type="dxa"/>
            </w:tcMar>
          </w:tcPr>
          <w:p w14:paraId="5F3479A3" w14:textId="537D16EB" w:rsidR="00F549A1" w:rsidRPr="005C4637" w:rsidRDefault="00F549A1" w:rsidP="00F323D9">
            <w:pPr>
              <w:spacing w:before="100" w:after="100"/>
              <w:rPr>
                <w:rFonts w:eastAsia="Century Gothic"/>
              </w:rPr>
            </w:pPr>
            <w:r w:rsidRPr="059D9004">
              <w:rPr>
                <w:rFonts w:eastAsia="Century Gothic"/>
              </w:rPr>
              <w:t>24 décembre 202</w:t>
            </w:r>
            <w:r w:rsidR="314DC934" w:rsidRPr="059D9004">
              <w:rPr>
                <w:rFonts w:eastAsia="Century Gothic"/>
              </w:rPr>
              <w:t>6</w:t>
            </w:r>
          </w:p>
        </w:tc>
      </w:tr>
      <w:tr w:rsidR="00F549A1" w:rsidRPr="005C4637" w14:paraId="6C1C5306" w14:textId="77777777" w:rsidTr="00D04007">
        <w:trPr>
          <w:trHeight w:val="1275"/>
        </w:trPr>
        <w:tc>
          <w:tcPr>
            <w:tcW w:w="2005" w:type="dxa"/>
            <w:tcBorders>
              <w:top w:val="single" w:sz="8" w:space="0" w:color="auto"/>
              <w:left w:val="single" w:sz="8" w:space="0" w:color="auto"/>
              <w:bottom w:val="single" w:sz="8" w:space="0" w:color="auto"/>
              <w:right w:val="single" w:sz="8" w:space="0" w:color="auto"/>
            </w:tcBorders>
            <w:tcMar>
              <w:left w:w="70" w:type="dxa"/>
              <w:right w:w="70" w:type="dxa"/>
            </w:tcMar>
          </w:tcPr>
          <w:p w14:paraId="4683218C" w14:textId="77777777" w:rsidR="00F549A1" w:rsidRPr="005C4637" w:rsidRDefault="00F549A1" w:rsidP="00F323D9">
            <w:pPr>
              <w:spacing w:before="100" w:after="100"/>
              <w:jc w:val="center"/>
              <w:rPr>
                <w:rFonts w:eastAsia="Century Gothic" w:cstheme="minorHAnsi"/>
              </w:rPr>
            </w:pPr>
            <w:r w:rsidRPr="005C4637">
              <w:rPr>
                <w:rFonts w:eastAsia="Century Gothic" w:cstheme="minorHAnsi"/>
              </w:rPr>
              <w:t xml:space="preserve">Centimes additionnels </w:t>
            </w:r>
            <w:r w:rsidRPr="005C4637">
              <w:rPr>
                <w:rFonts w:cstheme="minorHAnsi"/>
              </w:rPr>
              <w:br/>
            </w:r>
            <w:r w:rsidRPr="005C4637">
              <w:rPr>
                <w:rFonts w:eastAsia="Century Gothic" w:cstheme="minorHAnsi"/>
              </w:rPr>
              <w:t>au précompte immobilier</w:t>
            </w:r>
          </w:p>
        </w:tc>
        <w:tc>
          <w:tcPr>
            <w:tcW w:w="2478" w:type="dxa"/>
            <w:tcBorders>
              <w:top w:val="single" w:sz="8" w:space="0" w:color="auto"/>
              <w:left w:val="single" w:sz="8" w:space="0" w:color="auto"/>
              <w:bottom w:val="single" w:sz="8" w:space="0" w:color="auto"/>
              <w:right w:val="single" w:sz="8" w:space="0" w:color="auto"/>
            </w:tcBorders>
            <w:tcMar>
              <w:left w:w="70" w:type="dxa"/>
              <w:right w:w="70" w:type="dxa"/>
            </w:tcMar>
          </w:tcPr>
          <w:p w14:paraId="2FAAE016" w14:textId="77777777" w:rsidR="00F549A1" w:rsidRPr="005C4637" w:rsidRDefault="00F549A1" w:rsidP="00F323D9">
            <w:pPr>
              <w:spacing w:before="100" w:after="100"/>
              <w:jc w:val="center"/>
              <w:rPr>
                <w:rFonts w:eastAsia="Century Gothic" w:cstheme="minorHAnsi"/>
              </w:rPr>
            </w:pPr>
            <w:r w:rsidRPr="005C4637">
              <w:rPr>
                <w:rFonts w:eastAsia="Century Gothic" w:cstheme="minorHAnsi"/>
              </w:rPr>
              <w:t xml:space="preserve">Tutelle générale d’annulation avec transmission obligatoire au Gouvernement wallon </w:t>
            </w:r>
          </w:p>
        </w:tc>
        <w:tc>
          <w:tcPr>
            <w:tcW w:w="2464" w:type="dxa"/>
            <w:tcBorders>
              <w:top w:val="single" w:sz="8" w:space="0" w:color="auto"/>
              <w:left w:val="single" w:sz="8" w:space="0" w:color="auto"/>
              <w:bottom w:val="single" w:sz="8" w:space="0" w:color="auto"/>
              <w:right w:val="single" w:sz="8" w:space="0" w:color="auto"/>
            </w:tcBorders>
            <w:tcMar>
              <w:left w:w="70" w:type="dxa"/>
              <w:right w:w="70" w:type="dxa"/>
            </w:tcMar>
          </w:tcPr>
          <w:p w14:paraId="496378DE" w14:textId="00E5106A" w:rsidR="00F549A1" w:rsidRPr="005C4637" w:rsidRDefault="00F549A1" w:rsidP="00F323D9">
            <w:pPr>
              <w:spacing w:before="100" w:after="100"/>
              <w:jc w:val="center"/>
              <w:rPr>
                <w:rFonts w:eastAsia="Century Gothic"/>
              </w:rPr>
            </w:pPr>
            <w:r w:rsidRPr="059D9004">
              <w:rPr>
                <w:rFonts w:eastAsia="Century Gothic"/>
              </w:rPr>
              <w:t>24 décembre 202</w:t>
            </w:r>
            <w:r w:rsidR="771987B9" w:rsidRPr="059D9004">
              <w:rPr>
                <w:rFonts w:eastAsia="Century Gothic"/>
              </w:rPr>
              <w:t>6</w:t>
            </w:r>
          </w:p>
        </w:tc>
        <w:tc>
          <w:tcPr>
            <w:tcW w:w="2003" w:type="dxa"/>
            <w:tcBorders>
              <w:top w:val="single" w:sz="8" w:space="0" w:color="auto"/>
              <w:left w:val="single" w:sz="8" w:space="0" w:color="auto"/>
              <w:bottom w:val="single" w:sz="8" w:space="0" w:color="auto"/>
              <w:right w:val="single" w:sz="8" w:space="0" w:color="auto"/>
            </w:tcBorders>
            <w:tcMar>
              <w:left w:w="70" w:type="dxa"/>
              <w:right w:w="70" w:type="dxa"/>
            </w:tcMar>
          </w:tcPr>
          <w:p w14:paraId="0820C46E" w14:textId="6EB35A38" w:rsidR="00F549A1" w:rsidRPr="005C4637" w:rsidRDefault="00F549A1" w:rsidP="00F323D9">
            <w:pPr>
              <w:spacing w:before="100" w:after="100"/>
              <w:rPr>
                <w:rFonts w:eastAsia="Century Gothic"/>
              </w:rPr>
            </w:pPr>
            <w:r w:rsidRPr="059D9004">
              <w:rPr>
                <w:rFonts w:eastAsia="Century Gothic"/>
              </w:rPr>
              <w:t>24 décembre 202</w:t>
            </w:r>
            <w:r w:rsidR="70275CDE" w:rsidRPr="059D9004">
              <w:rPr>
                <w:rFonts w:eastAsia="Century Gothic"/>
              </w:rPr>
              <w:t>6</w:t>
            </w:r>
          </w:p>
        </w:tc>
      </w:tr>
      <w:tr w:rsidR="00F549A1" w:rsidRPr="005C4637" w14:paraId="669B5762" w14:textId="77777777" w:rsidTr="00D04007">
        <w:trPr>
          <w:trHeight w:val="1320"/>
        </w:trPr>
        <w:tc>
          <w:tcPr>
            <w:tcW w:w="2005" w:type="dxa"/>
            <w:tcBorders>
              <w:top w:val="single" w:sz="8" w:space="0" w:color="auto"/>
              <w:left w:val="single" w:sz="8" w:space="0" w:color="auto"/>
              <w:bottom w:val="single" w:sz="8" w:space="0" w:color="auto"/>
              <w:right w:val="single" w:sz="8" w:space="0" w:color="auto"/>
            </w:tcBorders>
            <w:tcMar>
              <w:left w:w="70" w:type="dxa"/>
              <w:right w:w="70" w:type="dxa"/>
            </w:tcMar>
          </w:tcPr>
          <w:p w14:paraId="15AA0DAF" w14:textId="77777777" w:rsidR="00F549A1" w:rsidRPr="005C4637" w:rsidRDefault="00F549A1" w:rsidP="00F323D9">
            <w:pPr>
              <w:spacing w:before="100" w:after="100"/>
              <w:jc w:val="center"/>
              <w:rPr>
                <w:rFonts w:eastAsia="Century Gothic" w:cstheme="minorHAnsi"/>
              </w:rPr>
            </w:pPr>
            <w:r w:rsidRPr="005C4637">
              <w:rPr>
                <w:rFonts w:eastAsia="Century Gothic" w:cstheme="minorHAnsi"/>
              </w:rPr>
              <w:lastRenderedPageBreak/>
              <w:t>Taxe additionnelle à l’impôt des personnes physiques</w:t>
            </w:r>
          </w:p>
        </w:tc>
        <w:tc>
          <w:tcPr>
            <w:tcW w:w="2478" w:type="dxa"/>
            <w:tcBorders>
              <w:top w:val="single" w:sz="8" w:space="0" w:color="auto"/>
              <w:left w:val="single" w:sz="8" w:space="0" w:color="auto"/>
              <w:bottom w:val="single" w:sz="8" w:space="0" w:color="auto"/>
              <w:right w:val="single" w:sz="8" w:space="0" w:color="auto"/>
            </w:tcBorders>
            <w:tcMar>
              <w:left w:w="70" w:type="dxa"/>
              <w:right w:w="70" w:type="dxa"/>
            </w:tcMar>
          </w:tcPr>
          <w:p w14:paraId="37DBB9D5" w14:textId="77777777" w:rsidR="00F549A1" w:rsidRPr="005C4637" w:rsidRDefault="00F549A1" w:rsidP="00F323D9">
            <w:pPr>
              <w:spacing w:before="100" w:after="100"/>
              <w:jc w:val="center"/>
              <w:rPr>
                <w:rFonts w:eastAsia="Century Gothic" w:cstheme="minorHAnsi"/>
              </w:rPr>
            </w:pPr>
            <w:r w:rsidRPr="005C4637">
              <w:rPr>
                <w:rFonts w:eastAsia="Century Gothic" w:cstheme="minorHAnsi"/>
              </w:rPr>
              <w:t>Tutelle générale d’annulation avec transmission obligatoire au Gouvernement wallon</w:t>
            </w:r>
          </w:p>
        </w:tc>
        <w:tc>
          <w:tcPr>
            <w:tcW w:w="2464" w:type="dxa"/>
            <w:tcBorders>
              <w:top w:val="single" w:sz="8" w:space="0" w:color="auto"/>
              <w:left w:val="single" w:sz="8" w:space="0" w:color="auto"/>
              <w:bottom w:val="single" w:sz="8" w:space="0" w:color="auto"/>
              <w:right w:val="single" w:sz="8" w:space="0" w:color="auto"/>
            </w:tcBorders>
            <w:tcMar>
              <w:left w:w="70" w:type="dxa"/>
              <w:right w:w="70" w:type="dxa"/>
            </w:tcMar>
          </w:tcPr>
          <w:p w14:paraId="0374F042" w14:textId="7198FA85" w:rsidR="00F549A1" w:rsidRPr="005C4637" w:rsidRDefault="00F549A1" w:rsidP="00F323D9">
            <w:pPr>
              <w:spacing w:before="100" w:after="100"/>
              <w:jc w:val="center"/>
              <w:rPr>
                <w:rFonts w:eastAsia="Century Gothic"/>
              </w:rPr>
            </w:pPr>
            <w:r w:rsidRPr="059D9004">
              <w:rPr>
                <w:rFonts w:eastAsia="Century Gothic"/>
              </w:rPr>
              <w:t>24 janvier 202</w:t>
            </w:r>
            <w:r w:rsidR="0B615264" w:rsidRPr="059D9004">
              <w:rPr>
                <w:rFonts w:eastAsia="Century Gothic"/>
              </w:rPr>
              <w:t>7</w:t>
            </w:r>
          </w:p>
        </w:tc>
        <w:tc>
          <w:tcPr>
            <w:tcW w:w="2003" w:type="dxa"/>
            <w:tcBorders>
              <w:top w:val="single" w:sz="8" w:space="0" w:color="auto"/>
              <w:left w:val="single" w:sz="8" w:space="0" w:color="auto"/>
              <w:bottom w:val="single" w:sz="8" w:space="0" w:color="auto"/>
              <w:right w:val="single" w:sz="8" w:space="0" w:color="auto"/>
            </w:tcBorders>
            <w:tcMar>
              <w:left w:w="70" w:type="dxa"/>
              <w:right w:w="70" w:type="dxa"/>
            </w:tcMar>
          </w:tcPr>
          <w:p w14:paraId="3831B937" w14:textId="14CFC684" w:rsidR="00F549A1" w:rsidRPr="005C4637" w:rsidRDefault="00F549A1" w:rsidP="00F323D9">
            <w:pPr>
              <w:spacing w:before="100" w:after="100"/>
              <w:rPr>
                <w:rFonts w:eastAsia="Century Gothic"/>
              </w:rPr>
            </w:pPr>
            <w:r w:rsidRPr="059D9004">
              <w:rPr>
                <w:rFonts w:eastAsia="Century Gothic"/>
              </w:rPr>
              <w:t>24 janvier 202</w:t>
            </w:r>
            <w:r w:rsidR="33F7ABF9" w:rsidRPr="059D9004">
              <w:rPr>
                <w:rFonts w:eastAsia="Century Gothic"/>
              </w:rPr>
              <w:t>7</w:t>
            </w:r>
          </w:p>
        </w:tc>
      </w:tr>
    </w:tbl>
    <w:p w14:paraId="7E5EE3AC" w14:textId="65123E81" w:rsidR="008A78F1" w:rsidRPr="005C4637" w:rsidRDefault="008A78F1" w:rsidP="00D04007">
      <w:pPr>
        <w:pStyle w:val="Titre2"/>
      </w:pPr>
      <w:bookmarkStart w:id="742" w:name="_Toc225504258"/>
      <w:bookmarkStart w:id="743" w:name="_Toc225772347"/>
      <w:bookmarkStart w:id="744" w:name="_Toc233626216"/>
      <w:r w:rsidRPr="005C4637">
        <w:t>D</w:t>
      </w:r>
      <w:r w:rsidR="00F70B85" w:rsidRPr="005C4637">
        <w:t>éfinitions</w:t>
      </w:r>
      <w:bookmarkEnd w:id="742"/>
      <w:bookmarkEnd w:id="743"/>
      <w:bookmarkEnd w:id="744"/>
    </w:p>
    <w:p w14:paraId="74219CC6" w14:textId="08891ADF" w:rsidR="00D04007" w:rsidRPr="005C4637" w:rsidRDefault="00D04007">
      <w:pPr>
        <w:pStyle w:val="Titre3"/>
        <w:numPr>
          <w:ilvl w:val="0"/>
          <w:numId w:val="114"/>
        </w:numPr>
      </w:pPr>
      <w:bookmarkStart w:id="745" w:name="_Toc225504259"/>
      <w:bookmarkStart w:id="746" w:name="_Toc225772348"/>
      <w:bookmarkStart w:id="747" w:name="_Toc233626217"/>
      <w:r w:rsidRPr="005C4637">
        <w:t>Quelle est la différence fondamentale entre un impôt communal et une redevance communale ?</w:t>
      </w:r>
      <w:bookmarkEnd w:id="745"/>
      <w:bookmarkEnd w:id="746"/>
      <w:bookmarkEnd w:id="747"/>
    </w:p>
    <w:p w14:paraId="488840E7" w14:textId="77777777" w:rsidR="00D04007" w:rsidRPr="005C4637" w:rsidRDefault="00D04007" w:rsidP="00D04007">
      <w:r w:rsidRPr="005C4637">
        <w:t>Le législateur ne fournit pas de définition légale explicite de ces notions. La distinction repose donc sur les principes constitutionnels, la jurisprudence et les principes généraux du droit. L’impôt communal est un prélèvement obligatoire sans contrepartie directe, destiné à financer des services d’intérêt général. La redevance, elle, constitue l’indemnisation due par un redevable pour un service particulier rendu dans son intérêt. En cas de doute, c’est le juge qui tranche en fonction de la nature concrète du règlement.</w:t>
      </w:r>
    </w:p>
    <w:p w14:paraId="2E2ECA31" w14:textId="77777777" w:rsidR="00D04007" w:rsidRPr="005C4637" w:rsidRDefault="00D04007">
      <w:pPr>
        <w:pStyle w:val="Titre4"/>
        <w:numPr>
          <w:ilvl w:val="0"/>
          <w:numId w:val="55"/>
        </w:numPr>
      </w:pPr>
      <w:r w:rsidRPr="005C4637">
        <w:t>Comment définit-on un impôt communal selon la Cour de cassation ?</w:t>
      </w:r>
    </w:p>
    <w:p w14:paraId="639A9042" w14:textId="20E76578" w:rsidR="00D04007" w:rsidRPr="005C4637" w:rsidDel="00A67B28" w:rsidRDefault="610C980A" w:rsidP="00D04007">
      <w:r w:rsidRPr="00A67B28">
        <w:t>Sur la base de la jurisprudence concordante de la Cour de cassation</w:t>
      </w:r>
      <w:r w:rsidR="004B2537">
        <w:rPr>
          <w:rStyle w:val="Appelnotedebasdep"/>
        </w:rPr>
        <w:footnoteReference w:id="4"/>
      </w:r>
      <w:r w:rsidRPr="00A67B28">
        <w:t xml:space="preserve"> , l'impôt communal peut être défini comme un prélèvement pratiqué par voie d'autorité par la commune sur les ressources des personnes (de droit public ou de droit privé), des sociétés sans personnification civile et des associations de fait ou communautés existant sur leur territoire ou possédant des intérêts, pour être affecté aux services d'utilité générale.</w:t>
      </w:r>
    </w:p>
    <w:p w14:paraId="7194CF4B" w14:textId="16AAE592" w:rsidR="00D04007" w:rsidRPr="005C4637" w:rsidRDefault="00D04007">
      <w:pPr>
        <w:pStyle w:val="Titre4"/>
        <w:numPr>
          <w:ilvl w:val="0"/>
          <w:numId w:val="55"/>
        </w:numPr>
      </w:pPr>
      <w:r w:rsidRPr="005C4637">
        <w:t>Comment définit-on une redevance communale ?</w:t>
      </w:r>
    </w:p>
    <w:p w14:paraId="74E17444" w14:textId="3E70AD2E" w:rsidR="00D04007" w:rsidRPr="005C4637" w:rsidRDefault="00D04007" w:rsidP="00D04007">
      <w:r>
        <w:t>La jurisprudence de la Cour de cassation et de la Cour constitutionnelle</w:t>
      </w:r>
      <w:r w:rsidRPr="5EFBFFCA">
        <w:rPr>
          <w:rStyle w:val="Appelnotedebasdep"/>
        </w:rPr>
        <w:footnoteReference w:id="5"/>
      </w:r>
      <w:r>
        <w:t xml:space="preserve"> définit la redevance comme une indemnisation réclamée à certains usagers en échange d’un service spécial ou d’un avantage direct et particulier rendu dans leur intérêt propre. Ce service peut être sollicité librement ou imposé par réglementation. La redevance doit refléter un rapport raisonnable entre le coût réel du service et la somme demandée. Un forfait peut exister, mais il doit être justifié et proportionné.</w:t>
      </w:r>
    </w:p>
    <w:p w14:paraId="08365702" w14:textId="6C5C4AD4" w:rsidR="00D04007" w:rsidRPr="005C4637" w:rsidRDefault="00D04007">
      <w:pPr>
        <w:pStyle w:val="Titre4"/>
        <w:numPr>
          <w:ilvl w:val="0"/>
          <w:numId w:val="55"/>
        </w:numPr>
      </w:pPr>
      <w:r w:rsidRPr="005C4637">
        <w:t>Que se passe-t-il si une redevance ne correspond pas au coût du service ?</w:t>
      </w:r>
    </w:p>
    <w:p w14:paraId="27B49669" w14:textId="4F2E30D5" w:rsidR="00D04007" w:rsidRPr="005C4637" w:rsidRDefault="7546DAD9" w:rsidP="00D04007">
      <w:r>
        <w:t xml:space="preserve">Si le montant forfaitaire ou calculé ne présente pas de rapport raisonnable avec le coût réel du service rendu, la redevance risque d’être requalifiée en </w:t>
      </w:r>
      <w:r w:rsidR="56BF0AE3">
        <w:t>taxe communale</w:t>
      </w:r>
      <w:r>
        <w:t>. Cette requalification a des conséquences juridiques majeures, notamment en matière de procédure, de tutelle administrative et de fiscalité fédérale.</w:t>
      </w:r>
    </w:p>
    <w:p w14:paraId="55FAF3D7" w14:textId="7114721E" w:rsidR="00D04007" w:rsidRPr="005C4637" w:rsidRDefault="00D04007">
      <w:pPr>
        <w:pStyle w:val="Titre4"/>
        <w:numPr>
          <w:ilvl w:val="0"/>
          <w:numId w:val="55"/>
        </w:numPr>
      </w:pPr>
      <w:r w:rsidRPr="005C4637">
        <w:t>Quel est l’impact fiscal fédéral d’une redevance mal qualifiée ?</w:t>
      </w:r>
    </w:p>
    <w:p w14:paraId="744205A2" w14:textId="77777777" w:rsidR="00BD5C15" w:rsidRPr="00BD5C15" w:rsidRDefault="00D04007" w:rsidP="00BD5C15">
      <w:pPr>
        <w:rPr>
          <w:caps/>
        </w:rPr>
      </w:pPr>
      <w:r w:rsidRPr="005C4637">
        <w:t xml:space="preserve">L’administration fiscale fédérale peut examiner si les montants perçus au titre de redevance ne constituent pas des revenus mobiliers au sens de l’article 17, §1er, 3° du Code des impôts sur les revenus. Si les montants perçus constituent des revenus mobiliers, un précompte </w:t>
      </w:r>
      <w:r w:rsidRPr="005C4637">
        <w:lastRenderedPageBreak/>
        <w:t>mobilier de 30% peut être dû, sauf si les redevances n’excèdent pas les frais réels du service fourni.</w:t>
      </w:r>
      <w:bookmarkStart w:id="748" w:name="_Toc143779066"/>
      <w:bookmarkStart w:id="749" w:name="_Toc208419973"/>
      <w:r w:rsidR="00B83543">
        <w:t xml:space="preserve"> </w:t>
      </w:r>
    </w:p>
    <w:p w14:paraId="58DB3691" w14:textId="3EAFAB0E" w:rsidR="00047631" w:rsidRPr="005C4637" w:rsidRDefault="00047631" w:rsidP="35BD9115">
      <w:pPr>
        <w:pStyle w:val="Titre3"/>
        <w:rPr>
          <w:caps/>
        </w:rPr>
      </w:pPr>
      <w:bookmarkStart w:id="750" w:name="_Toc225504260"/>
      <w:bookmarkStart w:id="751" w:name="_Toc225772349"/>
      <w:bookmarkStart w:id="752" w:name="_Toc233626218"/>
      <w:r w:rsidRPr="005C4637">
        <w:t>Intérêt de la distinction</w:t>
      </w:r>
      <w:bookmarkEnd w:id="748"/>
      <w:r w:rsidRPr="005C4637">
        <w:t xml:space="preserve"> entre taxe communale et redevance communale</w:t>
      </w:r>
      <w:bookmarkEnd w:id="749"/>
      <w:bookmarkEnd w:id="750"/>
      <w:bookmarkEnd w:id="751"/>
      <w:bookmarkEnd w:id="752"/>
    </w:p>
    <w:p w14:paraId="3EBCD6A4" w14:textId="77777777" w:rsidR="00D04007" w:rsidRPr="005C4637" w:rsidRDefault="00D04007">
      <w:pPr>
        <w:pStyle w:val="Titre4"/>
        <w:numPr>
          <w:ilvl w:val="0"/>
          <w:numId w:val="99"/>
        </w:numPr>
      </w:pPr>
      <w:r w:rsidRPr="005C4637">
        <w:t>Comment se fait l’établissement et le recouvrement des taxes communales ?</w:t>
      </w:r>
    </w:p>
    <w:p w14:paraId="21751435" w14:textId="6C706F93" w:rsidR="20D0BF00" w:rsidRDefault="20D0BF00" w:rsidP="5EFBFFCA">
      <w:pPr>
        <w:rPr>
          <w:rFonts w:ascii="Cambria" w:eastAsia="MS Mincho" w:hAnsi="Cambria" w:cs="Arial"/>
          <w:lang w:val="fr"/>
        </w:rPr>
      </w:pPr>
      <w:r w:rsidRPr="5EFBFFCA">
        <w:rPr>
          <w:rFonts w:ascii="Cambria" w:eastAsia="MS Mincho" w:hAnsi="Cambria" w:cs="Arial"/>
          <w:lang w:val="fr"/>
        </w:rPr>
        <w:t xml:space="preserve"> L’établissement et le recouvrement des taxes communales</w:t>
      </w:r>
      <w:r w:rsidRPr="5EFBFFCA">
        <w:rPr>
          <w:rStyle w:val="Appelnotedebasdep"/>
          <w:rFonts w:ascii="Cambria" w:eastAsia="MS Mincho" w:hAnsi="Cambria" w:cs="Arial"/>
          <w:lang w:val="fr"/>
        </w:rPr>
        <w:footnoteReference w:id="6"/>
      </w:r>
      <w:r w:rsidR="727DD55E" w:rsidRPr="5EFBFFCA">
        <w:rPr>
          <w:rFonts w:ascii="Cambria" w:eastAsia="MS Mincho" w:hAnsi="Cambria" w:cs="Arial"/>
          <w:lang w:val="fr"/>
        </w:rPr>
        <w:t xml:space="preserve"> </w:t>
      </w:r>
      <w:r w:rsidRPr="5EFBFFCA">
        <w:rPr>
          <w:rFonts w:ascii="Cambria" w:eastAsia="MS Mincho" w:hAnsi="Cambria" w:cs="Arial"/>
          <w:lang w:val="fr"/>
        </w:rPr>
        <w:t>sont réglés par les articles L3321-1 à L3321-12 du Code de la démocratie locale et de la décentralisation (CDLD).</w:t>
      </w:r>
    </w:p>
    <w:p w14:paraId="0F341738" w14:textId="0A12420D" w:rsidR="20D0BF00" w:rsidRDefault="20D0BF00">
      <w:pPr>
        <w:rPr>
          <w:rFonts w:ascii="Cambria" w:eastAsia="MS Mincho" w:hAnsi="Cambria" w:cs="Arial"/>
          <w:lang w:val="fr"/>
        </w:rPr>
      </w:pPr>
      <w:r w:rsidRPr="5EFBFFCA">
        <w:rPr>
          <w:rFonts w:ascii="Cambria" w:eastAsia="MS Mincho" w:hAnsi="Cambria" w:cs="Arial"/>
          <w:lang w:val="fr"/>
        </w:rPr>
        <w:t>Les taxes sont soit recouvrées par voie de rôle, soit perçues au comptant contre remise d’une preuve de paiement.</w:t>
      </w:r>
    </w:p>
    <w:p w14:paraId="24F469B2" w14:textId="7A379A9B" w:rsidR="20D0BF00" w:rsidRDefault="20D0BF00">
      <w:pPr>
        <w:rPr>
          <w:rFonts w:ascii="Cambria" w:eastAsia="MS Mincho" w:hAnsi="Cambria" w:cs="Arial"/>
          <w:lang w:val="fr"/>
        </w:rPr>
      </w:pPr>
      <w:r w:rsidRPr="5EFBFFCA">
        <w:rPr>
          <w:rFonts w:ascii="Cambria" w:eastAsia="MS Mincho" w:hAnsi="Cambria" w:cs="Arial"/>
          <w:lang w:val="fr"/>
        </w:rPr>
        <w:t xml:space="preserve">Le rôle est l’acte authentique par lequel l’autorité communale se crée un titre contre le redevable et manifeste ainsi sa volonté d’exiger le paiement de la taxe communale. </w:t>
      </w:r>
    </w:p>
    <w:p w14:paraId="449C4CCE" w14:textId="5CEFC7F8" w:rsidR="20D0BF00" w:rsidRDefault="20D0BF00">
      <w:pPr>
        <w:rPr>
          <w:rFonts w:ascii="Cambria" w:eastAsia="MS Mincho" w:hAnsi="Cambria" w:cs="Arial"/>
          <w:lang w:val="fr"/>
        </w:rPr>
      </w:pPr>
      <w:r w:rsidRPr="5EFBFFCA">
        <w:rPr>
          <w:rFonts w:ascii="Cambria" w:eastAsia="MS Mincho" w:hAnsi="Cambria" w:cs="Arial"/>
          <w:lang w:val="fr"/>
        </w:rPr>
        <w:t>Il en constitue le titre de taxation.</w:t>
      </w:r>
    </w:p>
    <w:p w14:paraId="38DEFA54" w14:textId="4CCEF45B" w:rsidR="20D0BF00" w:rsidRDefault="20D0BF00">
      <w:pPr>
        <w:rPr>
          <w:rFonts w:ascii="Cambria" w:eastAsia="MS Mincho" w:hAnsi="Cambria" w:cs="Arial"/>
          <w:lang w:val="fr"/>
        </w:rPr>
      </w:pPr>
      <w:r w:rsidRPr="5EFBFFCA">
        <w:rPr>
          <w:rFonts w:ascii="Cambria" w:eastAsia="MS Mincho" w:hAnsi="Cambria" w:cs="Arial"/>
          <w:lang w:val="fr"/>
        </w:rPr>
        <w:t>Il permet, d’une part, l’établissement définitif de la taxe et d’autre part, en rendant celui-ci exécutoire, la création d’un titre exécutoire pour pouvoir procéder au recouvrement.</w:t>
      </w:r>
    </w:p>
    <w:p w14:paraId="5B0DA3C2" w14:textId="0A5375A1" w:rsidR="5EFBFFCA" w:rsidRDefault="20D0BF00">
      <w:pPr>
        <w:rPr>
          <w:rFonts w:ascii="Cambria" w:eastAsia="MS Mincho" w:hAnsi="Cambria" w:cs="Arial"/>
          <w:lang w:val="fr"/>
        </w:rPr>
      </w:pPr>
      <w:r w:rsidRPr="5EFBFFCA">
        <w:rPr>
          <w:rFonts w:ascii="Cambria" w:eastAsia="MS Mincho" w:hAnsi="Cambria" w:cs="Arial"/>
          <w:lang w:val="fr"/>
        </w:rPr>
        <w:t>Autrement dit, l’autorité communale crée elle-même le titre exécutoire qui autorise le directeur financier de pouvoir agir contre les débiteurs récalcitrants sans qu’il soit nécessaire de recourir pour cela auprès d’un tribunal.</w:t>
      </w:r>
    </w:p>
    <w:p w14:paraId="59511A22" w14:textId="6B5D2BC2" w:rsidR="00D04007" w:rsidRPr="005C4637" w:rsidRDefault="00D04007">
      <w:pPr>
        <w:pStyle w:val="Titre4"/>
        <w:numPr>
          <w:ilvl w:val="0"/>
          <w:numId w:val="100"/>
        </w:numPr>
      </w:pPr>
      <w:r>
        <w:t xml:space="preserve">Comment sont recouvrées les redevances communales depuis la réforme </w:t>
      </w:r>
      <w:r w:rsidR="482A21FA">
        <w:t xml:space="preserve">des grades légaux </w:t>
      </w:r>
      <w:r>
        <w:t>de 2013 ?</w:t>
      </w:r>
    </w:p>
    <w:p w14:paraId="0882FA31" w14:textId="2FC3FEAE" w:rsidR="08ED7CEE" w:rsidRDefault="08ED7CEE" w:rsidP="5EFBFFCA">
      <w:pPr>
        <w:rPr>
          <w:rFonts w:ascii="Cambria" w:eastAsia="MS Mincho" w:hAnsi="Cambria" w:cs="Arial"/>
          <w:lang w:val="fr"/>
        </w:rPr>
      </w:pPr>
      <w:r w:rsidRPr="5EFBFFCA">
        <w:rPr>
          <w:rFonts w:ascii="Cambria" w:eastAsia="MS Mincho" w:hAnsi="Cambria" w:cs="Arial"/>
          <w:lang w:val="fr"/>
        </w:rPr>
        <w:t xml:space="preserve"> Depuis le décret du 17 avril 2013 relatif à la réforme des grades légaux, le recouvrement des créances non fiscales (c-à-d notamment les redevances) est réglé par l’article L 1124-40, § 1</w:t>
      </w:r>
      <w:r w:rsidRPr="5EFBFFCA">
        <w:rPr>
          <w:rFonts w:ascii="Cambria" w:eastAsia="MS Mincho" w:hAnsi="Cambria" w:cs="Arial"/>
          <w:vertAlign w:val="superscript"/>
          <w:lang w:val="fr"/>
        </w:rPr>
        <w:t>er</w:t>
      </w:r>
      <w:r w:rsidRPr="5EFBFFCA">
        <w:rPr>
          <w:rFonts w:ascii="Cambria" w:eastAsia="MS Mincho" w:hAnsi="Cambria" w:cs="Arial"/>
          <w:lang w:val="fr"/>
        </w:rPr>
        <w:t xml:space="preserve">, 1° du CDLD. </w:t>
      </w:r>
    </w:p>
    <w:p w14:paraId="2DF1B474" w14:textId="1BE7486D" w:rsidR="08ED7CEE" w:rsidRDefault="08ED7CEE">
      <w:pPr>
        <w:rPr>
          <w:rFonts w:ascii="Cambria" w:eastAsia="MS Mincho" w:hAnsi="Cambria" w:cs="Arial"/>
          <w:i/>
          <w:iCs/>
          <w:lang w:val="fr"/>
        </w:rPr>
      </w:pPr>
      <w:r w:rsidRPr="5EFBFFCA">
        <w:rPr>
          <w:rFonts w:ascii="Cambria" w:eastAsia="MS Mincho" w:hAnsi="Cambria" w:cs="Arial"/>
          <w:lang w:val="fr"/>
        </w:rPr>
        <w:t>Cet article prévoit que le directeur financier peut, pour recouvrer les créances non fiscales liquides, certaines et exigibles envoyer une contrainte visée et rendue exécutoire par le Collège communal. Une telle contrainte est signifiée par exploit d’huissier. Cet exploit interrompt la prescription.</w:t>
      </w:r>
      <w:r w:rsidRPr="5EFBFFCA">
        <w:rPr>
          <w:rFonts w:ascii="Cambria" w:eastAsia="MS Mincho" w:hAnsi="Cambria" w:cs="Arial"/>
          <w:i/>
          <w:iCs/>
          <w:lang w:val="fr"/>
        </w:rPr>
        <w:t xml:space="preserve"> </w:t>
      </w:r>
    </w:p>
    <w:p w14:paraId="780A0972" w14:textId="55E06372" w:rsidR="08ED7CEE" w:rsidRDefault="08ED7CEE">
      <w:pPr>
        <w:rPr>
          <w:rFonts w:ascii="Cambria" w:eastAsia="MS Mincho" w:hAnsi="Cambria" w:cs="Arial"/>
          <w:lang w:val="fr"/>
        </w:rPr>
      </w:pPr>
      <w:r w:rsidRPr="5EFBFFCA">
        <w:rPr>
          <w:rFonts w:ascii="Cambria" w:eastAsia="MS Mincho" w:hAnsi="Cambria" w:cs="Arial"/>
          <w:lang w:val="fr"/>
        </w:rPr>
        <w:t xml:space="preserve">Le fait que la dette doit être liquide, certaine et exigible implique nécessairement que la dette est une dette d’argent, que son délai de paiement est échu et qu’elle n’est pas contestée par son débiteur. </w:t>
      </w:r>
    </w:p>
    <w:p w14:paraId="30739DF9" w14:textId="6C40D5AB" w:rsidR="08ED7CEE" w:rsidRDefault="08ED7CEE">
      <w:pPr>
        <w:rPr>
          <w:rFonts w:ascii="Cambria" w:eastAsia="MS Mincho" w:hAnsi="Cambria" w:cs="Arial"/>
          <w:lang w:val="fr"/>
        </w:rPr>
      </w:pPr>
      <w:r w:rsidRPr="5EFBFFCA">
        <w:rPr>
          <w:rFonts w:ascii="Cambria" w:eastAsia="MS Mincho" w:hAnsi="Cambria" w:cs="Arial"/>
          <w:lang w:val="fr"/>
        </w:rPr>
        <w:t>Si une de ces conditions manque, le débiteur-réclamant devra se tourner vers les juridictions civiles. En effet, dans la gestion de son domaine privé, la commune n’a pas à bénéficier de privilèges qui sont réservés à ses missions de service public.</w:t>
      </w:r>
    </w:p>
    <w:p w14:paraId="66CCB0F0" w14:textId="775F1A69" w:rsidR="265991C5" w:rsidRDefault="265991C5" w:rsidP="0426393E">
      <w:pPr>
        <w:rPr>
          <w:rFonts w:ascii="Cambria" w:eastAsia="MS Mincho" w:hAnsi="Cambria" w:cs="Arial"/>
          <w:lang w:val="fr-FR"/>
        </w:rPr>
      </w:pPr>
      <w:r w:rsidRPr="0426393E">
        <w:rPr>
          <w:rFonts w:ascii="Cambria" w:eastAsia="MS Mincho" w:hAnsi="Cambria" w:cs="Arial"/>
          <w:lang w:val="fr-FR"/>
        </w:rPr>
        <w:lastRenderedPageBreak/>
        <w:t>Depuis la loi du 04 mai 2023 créant, dans le Code de droit économique, le livre XIX intitulé «Dettes du consommateur », les pouvoirs locaux sont soumis à cette loi pour toutes les activités qui ne font pas partie de leur mission légale d’intérêt général.</w:t>
      </w:r>
    </w:p>
    <w:p w14:paraId="1ED677EF" w14:textId="5581EE28" w:rsidR="5EFBFFCA" w:rsidRDefault="5EFBFFCA"/>
    <w:p w14:paraId="0FA7BB8E" w14:textId="408654BE" w:rsidR="00FE4292" w:rsidRPr="005C4637" w:rsidRDefault="00FE4292" w:rsidP="35BD9115">
      <w:pPr>
        <w:pStyle w:val="Titre3"/>
      </w:pPr>
      <w:bookmarkStart w:id="753" w:name="_Toc225504261"/>
      <w:bookmarkStart w:id="754" w:name="_Toc225772350"/>
      <w:bookmarkStart w:id="755" w:name="_Toc233626219"/>
      <w:r w:rsidRPr="005C4637">
        <w:t>Les 3 grandes catégories d’impôts</w:t>
      </w:r>
      <w:bookmarkEnd w:id="753"/>
      <w:bookmarkEnd w:id="754"/>
      <w:bookmarkEnd w:id="755"/>
    </w:p>
    <w:p w14:paraId="01C07957" w14:textId="51644B40" w:rsidR="00D04007" w:rsidRPr="005C4637" w:rsidRDefault="00D04007">
      <w:pPr>
        <w:pStyle w:val="Titre4"/>
        <w:numPr>
          <w:ilvl w:val="0"/>
          <w:numId w:val="101"/>
        </w:numPr>
      </w:pPr>
      <w:r w:rsidRPr="005C4637">
        <w:t>Quelles sont les trois grandes catégories d’impôts communaux ?</w:t>
      </w:r>
    </w:p>
    <w:p w14:paraId="2825C2B5" w14:textId="53DE372A" w:rsidR="00D04007" w:rsidRPr="0026392D" w:rsidRDefault="00D04007">
      <w:pPr>
        <w:pStyle w:val="Paragraphedeliste"/>
        <w:numPr>
          <w:ilvl w:val="0"/>
          <w:numId w:val="57"/>
        </w:numPr>
        <w:rPr>
          <w:u w:val="single"/>
        </w:rPr>
      </w:pPr>
      <w:r w:rsidRPr="0026392D">
        <w:rPr>
          <w:u w:val="single"/>
        </w:rPr>
        <w:t>Les impôts liés à l’impôt des personnes physiques</w:t>
      </w:r>
      <w:r w:rsidR="19BDE83F" w:rsidRPr="0026392D">
        <w:rPr>
          <w:u w:val="single"/>
        </w:rPr>
        <w:t xml:space="preserve"> selon l’article 465 CIR</w:t>
      </w:r>
      <w:r w:rsidRPr="0026392D">
        <w:rPr>
          <w:u w:val="single"/>
        </w:rPr>
        <w:t xml:space="preserve"> (additionnels IPP gérés par le SPF Finances). </w:t>
      </w:r>
    </w:p>
    <w:p w14:paraId="0F9A842B" w14:textId="77777777" w:rsidR="003433B1" w:rsidRPr="005C4637" w:rsidRDefault="003433B1" w:rsidP="0026392D">
      <w:pPr>
        <w:pStyle w:val="Paragraphedeliste"/>
        <w:ind w:left="768"/>
      </w:pPr>
    </w:p>
    <w:p w14:paraId="55BFAF0D" w14:textId="217A9190" w:rsidR="00A66D97" w:rsidRPr="0026392D" w:rsidRDefault="00D04007">
      <w:pPr>
        <w:pStyle w:val="Paragraphedeliste"/>
        <w:numPr>
          <w:ilvl w:val="0"/>
          <w:numId w:val="57"/>
        </w:numPr>
        <w:rPr>
          <w:u w:val="single"/>
        </w:rPr>
      </w:pPr>
      <w:r w:rsidRPr="0026392D">
        <w:rPr>
          <w:u w:val="single"/>
        </w:rPr>
        <w:t xml:space="preserve">Les impôts liés à un impôt ou à une taxe régionale </w:t>
      </w:r>
      <w:r w:rsidR="03E5B8E8" w:rsidRPr="0026392D">
        <w:rPr>
          <w:u w:val="single"/>
        </w:rPr>
        <w:t xml:space="preserve"> </w:t>
      </w:r>
    </w:p>
    <w:p w14:paraId="2DD3F7C2" w14:textId="77777777" w:rsidR="00A66D97" w:rsidRPr="00F91BDD" w:rsidRDefault="00A66D97" w:rsidP="00A66D97">
      <w:pPr>
        <w:spacing w:before="120"/>
        <w:textAlignment w:val="baseline"/>
      </w:pPr>
      <w:r w:rsidRPr="00F91BDD">
        <w:t>Actuellement, sont liés à un impôt régional tel que listé à l’article 3 de la Loi spéciale de financement (LSF) ou une taxe régionale propre fondée directement sur l’article 170, § 2 de la Constitution :</w:t>
      </w:r>
    </w:p>
    <w:p w14:paraId="37D4982E" w14:textId="77777777" w:rsidR="00A66D97" w:rsidRPr="00F91BDD" w:rsidRDefault="00A66D97">
      <w:pPr>
        <w:pStyle w:val="Paragraphedeliste"/>
        <w:numPr>
          <w:ilvl w:val="1"/>
          <w:numId w:val="56"/>
        </w:numPr>
        <w:spacing w:before="120" w:after="120" w:line="240" w:lineRule="auto"/>
        <w:ind w:left="720"/>
        <w:contextualSpacing w:val="0"/>
        <w:textAlignment w:val="baseline"/>
      </w:pPr>
      <w:r w:rsidRPr="00F91BDD">
        <w:t>Les centimes additionnels au précompte immobilier ;</w:t>
      </w:r>
    </w:p>
    <w:p w14:paraId="71DEFA38" w14:textId="77777777" w:rsidR="00A66D97" w:rsidRPr="00F91BDD" w:rsidRDefault="00A66D97">
      <w:pPr>
        <w:pStyle w:val="Paragraphedeliste"/>
        <w:numPr>
          <w:ilvl w:val="1"/>
          <w:numId w:val="56"/>
        </w:numPr>
        <w:spacing w:before="120" w:after="120" w:line="240" w:lineRule="auto"/>
        <w:ind w:left="720"/>
        <w:contextualSpacing w:val="0"/>
        <w:textAlignment w:val="baseline"/>
      </w:pPr>
      <w:r w:rsidRPr="00F91BDD">
        <w:t>Les décimes additionnels à la taxe de circulation ;</w:t>
      </w:r>
    </w:p>
    <w:p w14:paraId="12322A90" w14:textId="77777777" w:rsidR="00A66D97" w:rsidRPr="00F91BDD" w:rsidRDefault="00A66D97">
      <w:pPr>
        <w:pStyle w:val="Paragraphedeliste"/>
        <w:numPr>
          <w:ilvl w:val="1"/>
          <w:numId w:val="56"/>
        </w:numPr>
        <w:spacing w:before="120" w:after="120" w:line="240" w:lineRule="auto"/>
        <w:ind w:left="720"/>
        <w:contextualSpacing w:val="0"/>
        <w:textAlignment w:val="baseline"/>
      </w:pPr>
      <w:r w:rsidRPr="00F91BDD">
        <w:t>Les centimes additionnels à la taxe sur les sites d'activité économique désaffectés.</w:t>
      </w:r>
    </w:p>
    <w:p w14:paraId="29977F4D" w14:textId="77777777" w:rsidR="00A66D97" w:rsidRPr="00F91BDD" w:rsidRDefault="00A66D97" w:rsidP="00A66D97">
      <w:pPr>
        <w:spacing w:before="120"/>
        <w:textAlignment w:val="baseline"/>
      </w:pPr>
      <w:r w:rsidRPr="00F91BDD">
        <w:t>D’abord, l’article 464/1 du code des impôts sur les revenus prévoit que, par dérogation à l'article 464, les communes peuvent établir des centimes additionnels sur :</w:t>
      </w:r>
    </w:p>
    <w:p w14:paraId="33FB6E29" w14:textId="77777777" w:rsidR="00A66D97" w:rsidRPr="00F91BDD" w:rsidRDefault="00A66D97" w:rsidP="00A66D97">
      <w:pPr>
        <w:spacing w:before="120"/>
        <w:textAlignment w:val="baseline"/>
      </w:pPr>
      <w:r w:rsidRPr="00F91BDD">
        <w:t>1° le précompte immobilier ;</w:t>
      </w:r>
    </w:p>
    <w:p w14:paraId="4FBDF5C8" w14:textId="77777777" w:rsidR="00A66D97" w:rsidRPr="00F91BDD" w:rsidRDefault="00A66D97" w:rsidP="00A66D97">
      <w:pPr>
        <w:spacing w:before="120"/>
        <w:textAlignment w:val="baseline"/>
      </w:pPr>
      <w:r w:rsidRPr="00F91BDD">
        <w:t>2° un impôt régional non visé à l'article 3 de la loi spéciale du 16 janvier 1989 relative au financement des Communautés et des Régions, ayant le revenu cadastral fédéral comme base d'imposition ou comme élément de sa base d'imposition.</w:t>
      </w:r>
    </w:p>
    <w:p w14:paraId="458AE028" w14:textId="77777777" w:rsidR="00A66D97" w:rsidRPr="00F91BDD" w:rsidRDefault="00A66D97" w:rsidP="00A66D97">
      <w:pPr>
        <w:spacing w:before="120"/>
        <w:textAlignment w:val="baseline"/>
      </w:pPr>
      <w:r w:rsidRPr="00F91BDD">
        <w:t>Depuis le 1</w:t>
      </w:r>
      <w:r w:rsidRPr="00F91BDD">
        <w:rPr>
          <w:vertAlign w:val="superscript"/>
        </w:rPr>
        <w:t>er</w:t>
      </w:r>
      <w:r w:rsidRPr="00F91BDD">
        <w:t xml:space="preserve"> janvier 2021, la Région wallonne est seule et exclusivement compétente pour assurer le service du précompte immobilier. </w:t>
      </w:r>
    </w:p>
    <w:p w14:paraId="7BC64AF3" w14:textId="77777777" w:rsidR="00A66D97" w:rsidRPr="00F91BDD" w:rsidRDefault="00A66D97" w:rsidP="00A66D97">
      <w:pPr>
        <w:spacing w:before="120"/>
        <w:textAlignment w:val="baseline"/>
      </w:pPr>
      <w:r w:rsidRPr="00F91BDD">
        <w:t>Ensuite, l’article 42, § 2, 1°, du Code des taxes assimilées aux impôts sur les revenus - Région wallonne - prévoit que par dérogation au § 1, il est établi au profit des communes un décime additionnel à la taxe de circulation perçue sur les véhicules automobiles.</w:t>
      </w:r>
    </w:p>
    <w:p w14:paraId="0136461D" w14:textId="77777777" w:rsidR="00A66D97" w:rsidRPr="00F91BDD" w:rsidRDefault="00A66D97" w:rsidP="00A66D97">
      <w:pPr>
        <w:spacing w:before="120"/>
        <w:textAlignment w:val="baseline"/>
      </w:pPr>
      <w:r w:rsidRPr="00F91BDD">
        <w:t>Enfin, l’article 157 Décret-programme du 12 décembre 2014 portant des mesures diverses liées au budget en matière de calamité naturelle, de sécurité routière, de travaux publics, d'énergie, de logement, d'environnement, d'aménagement du territoire, de bien-être animal, d'agriculture et de fiscalité prévoit que les communes peuvent lever des centimes additionnels à la taxe régionale sur les sites d'activité économique désaffectés. Peuvent lever ces centimes additionnels, les communes qui participent annuellement au recensement et à la mise à jour de la liste des sites susceptibles d'être concernés par la présente taxe. Il est toutefois renvoyé aux commentaires repris au point I.15 et sous le n° de nomenclature 04001/377-01 « Sites d'activité économique désaffectés ».</w:t>
      </w:r>
    </w:p>
    <w:p w14:paraId="1A2C8780" w14:textId="77777777" w:rsidR="00A66D97" w:rsidRPr="00F91BDD" w:rsidRDefault="00A66D97" w:rsidP="00A66D97">
      <w:pPr>
        <w:spacing w:before="120"/>
        <w:textAlignment w:val="baseline"/>
      </w:pPr>
      <w:r w:rsidRPr="00F91BDD">
        <w:lastRenderedPageBreak/>
        <w:t>Les articles L3321-1 à L3321-12 du CDLD qui règlent l’établissement et le recouvrement des taxes communales ne s’appliquent pas aux taxes additionnelles perçues par la Région wallonne au profit des provinces et des communes.</w:t>
      </w:r>
    </w:p>
    <w:p w14:paraId="4FFBA0D9" w14:textId="79B985D4" w:rsidR="00D04007" w:rsidRPr="0026392D" w:rsidRDefault="00D04007">
      <w:pPr>
        <w:pStyle w:val="Paragraphedeliste"/>
        <w:numPr>
          <w:ilvl w:val="0"/>
          <w:numId w:val="58"/>
        </w:numPr>
        <w:rPr>
          <w:u w:val="single"/>
        </w:rPr>
      </w:pPr>
      <w:r w:rsidRPr="0026392D">
        <w:rPr>
          <w:u w:val="single"/>
        </w:rPr>
        <w:t xml:space="preserve">Les impôts purement communaux, établis librement par la commune </w:t>
      </w:r>
      <w:r w:rsidR="7A227978" w:rsidRPr="0026392D">
        <w:rPr>
          <w:u w:val="single"/>
        </w:rPr>
        <w:t>c</w:t>
      </w:r>
      <w:r w:rsidR="5966C56E" w:rsidRPr="0026392D">
        <w:rPr>
          <w:rFonts w:ascii="Cambria" w:eastAsia="MS Mincho" w:hAnsi="Cambria" w:cs="Arial"/>
          <w:u w:val="single"/>
          <w:lang w:val="fr"/>
        </w:rPr>
        <w:t>onformément</w:t>
      </w:r>
      <w:r w:rsidR="7A227978" w:rsidRPr="0026392D">
        <w:rPr>
          <w:rFonts w:ascii="Cambria" w:eastAsia="MS Mincho" w:hAnsi="Cambria" w:cs="Arial"/>
          <w:u w:val="single"/>
          <w:lang w:val="fr"/>
        </w:rPr>
        <w:t xml:space="preserve"> aux articles 41, 162 et 170, § 4 de la Constitution</w:t>
      </w:r>
      <w:r w:rsidRPr="0026392D">
        <w:rPr>
          <w:u w:val="single"/>
        </w:rPr>
        <w:t>.</w:t>
      </w:r>
    </w:p>
    <w:p w14:paraId="1669DEBC" w14:textId="77777777" w:rsidR="00E12C1C" w:rsidRDefault="006D329A" w:rsidP="00E12C1C">
      <w:pPr>
        <w:spacing w:before="120"/>
        <w:ind w:left="360"/>
        <w:textAlignment w:val="baseline"/>
      </w:pPr>
      <w:r w:rsidRPr="00F91BDD">
        <w:t xml:space="preserve">Conformément aux articles 41, 162 et 170, § 4 de la Constitution, les communes peuvent soumettre toute matière aux impôts, sous réserve du respect de la loi et de la conformité à l'intérêt général. </w:t>
      </w:r>
    </w:p>
    <w:p w14:paraId="68465A0F" w14:textId="77777777" w:rsidR="00E12C1C" w:rsidRDefault="006D329A" w:rsidP="00E12C1C">
      <w:pPr>
        <w:spacing w:before="120"/>
        <w:ind w:left="360"/>
        <w:textAlignment w:val="baseline"/>
      </w:pPr>
      <w:r w:rsidRPr="00F91BDD">
        <w:t>Ainsi, les communes peuvent prendre l'initiative de régler au niveau local tout objet que la Constitution ou la loi n'a pas expressément exclu de leurs compétences, à condition de respecter les lois, décrets, ordonnances et règlements adoptés par l'autorité fédérale ou fédérée compétente</w:t>
      </w:r>
      <w:r w:rsidRPr="00F91BDD">
        <w:rPr>
          <w:rStyle w:val="Appelnotedebasdep"/>
        </w:rPr>
        <w:footnoteReference w:id="7"/>
      </w:r>
      <w:r w:rsidRPr="00F91BDD">
        <w:t>.</w:t>
      </w:r>
    </w:p>
    <w:p w14:paraId="32A54ADF" w14:textId="16A6302A" w:rsidR="006D329A" w:rsidRPr="005C4637" w:rsidRDefault="006D329A" w:rsidP="0026392D">
      <w:pPr>
        <w:spacing w:before="120"/>
        <w:ind w:left="360"/>
        <w:textAlignment w:val="baseline"/>
      </w:pPr>
      <w:r w:rsidRPr="00F91BDD">
        <w:t>L’intervention de l’autorité de tutelle vise notamment à empêcher que la loi ne soit violée ou que l'intérêt général ne soit blessé.</w:t>
      </w:r>
    </w:p>
    <w:p w14:paraId="03567F0D" w14:textId="6C00F80E" w:rsidR="00D04007" w:rsidRDefault="00D04007">
      <w:pPr>
        <w:pStyle w:val="Titre4"/>
        <w:numPr>
          <w:ilvl w:val="0"/>
          <w:numId w:val="102"/>
        </w:numPr>
      </w:pPr>
      <w:r w:rsidRPr="005C4637">
        <w:t>Quels types d’impôts purement communaux existent ?</w:t>
      </w:r>
    </w:p>
    <w:p w14:paraId="7F8D2AFD" w14:textId="6A2378BA" w:rsidR="00045E07" w:rsidRDefault="00045E07" w:rsidP="00045E07">
      <w:r>
        <w:t xml:space="preserve">Il existe 3 types : </w:t>
      </w:r>
    </w:p>
    <w:p w14:paraId="58E06508" w14:textId="77777777" w:rsidR="00045E07" w:rsidRPr="00F91BDD" w:rsidRDefault="00045E07">
      <w:pPr>
        <w:pStyle w:val="Paragraphedeliste"/>
        <w:numPr>
          <w:ilvl w:val="0"/>
          <w:numId w:val="9"/>
        </w:numPr>
        <w:spacing w:before="120" w:after="120" w:line="240" w:lineRule="auto"/>
        <w:contextualSpacing w:val="0"/>
        <w:textAlignment w:val="baseline"/>
        <w:rPr>
          <w:u w:val="single"/>
        </w:rPr>
      </w:pPr>
      <w:r w:rsidRPr="00F91BDD">
        <w:rPr>
          <w:u w:val="single"/>
        </w:rPr>
        <w:t>L’impôt de quotité</w:t>
      </w:r>
      <w:r w:rsidRPr="00F91BDD">
        <w:t xml:space="preserve"> : le rendement de l’impôt n’est pas fixé d’avance ; seul le taux de l’impôt est fixé au départ par l’autorité communale : soit via un pourcentage (par exemple : le taux de la taxe sur spectacles et divertissements qui s’échelonnent de 8,5% à 33,75% sur le produit des billets d’entrée) soit via une certaine somme (par exemple : le taux de 640,00 euros pour la taxe seconde résidence).</w:t>
      </w:r>
    </w:p>
    <w:p w14:paraId="3390C5FD" w14:textId="77777777" w:rsidR="00045E07" w:rsidRPr="00F91BDD" w:rsidRDefault="00045E07">
      <w:pPr>
        <w:pStyle w:val="Paragraphedeliste"/>
        <w:numPr>
          <w:ilvl w:val="0"/>
          <w:numId w:val="9"/>
        </w:numPr>
        <w:spacing w:before="120" w:after="120" w:line="240" w:lineRule="auto"/>
        <w:contextualSpacing w:val="0"/>
        <w:textAlignment w:val="baseline"/>
        <w:rPr>
          <w:u w:val="single"/>
        </w:rPr>
      </w:pPr>
      <w:r w:rsidRPr="00F91BDD">
        <w:rPr>
          <w:u w:val="single"/>
        </w:rPr>
        <w:t>L’impôt de répartition</w:t>
      </w:r>
      <w:r w:rsidRPr="00F91BDD">
        <w:t xml:space="preserve"> : l'autorité locale fixe le produit qu'elle veut obtenir et en répartit ensuite la charge entre les contribuables concernés sur la base de critères déterminés (par exemple : la taxe sur les carrières d’un montant de 10.000,00 euros à répartir entre les entreprises du secteur en fonction du nombre de tonnes extraites par chacune d'elles).</w:t>
      </w:r>
    </w:p>
    <w:p w14:paraId="52255AC4" w14:textId="77777777" w:rsidR="0026392D" w:rsidRPr="00190162" w:rsidRDefault="00045E07">
      <w:pPr>
        <w:pStyle w:val="Paragraphedeliste"/>
        <w:numPr>
          <w:ilvl w:val="0"/>
          <w:numId w:val="9"/>
        </w:numPr>
        <w:spacing w:before="120" w:after="120" w:line="240" w:lineRule="auto"/>
        <w:contextualSpacing w:val="0"/>
        <w:textAlignment w:val="baseline"/>
      </w:pPr>
      <w:r w:rsidRPr="00190162">
        <w:rPr>
          <w:u w:val="single"/>
        </w:rPr>
        <w:t>L’impôt de remboursement</w:t>
      </w:r>
      <w:r w:rsidRPr="00190162">
        <w:t xml:space="preserve"> (également appelé impôt rémunératoire) : il constitue un prélèvement obligatoire par voie d’autorité sur les ressources d’une personne pour la rémunération d’un service rendu (par exemple : la construction des trottoirs). En raison de son caractère contraignant et de sa destination, la taxe de remboursement est un impôt et non pas une redevance.</w:t>
      </w:r>
    </w:p>
    <w:p w14:paraId="1BE659A7" w14:textId="78258327" w:rsidR="267A4512" w:rsidRPr="00190162" w:rsidRDefault="267A4512" w:rsidP="0026392D">
      <w:pPr>
        <w:pStyle w:val="Paragraphedeliste"/>
        <w:spacing w:before="120" w:after="120" w:line="240" w:lineRule="auto"/>
        <w:contextualSpacing w:val="0"/>
        <w:textAlignment w:val="baseline"/>
      </w:pPr>
      <w:r w:rsidRPr="00190162">
        <w:t xml:space="preserve">Dans son arrêt n°173/2005 la Cour constitutionnelle définit la taxe rémunératoire comme </w:t>
      </w:r>
      <w:r w:rsidR="651FEEFD" w:rsidRPr="00190162">
        <w:t xml:space="preserve">une taxe perçue afin </w:t>
      </w:r>
      <w:r w:rsidR="4D9E7F69" w:rsidRPr="00190162">
        <w:t>d</w:t>
      </w:r>
      <w:r w:rsidR="651FEEFD" w:rsidRPr="00190162">
        <w:t xml:space="preserve">e compenser une dépense d’intérêt général. </w:t>
      </w:r>
      <w:r w:rsidR="1395B29B" w:rsidRPr="00190162">
        <w:t xml:space="preserve">Bien qu’une telle dépense d’intérêt général bénéficie à un grand </w:t>
      </w:r>
      <w:r w:rsidR="4E0B11E7" w:rsidRPr="00190162">
        <w:t>nombre</w:t>
      </w:r>
      <w:r w:rsidR="1395B29B" w:rsidRPr="00190162">
        <w:t xml:space="preserve"> de personnes, ou même à tous au sein de la collectivité, le propre d’</w:t>
      </w:r>
      <w:r w:rsidR="67275963" w:rsidRPr="00190162">
        <w:t>une taxe</w:t>
      </w:r>
      <w:r w:rsidR="1395B29B" w:rsidRPr="00190162">
        <w:t xml:space="preserve"> rémunératoire est qu’elle soit imp</w:t>
      </w:r>
      <w:r w:rsidR="4CDD048F" w:rsidRPr="00190162">
        <w:t xml:space="preserve">osée, en vue du financement des frais dans l’optique desquels elle est établie, à ceux dont l’autorité taxatrice considère qu’ils peuvent tirer </w:t>
      </w:r>
      <w:r w:rsidR="332EB86B" w:rsidRPr="00190162">
        <w:t>le plus</w:t>
      </w:r>
      <w:r w:rsidR="4CDD048F" w:rsidRPr="00190162">
        <w:t xml:space="preserve"> grand avantage de ces frais</w:t>
      </w:r>
      <w:r w:rsidR="549D663F" w:rsidRPr="00190162">
        <w:t xml:space="preserve">, peu importe si </w:t>
      </w:r>
      <w:r w:rsidR="66056BEA" w:rsidRPr="00190162">
        <w:t>les redevables</w:t>
      </w:r>
      <w:r w:rsidR="549D663F" w:rsidRPr="00190162">
        <w:t xml:space="preserve"> font ou non usage du service financé au moyen </w:t>
      </w:r>
      <w:r w:rsidR="549D663F" w:rsidRPr="00190162">
        <w:lastRenderedPageBreak/>
        <w:t>de cette taxe. Les redevables n’ont d’ailleurs pas la possibilité d’échapper à la taxe prévue.</w:t>
      </w:r>
    </w:p>
    <w:p w14:paraId="0F31621E" w14:textId="2B94C3CA" w:rsidR="00CD1BC1" w:rsidRPr="005C4637" w:rsidRDefault="00CD1BC1" w:rsidP="35BD9115">
      <w:pPr>
        <w:pStyle w:val="Titre3"/>
      </w:pPr>
      <w:bookmarkStart w:id="756" w:name="_Toc225504262"/>
      <w:bookmarkStart w:id="757" w:name="_Toc225772351"/>
      <w:bookmarkStart w:id="758" w:name="_Toc233626220"/>
      <w:r w:rsidRPr="005C4637">
        <w:t>Les impôts directs et indirects</w:t>
      </w:r>
      <w:bookmarkEnd w:id="756"/>
      <w:bookmarkEnd w:id="757"/>
      <w:bookmarkEnd w:id="758"/>
    </w:p>
    <w:p w14:paraId="596987AB" w14:textId="77777777" w:rsidR="00D04007" w:rsidRPr="005C4637" w:rsidRDefault="00D04007">
      <w:pPr>
        <w:pStyle w:val="Titre4"/>
        <w:numPr>
          <w:ilvl w:val="0"/>
          <w:numId w:val="59"/>
        </w:numPr>
      </w:pPr>
      <w:r w:rsidRPr="005C4637">
        <w:t>Qu’est-ce qu’un impôt communal direct ?</w:t>
      </w:r>
    </w:p>
    <w:p w14:paraId="4086A268" w14:textId="77777777" w:rsidR="00D04007" w:rsidRPr="005C4637" w:rsidRDefault="00D04007" w:rsidP="00D04007">
      <w:r w:rsidRPr="005C4637">
        <w:t>Il frappe une situation permanente ou durable dans le chef du redevable : exemple, taxe sur les piscines privées. Il se distingue par son ancrage dans une situation continue et non dans un acte ponctuel.</w:t>
      </w:r>
    </w:p>
    <w:p w14:paraId="08115038" w14:textId="7C906F73" w:rsidR="00D04007" w:rsidRPr="005C4637" w:rsidRDefault="00D04007">
      <w:pPr>
        <w:pStyle w:val="Titre4"/>
        <w:numPr>
          <w:ilvl w:val="0"/>
          <w:numId w:val="59"/>
        </w:numPr>
      </w:pPr>
      <w:r w:rsidRPr="005C4637">
        <w:t>Qu’est-ce qu’un impôt communal indirect ?</w:t>
      </w:r>
    </w:p>
    <w:p w14:paraId="3135AC1E" w14:textId="00AE11CF" w:rsidR="00F549A1" w:rsidRPr="005C4637" w:rsidRDefault="00D04007" w:rsidP="00D04007">
      <w:r w:rsidRPr="005C4637">
        <w:t>Il frappe des actes, opérations ou faits passagers, même répétés : exemple, taxe sur les écrits publicitaires non adressés. Le fait générateur doit se répéter pour que la taxe soit due à nouveau. Cette distinction joue notamment dans la régulation des taxes directes.</w:t>
      </w:r>
      <w:r w:rsidR="002503F4" w:rsidRPr="005C4637">
        <w:rPr>
          <w:rStyle w:val="Appelnotedebasdep"/>
        </w:rPr>
        <w:footnoteReference w:id="8"/>
      </w:r>
    </w:p>
    <w:p w14:paraId="32BEC2FB" w14:textId="0AC6F7A0" w:rsidR="003125C9" w:rsidRPr="005C4637" w:rsidRDefault="003125C9" w:rsidP="00485A3A">
      <w:pPr>
        <w:pStyle w:val="Titre2"/>
      </w:pPr>
      <w:bookmarkStart w:id="759" w:name="_Toc225504263"/>
      <w:bookmarkStart w:id="760" w:name="_Toc225772352"/>
      <w:bookmarkStart w:id="761" w:name="_Toc233626221"/>
      <w:r>
        <w:t>Principes généraux des taxes et redevances communales</w:t>
      </w:r>
      <w:bookmarkEnd w:id="759"/>
      <w:bookmarkEnd w:id="760"/>
      <w:bookmarkEnd w:id="761"/>
    </w:p>
    <w:p w14:paraId="793990BE" w14:textId="1306AD81" w:rsidR="32A545D4" w:rsidRPr="00840A7C" w:rsidRDefault="32A545D4">
      <w:pPr>
        <w:pStyle w:val="Titre3"/>
        <w:numPr>
          <w:ilvl w:val="0"/>
          <w:numId w:val="116"/>
        </w:numPr>
      </w:pPr>
      <w:bookmarkStart w:id="762" w:name="_Toc225504264"/>
      <w:bookmarkStart w:id="763" w:name="_Toc225772353"/>
      <w:bookmarkStart w:id="764" w:name="_Toc233626222"/>
      <w:r w:rsidRPr="00840A7C">
        <w:t>Autonomie fiscale</w:t>
      </w:r>
      <w:bookmarkEnd w:id="762"/>
      <w:bookmarkEnd w:id="763"/>
      <w:bookmarkEnd w:id="764"/>
    </w:p>
    <w:p w14:paraId="409B928D" w14:textId="17757BD1" w:rsidR="3874587A" w:rsidRPr="00840A7C" w:rsidRDefault="3874587A" w:rsidP="0026392D">
      <w:r w:rsidRPr="00840A7C">
        <w:t>Selon une jurisprudence constante</w:t>
      </w:r>
      <w:r w:rsidR="1234C9AB" w:rsidRPr="00840A7C">
        <w:t xml:space="preserve"> et c</w:t>
      </w:r>
      <w:r w:rsidR="3A6574FA" w:rsidRPr="00840A7C">
        <w:t>onformément à l’article 170 de la Constitution, les communes bénéficient d’une autonomie fiscale qui leur permet de d</w:t>
      </w:r>
      <w:r w:rsidR="1B656372" w:rsidRPr="00840A7C">
        <w:t xml:space="preserve">éterminer librement les éléments constitutifs des </w:t>
      </w:r>
      <w:r w:rsidR="75A840B1" w:rsidRPr="00840A7C">
        <w:t>impôts</w:t>
      </w:r>
      <w:r w:rsidR="1B656372" w:rsidRPr="00840A7C">
        <w:t xml:space="preserve"> </w:t>
      </w:r>
      <w:r w:rsidR="000B3D18">
        <w:t>q</w:t>
      </w:r>
      <w:r w:rsidR="1B656372" w:rsidRPr="00840A7C">
        <w:t>u’elles établissent</w:t>
      </w:r>
      <w:r w:rsidR="7C43A7C9" w:rsidRPr="00840A7C">
        <w:t xml:space="preserve"> (</w:t>
      </w:r>
      <w:r w:rsidR="1B656372" w:rsidRPr="00840A7C">
        <w:t>bases,</w:t>
      </w:r>
      <w:r w:rsidR="2B769BEA" w:rsidRPr="00840A7C">
        <w:t xml:space="preserve"> </w:t>
      </w:r>
      <w:r w:rsidR="1B656372" w:rsidRPr="00840A7C">
        <w:t>assiette et taux</w:t>
      </w:r>
      <w:r w:rsidR="1FAABCB4" w:rsidRPr="00840A7C">
        <w:t>)</w:t>
      </w:r>
      <w:r w:rsidR="1B656372" w:rsidRPr="00840A7C">
        <w:t xml:space="preserve"> dont elles apprécient la nécessité au regard des besoins auxquels elles estiment devoir pourvoir, et de mener la politique fiscale qu’elles jugent utile, sous réserve des lois particulières qui limiteraient leur pouvoir d’imposition.</w:t>
      </w:r>
      <w:r w:rsidRPr="00840A7C">
        <w:rPr>
          <w:rStyle w:val="Appelnotedebasdep"/>
        </w:rPr>
        <w:footnoteReference w:id="9"/>
      </w:r>
    </w:p>
    <w:p w14:paraId="0B512B71" w14:textId="6914EE7B" w:rsidR="1B656372" w:rsidRPr="00840A7C" w:rsidRDefault="1B656372">
      <w:r w:rsidRPr="00840A7C">
        <w:t>En d’autres mots, l’autorité communale tire son pouvoir de taxation de l'article 170, § 4 de la Constitution et il lui appartient dans le cadre de son autonomie fiscale, pour autant que, sous le contrôle de l'autorité de tutelle, l'établissement de l'impôt ne viole pas la loi ou ne blesse pas l'intérêt général, de déterminer les bases et l'assiette des impositions dont elle apprécie la nécessité au regard des besoins auxquels elle estime devoir pourvoir, sous la réserve imposée par la Constitution, à savoir la compétence du législateur d'interdire aux communes de lever certains impôts</w:t>
      </w:r>
      <w:r w:rsidRPr="00840A7C">
        <w:rPr>
          <w:rStyle w:val="Appelnotedebasdep"/>
        </w:rPr>
        <w:footnoteReference w:id="10"/>
      </w:r>
    </w:p>
    <w:p w14:paraId="19CA0F54" w14:textId="414873FC" w:rsidR="1B656372" w:rsidRPr="00840A7C" w:rsidRDefault="1B656372" w:rsidP="6FFC1684">
      <w:r w:rsidRPr="00840A7C">
        <w:t>L’objectif d’un impôt doit être principalement financier. Il est toutefois admis que les communes poursuivent des objectifs accessoires, non financiers, d’incitation ou de dissuasion.</w:t>
      </w:r>
    </w:p>
    <w:p w14:paraId="46A6FA30" w14:textId="0B59373E" w:rsidR="1B656372" w:rsidRPr="00840A7C" w:rsidRDefault="1B656372">
      <w:r w:rsidRPr="00840A7C">
        <w:lastRenderedPageBreak/>
        <w:t>Rien n’interdit à une commune, lorsqu’elle établit une taxe justifiée par l’état de ses finances de la faire porter par priorité sur des activités qu’elle estime plus critiquables que d’autres ou dont elle estime le développement peu souhaitable.</w:t>
      </w:r>
    </w:p>
    <w:p w14:paraId="78904241" w14:textId="353FF19E" w:rsidR="1B656372" w:rsidRPr="00840A7C" w:rsidRDefault="1B656372" w:rsidP="6FFC1684">
      <w:r w:rsidRPr="00840A7C">
        <w:t>De plus, l’appréciation des finances d’une collectivité relève d’un jugement d’opportunité du Conseil communal dont le contrôle ne peut être exercé que par l’autorité de tutelle.</w:t>
      </w:r>
    </w:p>
    <w:p w14:paraId="639D5567" w14:textId="65A23749" w:rsidR="003125C9" w:rsidRPr="005C4637" w:rsidRDefault="5FE27B14" w:rsidP="35BD9115">
      <w:pPr>
        <w:pStyle w:val="Titre3"/>
      </w:pPr>
      <w:r>
        <w:t xml:space="preserve"> </w:t>
      </w:r>
      <w:bookmarkStart w:id="765" w:name="_Toc225504265"/>
      <w:bookmarkStart w:id="766" w:name="_Toc225772354"/>
      <w:bookmarkStart w:id="767" w:name="_Toc233626223"/>
      <w:r>
        <w:t>Principe d’égalité et de non-discrimination</w:t>
      </w:r>
      <w:bookmarkEnd w:id="765"/>
      <w:bookmarkEnd w:id="766"/>
      <w:bookmarkEnd w:id="767"/>
    </w:p>
    <w:p w14:paraId="25E24695" w14:textId="77777777" w:rsidR="003125C9" w:rsidRPr="005C4637" w:rsidRDefault="003125C9">
      <w:pPr>
        <w:pStyle w:val="Titre4"/>
        <w:numPr>
          <w:ilvl w:val="0"/>
          <w:numId w:val="60"/>
        </w:numPr>
      </w:pPr>
      <w:r w:rsidRPr="005C4637">
        <w:t>Que recouvrent les principes d’égalité et de non-discrimination en matière fiscale communale ?</w:t>
      </w:r>
    </w:p>
    <w:p w14:paraId="74BA86C3" w14:textId="55A9E0DF" w:rsidR="003125C9" w:rsidRPr="005C4637" w:rsidRDefault="003125C9" w:rsidP="003125C9">
      <w:r>
        <w:t>Les articles 10, 11 et 172 de la Constitution imposent que toutes les personnes placées dans une même situation soient atteintes de la même manière par l’impôt. Inversement, traiter de manière identique des personnes se trouvant dans des situations essentiellement différentes, sans justification raisonnable, viole ces principes</w:t>
      </w:r>
      <w:r w:rsidRPr="5EFBFFCA">
        <w:rPr>
          <w:rStyle w:val="Appelnotedebasdep"/>
        </w:rPr>
        <w:footnoteReference w:id="11"/>
      </w:r>
      <w:r>
        <w:t>.</w:t>
      </w:r>
    </w:p>
    <w:p w14:paraId="32D0CF5E" w14:textId="62CCA0F7" w:rsidR="003125C9" w:rsidRPr="005C4637" w:rsidRDefault="003125C9">
      <w:pPr>
        <w:pStyle w:val="Titre4"/>
        <w:numPr>
          <w:ilvl w:val="0"/>
          <w:numId w:val="60"/>
        </w:numPr>
      </w:pPr>
      <w:r w:rsidRPr="005C4637">
        <w:t>Une différence de traitement entre contribuables est-elle possible ?</w:t>
      </w:r>
    </w:p>
    <w:p w14:paraId="0FB00B9D" w14:textId="2872147B" w:rsidR="003125C9" w:rsidRPr="005C4637" w:rsidRDefault="003125C9" w:rsidP="003125C9">
      <w:r w:rsidRPr="005C4637">
        <w:t xml:space="preserve">Oui, pour </w:t>
      </w:r>
      <w:r w:rsidR="00BD3456" w:rsidRPr="00F91BDD">
        <w:t>autant qu'elle repose sur un critère objectif et qu'elle soit raisonnablement justifiée. Les mêmes principes s'opposent, en outre, à ce que soient traitées de manière identique, sans qu'apparaisse une justification raisonnable, des catégories de personnes se trouvant dans des situations qui, au regard de la mesure concernée, sont essentiellement différentes</w:t>
      </w:r>
      <w:r w:rsidR="00BD3456" w:rsidRPr="00F91BDD">
        <w:rPr>
          <w:rStyle w:val="Appelnotedebasdep"/>
        </w:rPr>
        <w:footnoteReference w:id="12"/>
      </w:r>
      <w:r w:rsidR="00BD3456" w:rsidRPr="00F91BDD">
        <w:t>.</w:t>
      </w:r>
    </w:p>
    <w:p w14:paraId="6FBA3DEE" w14:textId="62CE2761" w:rsidR="003125C9" w:rsidRPr="005C4637" w:rsidRDefault="003125C9">
      <w:pPr>
        <w:pStyle w:val="Titre4"/>
        <w:numPr>
          <w:ilvl w:val="0"/>
          <w:numId w:val="60"/>
        </w:numPr>
      </w:pPr>
      <w:r w:rsidRPr="005C4637">
        <w:t>Quelle est la position des hautes juridictions ?</w:t>
      </w:r>
    </w:p>
    <w:p w14:paraId="56E6C0A1" w14:textId="38BEE994" w:rsidR="003125C9" w:rsidRPr="005C4637" w:rsidRDefault="00205979" w:rsidP="003125C9">
      <w:r w:rsidRPr="00F91BDD">
        <w:t>La Cour constitutionnelle, la Cour de cassation et le Conseil d’Etat partagent la même conception des principes d'égalité et de non-discrimination des citoyens devant l’impôt.Ainsi, selon la jurisprudence du Conseil d’Etat, l</w:t>
      </w:r>
      <w:r w:rsidRPr="00A3784C">
        <w:rPr>
          <w:spacing w:val="3"/>
        </w:rPr>
        <w:t>es règles constitutionnelles relatives à l'égalité devant l'impôt, garanties par les articles 10, 11 et 172 de la Constitution, n'excluent pas qu'un régime fiscal différent soit établi à l'égard de certaines catégories de biens ou de personnes, pourvu que le critère de différenciation soit susceptible de justification objective et raisonnable. L'existence d'une telle justification doit s'apprécier en tenant compte du but et des effets de la taxe visée, ainsi que de la nature des principes en cause, en respectant un rapport de proportionnalité entre les moyens utilisés et le but poursuivi. Par ailleurs, un même régime fiscal peut être appliqué à deux catégories de personnes différentes ou non comparables, pour autant qu'une justification objective et raisonnable le fonde</w:t>
      </w:r>
      <w:r w:rsidRPr="00F91BDD">
        <w:rPr>
          <w:rStyle w:val="Appelnotedebasdep"/>
          <w:spacing w:val="3"/>
        </w:rPr>
        <w:footnoteReference w:id="13"/>
      </w:r>
      <w:r w:rsidRPr="0026392D">
        <w:rPr>
          <w:spacing w:val="3"/>
        </w:rPr>
        <w:t>.</w:t>
      </w:r>
    </w:p>
    <w:p w14:paraId="6D78D35A" w14:textId="518FF70D" w:rsidR="003125C9" w:rsidRPr="005C4637" w:rsidRDefault="003125C9">
      <w:pPr>
        <w:pStyle w:val="Titre4"/>
        <w:numPr>
          <w:ilvl w:val="0"/>
          <w:numId w:val="60"/>
        </w:numPr>
      </w:pPr>
      <w:r w:rsidRPr="005C4637">
        <w:t>Quelles bonnes pratiques pour motiver un règlement-taxe ?</w:t>
      </w:r>
    </w:p>
    <w:p w14:paraId="4F510EFE" w14:textId="580C955D" w:rsidR="003125C9" w:rsidRPr="005C4637" w:rsidRDefault="003125C9" w:rsidP="003125C9">
      <w:r>
        <w:t>Le Conseil communal doit expliciter dans le préambule les motifs, objectifs et buts de la mesure fiscale. Ces éléments doivent, le cas échéant, ressortir du dossier administratif. Le Conseil d’État</w:t>
      </w:r>
      <w:r w:rsidRPr="5EFBFFCA">
        <w:rPr>
          <w:rStyle w:val="Appelnotedebasdep"/>
        </w:rPr>
        <w:footnoteReference w:id="14"/>
      </w:r>
      <w:r>
        <w:t xml:space="preserve"> considère que les explications données a posteriori dans les écrits de procédure ne peuvent pallier l’insuffisance du dossie</w:t>
      </w:r>
      <w:r w:rsidR="66B22BC3">
        <w:t>r</w:t>
      </w:r>
    </w:p>
    <w:p w14:paraId="73B9044E" w14:textId="556B68D9" w:rsidR="003125C9" w:rsidRPr="005C4637" w:rsidRDefault="003125C9">
      <w:pPr>
        <w:pStyle w:val="Titre4"/>
        <w:numPr>
          <w:ilvl w:val="0"/>
          <w:numId w:val="60"/>
        </w:numPr>
      </w:pPr>
      <w:r w:rsidRPr="005C4637">
        <w:lastRenderedPageBreak/>
        <w:t>Pourquoi un taux forfaitaire unique peut-il poser problème ? (exemple jurisprudentiel)</w:t>
      </w:r>
    </w:p>
    <w:p w14:paraId="4B73FE72" w14:textId="78E63AF4" w:rsidR="002D536C" w:rsidRPr="002D536C" w:rsidRDefault="002D536C" w:rsidP="0026392D">
      <w:pPr>
        <w:spacing w:before="120"/>
        <w:textAlignment w:val="baseline"/>
      </w:pPr>
      <w:r w:rsidRPr="0026392D">
        <w:rPr>
          <w:spacing w:val="3"/>
        </w:rPr>
        <w:t>Cette vision a encore été confirmée par la Cour de cassation</w:t>
      </w:r>
      <w:r w:rsidRPr="0026392D">
        <w:rPr>
          <w:rStyle w:val="Appelnotedebasdep"/>
          <w:spacing w:val="3"/>
        </w:rPr>
        <w:footnoteReference w:id="15"/>
      </w:r>
      <w:r w:rsidRPr="0026392D">
        <w:rPr>
          <w:spacing w:val="3"/>
        </w:rPr>
        <w:t xml:space="preserve"> relativement à une taxe sur les établissements occupant du personnel de bar.  </w:t>
      </w:r>
      <w:r w:rsidRPr="00A3784C">
        <w:rPr>
          <w:spacing w:val="3"/>
        </w:rPr>
        <w:t>Il ressort de cet arrêt qu’en raison de son taux forfaitaire unique, un règlement-taxe sur les bars qui frappe l'exercice d'une activité économique sans avoir égard au moindre indice qui rende compte de son ampleur (par exemple la superficie, l'importance du personnel ou le chiffre d'affaires) traite de manière identique des établissements qui, tout en exerçant la même activité, se trouvent dans des situations essentiellement différentes du point de vue de leurs capacités contributives. L'application de ce taux à l'ensemble des établissements taxés ne trouve aucune justification.</w:t>
      </w:r>
    </w:p>
    <w:p w14:paraId="33E44375" w14:textId="77777777" w:rsidR="002D536C" w:rsidRPr="00A3784C" w:rsidRDefault="002D536C" w:rsidP="00A3784C">
      <w:pPr>
        <w:spacing w:before="120"/>
        <w:textAlignment w:val="baseline"/>
        <w:rPr>
          <w:spacing w:val="3"/>
        </w:rPr>
      </w:pPr>
      <w:r w:rsidRPr="00A3784C">
        <w:rPr>
          <w:spacing w:val="3"/>
        </w:rPr>
        <w:t>Il convient donc de tenir compte de cette jurisprudence dans tous les cas où l’on avait l’habitude de taxer un établissement de manière forfaitaire. Cette jurisprudence était déjà présente dans les juridictions inférieures et c’est la raison pour laquelle le mode de taxation des magasins de nuit, phone-shops, bar à chichas et cannabis-shops avait déjà été modifié dans une circulaire précédente.</w:t>
      </w:r>
    </w:p>
    <w:p w14:paraId="27C628B0" w14:textId="77777777" w:rsidR="002D536C" w:rsidRPr="0026392D" w:rsidRDefault="002D536C" w:rsidP="00A3784C">
      <w:pPr>
        <w:spacing w:before="120"/>
        <w:textAlignment w:val="baseline"/>
        <w:rPr>
          <w:spacing w:val="3"/>
        </w:rPr>
      </w:pPr>
      <w:r w:rsidRPr="00A3784C">
        <w:rPr>
          <w:spacing w:val="3"/>
        </w:rPr>
        <w:t>A cet égard, le Conseil d’Etat</w:t>
      </w:r>
      <w:r w:rsidRPr="00F91BDD">
        <w:rPr>
          <w:rStyle w:val="Appelnotedebasdep"/>
          <w:spacing w:val="3"/>
        </w:rPr>
        <w:footnoteReference w:id="16"/>
      </w:r>
      <w:r w:rsidRPr="0026392D">
        <w:rPr>
          <w:spacing w:val="3"/>
        </w:rPr>
        <w:t xml:space="preserve"> considère que pour identifier et apprécier la pertinence du critère de différenciation et le but poursuivi par l'auteur d'un règlement-taxe communal, il y a lieu de se référer aux motifs de ce règlement, lesquels doivent apparaître dans son préambule ou résulter du dossier constitué au cours de son élaboration ou encore doivent pouvoir être déduits du dossier administratif produit par la commune. Le Conseil d’Etat ajoute que les explications données par la partie adverse dans ses écrits de procédure ne pe</w:t>
      </w:r>
      <w:r w:rsidR="00EE1AE0">
        <w:rPr>
          <w:spacing w:val="3"/>
        </w:rPr>
        <w:t>u</w:t>
      </w:r>
      <w:r w:rsidRPr="0026392D">
        <w:rPr>
          <w:spacing w:val="3"/>
        </w:rPr>
        <w:t>vent, en aucun cas, pallier la carence du dossier.</w:t>
      </w:r>
    </w:p>
    <w:p w14:paraId="0D3536AC" w14:textId="77777777" w:rsidR="003125C9" w:rsidRPr="005C4637" w:rsidRDefault="003125C9">
      <w:pPr>
        <w:pStyle w:val="Titre4"/>
        <w:numPr>
          <w:ilvl w:val="0"/>
          <w:numId w:val="60"/>
        </w:numPr>
      </w:pPr>
      <w:r w:rsidRPr="005C4637">
        <w:t>Conclusion pratique pour les communes</w:t>
      </w:r>
    </w:p>
    <w:p w14:paraId="4D7F2F43" w14:textId="77777777" w:rsidR="003125C9" w:rsidRPr="005C4637" w:rsidRDefault="003125C9" w:rsidP="003125C9">
      <w:r w:rsidRPr="005C4637">
        <w:t>Afin de se prémunir contre les recours, il convient de consigner systématiquement dans le préambule (et, si nécessaire, dans le dossier administratif) les objectifs poursuivis, les motifs et les règles particulières (exceptions, exonérations, différenciations).</w:t>
      </w:r>
    </w:p>
    <w:p w14:paraId="234501D2" w14:textId="40CFD08E" w:rsidR="003125C9" w:rsidRPr="005C4637" w:rsidRDefault="003125C9" w:rsidP="35BD9115">
      <w:pPr>
        <w:pStyle w:val="Titre3"/>
      </w:pPr>
      <w:bookmarkStart w:id="769" w:name="_Toc225504266"/>
      <w:bookmarkStart w:id="770" w:name="_Toc225772355"/>
      <w:bookmarkStart w:id="771" w:name="_Toc233626224"/>
      <w:r w:rsidRPr="005C4637">
        <w:t>Principe « non bis in idem »</w:t>
      </w:r>
      <w:bookmarkEnd w:id="769"/>
      <w:bookmarkEnd w:id="770"/>
      <w:bookmarkEnd w:id="771"/>
    </w:p>
    <w:p w14:paraId="29639F05" w14:textId="77777777" w:rsidR="003125C9" w:rsidRPr="005C4637" w:rsidRDefault="003125C9">
      <w:pPr>
        <w:pStyle w:val="Titre4"/>
        <w:numPr>
          <w:ilvl w:val="0"/>
          <w:numId w:val="103"/>
        </w:numPr>
      </w:pPr>
      <w:r w:rsidRPr="005C4637">
        <w:t>Que signifie le principe « non bis in idem » en matière d’impôt ?</w:t>
      </w:r>
    </w:p>
    <w:p w14:paraId="6DD85276" w14:textId="0AC0F68C" w:rsidR="003125C9" w:rsidRPr="005C4637" w:rsidRDefault="008202CF" w:rsidP="003125C9">
      <w:r w:rsidRPr="008202CF">
        <w:t>La Cour de cassation a considéré qu’il était de principe en droit fiscal qu'un contribuable ne peut être tenu d'acquitter deux fois le même impôt sur le même objet.</w:t>
      </w:r>
      <w:r w:rsidR="00EA097D">
        <w:t xml:space="preserve"> </w:t>
      </w:r>
      <w:r w:rsidR="00D84241">
        <w:t>T</w:t>
      </w:r>
      <w:r w:rsidR="003125C9" w:rsidRPr="005C4637">
        <w:t>outefois, différentes autorités peuvent lever des impôts à charge d’un même contribuable pour un même fait lorsque les causes ou la base juridique diffèrent.</w:t>
      </w:r>
    </w:p>
    <w:p w14:paraId="1EE07C4B" w14:textId="77777777" w:rsidR="003125C9" w:rsidRPr="005C4637" w:rsidRDefault="003125C9">
      <w:pPr>
        <w:pStyle w:val="Titre4"/>
        <w:numPr>
          <w:ilvl w:val="0"/>
          <w:numId w:val="106"/>
        </w:numPr>
      </w:pPr>
      <w:r w:rsidRPr="005C4637">
        <w:t>Une commune peut-elle taxer une matière déjà imposée par une autre autorité ?</w:t>
      </w:r>
    </w:p>
    <w:p w14:paraId="32921BE1" w14:textId="77777777" w:rsidR="0026392D" w:rsidRPr="00D82A08" w:rsidRDefault="003125C9" w:rsidP="008E1F0E">
      <w:r w:rsidRPr="005C4637">
        <w:t xml:space="preserve">Oui. </w:t>
      </w:r>
      <w:r w:rsidR="00056A48">
        <w:t>La Cour de cassation</w:t>
      </w:r>
      <w:r w:rsidR="00056A48" w:rsidRPr="00F91BDD">
        <w:rPr>
          <w:rStyle w:val="Appelnotedebasdep"/>
          <w:spacing w:val="2"/>
        </w:rPr>
        <w:footnoteReference w:id="17"/>
      </w:r>
      <w:r w:rsidR="00056A48" w:rsidRPr="00F91BDD">
        <w:t xml:space="preserve"> a également considéré que ce principe n’interdisait pas que diverses autorités établissent un impôt à charge d’un même contribuable pour un même fait. </w:t>
      </w:r>
      <w:r w:rsidR="0022012B" w:rsidRPr="00F91BDD">
        <w:lastRenderedPageBreak/>
        <w:t>Dans le même sens, le Conseil d’Etat</w:t>
      </w:r>
      <w:r w:rsidR="0022012B" w:rsidRPr="00F91BDD">
        <w:rPr>
          <w:rStyle w:val="Appelnotedebasdep"/>
          <w:spacing w:val="2"/>
        </w:rPr>
        <w:footnoteReference w:id="18"/>
      </w:r>
      <w:r w:rsidR="0022012B" w:rsidRPr="00F91BDD">
        <w:t xml:space="preserve"> a considéré que les Conseils communaux qui détiennent leur pouvoir de taxation de l'article 170, § 4, de la Constitution peuvent choisir, sous le contrôle de l'autorité de tutelle, la base des impôts levés par eux et que le seul fait que la même base imposée le soit déjà par d'autres niveaux de pouvoir ne peut limiter le pouvoir fiscal des communes.</w:t>
      </w:r>
    </w:p>
    <w:p w14:paraId="01BD6F0D" w14:textId="1D1B1219" w:rsidR="003125C9" w:rsidRPr="005C4637" w:rsidRDefault="003125C9">
      <w:pPr>
        <w:pStyle w:val="Titre4"/>
        <w:numPr>
          <w:ilvl w:val="0"/>
          <w:numId w:val="106"/>
        </w:numPr>
      </w:pPr>
      <w:r w:rsidRPr="005C4637">
        <w:t>Qu’est-ce qui est interdit pour la même autorité ?</w:t>
      </w:r>
    </w:p>
    <w:p w14:paraId="54C7B4CB" w14:textId="1B6E708C" w:rsidR="00613842" w:rsidRPr="008E1F0E" w:rsidRDefault="00A548B0" w:rsidP="00A3784C">
      <w:pPr>
        <w:spacing w:before="120" w:after="120" w:line="240" w:lineRule="auto"/>
        <w:textAlignment w:val="baseline"/>
        <w:rPr>
          <w:spacing w:val="2"/>
        </w:rPr>
      </w:pPr>
      <w:r w:rsidRPr="00A3784C">
        <w:rPr>
          <w:spacing w:val="2"/>
        </w:rPr>
        <w:t>Une</w:t>
      </w:r>
      <w:r w:rsidR="00613842" w:rsidRPr="00A3784C">
        <w:rPr>
          <w:spacing w:val="2"/>
        </w:rPr>
        <w:t xml:space="preserve"> </w:t>
      </w:r>
      <w:r w:rsidR="00613842" w:rsidRPr="0026392D">
        <w:rPr>
          <w:spacing w:val="2"/>
        </w:rPr>
        <w:t>même autorité</w:t>
      </w:r>
      <w:r w:rsidR="00613842" w:rsidRPr="008E1F0E">
        <w:rPr>
          <w:spacing w:val="2"/>
        </w:rPr>
        <w:t xml:space="preserve"> </w:t>
      </w:r>
      <w:r w:rsidRPr="008E1F0E">
        <w:rPr>
          <w:spacing w:val="2"/>
        </w:rPr>
        <w:t xml:space="preserve">ne peut pas </w:t>
      </w:r>
      <w:r w:rsidR="00613842" w:rsidRPr="008E1F0E">
        <w:rPr>
          <w:spacing w:val="2"/>
        </w:rPr>
        <w:t>impose</w:t>
      </w:r>
      <w:r w:rsidRPr="008E1F0E">
        <w:rPr>
          <w:spacing w:val="2"/>
        </w:rPr>
        <w:t>r</w:t>
      </w:r>
      <w:r w:rsidR="00613842" w:rsidRPr="008E1F0E">
        <w:rPr>
          <w:spacing w:val="2"/>
        </w:rPr>
        <w:t xml:space="preserve"> deux fois la même matière imposable dans le chef du même contribuable par une taxe identique ou similaire (même fait ou même situation).</w:t>
      </w:r>
    </w:p>
    <w:p w14:paraId="0C6FACBC" w14:textId="146A4903" w:rsidR="00613842" w:rsidRPr="00F91BDD" w:rsidRDefault="00A548B0" w:rsidP="00613842">
      <w:pPr>
        <w:spacing w:before="120"/>
        <w:textAlignment w:val="baseline"/>
        <w:rPr>
          <w:spacing w:val="2"/>
        </w:rPr>
      </w:pPr>
      <w:r>
        <w:rPr>
          <w:spacing w:val="2"/>
        </w:rPr>
        <w:t xml:space="preserve">En revanche, </w:t>
      </w:r>
      <w:r w:rsidRPr="00F91BDD">
        <w:rPr>
          <w:spacing w:val="2"/>
        </w:rPr>
        <w:t>une</w:t>
      </w:r>
      <w:r w:rsidR="00613842" w:rsidRPr="00F91BDD">
        <w:rPr>
          <w:spacing w:val="2"/>
        </w:rPr>
        <w:t xml:space="preserve"> « double taxation » d’un même redevable est juridiquement possible si les causes qui justifient l’impôt sont différentes</w:t>
      </w:r>
      <w:r w:rsidR="00613842" w:rsidRPr="00F91BDD">
        <w:rPr>
          <w:rStyle w:val="Appelnotedebasdep"/>
          <w:spacing w:val="2"/>
        </w:rPr>
        <w:footnoteReference w:id="19"/>
      </w:r>
      <w:r w:rsidR="00613842" w:rsidRPr="00F91BDD">
        <w:rPr>
          <w:spacing w:val="2"/>
        </w:rPr>
        <w:t>.</w:t>
      </w:r>
    </w:p>
    <w:p w14:paraId="252A31AB" w14:textId="77777777" w:rsidR="003125C9" w:rsidRPr="005C4637" w:rsidRDefault="003125C9">
      <w:pPr>
        <w:pStyle w:val="Titre4"/>
        <w:numPr>
          <w:ilvl w:val="0"/>
          <w:numId w:val="106"/>
        </w:numPr>
      </w:pPr>
      <w:r w:rsidRPr="005C4637">
        <w:t>Comment s’applique le « non bis in idem » en matière de sanctions fiscales ?</w:t>
      </w:r>
    </w:p>
    <w:p w14:paraId="74FA4D41" w14:textId="77777777" w:rsidR="00417354" w:rsidRDefault="00417354" w:rsidP="00417354">
      <w:r>
        <w:t xml:space="preserve">Le principe « non bis in idem » interdit de poursuivre ou de juger à nouveau une personne pour la « même infraction ». </w:t>
      </w:r>
    </w:p>
    <w:p w14:paraId="41729B64" w14:textId="77777777" w:rsidR="00417354" w:rsidRDefault="00417354" w:rsidP="00417354">
      <w:r>
        <w:t>L’article 4 du Protocole n°7 à la Convention européenne des droits de l’homme (qui concerne le droit à ne pas être jugé ou puni deux fois) doit être compris comme interdisant de poursuivre ou de juger une personne pour une seconde « infraction » pour autant que celle-ci avait pour origine des faits identiques ou des faits qui étaient « en substance » les mêmes que ceux de la première infraction. À cet égard, la Cour européenne des droits de l’homme a précisé que le point de départ pour l’examen de la question de savoir si les faits des deux procédures étaient identiques ou étaient en substance les mêmes devait être la comparaison de l’exposé des faits concernant l’infraction pour laquelle le requérant avait déjà été jugé avec celui se rapportant à la seconde infraction dont il était accusé.</w:t>
      </w:r>
    </w:p>
    <w:p w14:paraId="64C03101" w14:textId="65CDB5AA" w:rsidR="00417354" w:rsidRDefault="00417354" w:rsidP="00417354">
      <w:r>
        <w:t xml:space="preserve">La Cour Constitutionnelle constate que les amendes administratives prévues par l’article 445 du code des impôts sur les revenus présentent un caractère répressif et sont pénales au sens de l’article 6 de la Convention européenne des droits de l’homme et de l’article 14 du Pacte international relatif aux droits civils et politiques. </w:t>
      </w:r>
    </w:p>
    <w:p w14:paraId="3C24DFDC" w14:textId="77777777" w:rsidR="00417354" w:rsidRDefault="00417354" w:rsidP="00417354">
      <w:r>
        <w:t xml:space="preserve">Par conséquent, le principe « non bis in idem » pourrait s’appliquer dans l’hypothèse où un redevable déjà sanctionné pour une infraction visée à l’article 445 du code des impôts sur les revenus serait poursuivi pour fraude fiscale (risquant ainsi de se voir infliger l’une des peines prévues à l’article 449 du code des impôts sur les revenus), s’il s’avérait que les faits donnant lieu aux deux infractions sont identiques ou en substances les mêmes. </w:t>
      </w:r>
    </w:p>
    <w:p w14:paraId="5EC04563" w14:textId="0415BB56" w:rsidR="003125C9" w:rsidRPr="005C4637" w:rsidRDefault="00417354" w:rsidP="00417354">
      <w:r>
        <w:t xml:space="preserve">Enfin, la Cour de Constitutionnelle mentionne que l’amende fiscale prévue à l’article 445 du code des impôts sur les revenus et l’accroissement d’impôt prévu à l’article 444 du code des impôts sur les revenus ont un caractère répressif prédominant et constituent dès lors des sanctions de nature pénale au sens de l’article 4 du Septième Protocole additionnel à la Convention européenne des droits de l’homme et de l’article 50 de la Charte des droits </w:t>
      </w:r>
      <w:r>
        <w:lastRenderedPageBreak/>
        <w:t>fondamentaux de l’Union européenne. Dès lors, il y a lieu d’appliquer l’une ou l’autre sanction en fonction de la gravité des faits imputés au contribuable, dans le respect du principe de proportionnalité applicable en matière pénale.</w:t>
      </w:r>
    </w:p>
    <w:p w14:paraId="1132BFC2" w14:textId="6CF52085" w:rsidR="003125C9" w:rsidRPr="005C4637" w:rsidRDefault="003125C9" w:rsidP="35BD9115">
      <w:pPr>
        <w:pStyle w:val="Titre3"/>
      </w:pPr>
      <w:bookmarkStart w:id="772" w:name="_Toc225504267"/>
      <w:bookmarkStart w:id="773" w:name="_Toc225772356"/>
      <w:bookmarkStart w:id="774" w:name="_Toc233626225"/>
      <w:r w:rsidRPr="005C4637">
        <w:t>Adéquation avec les codes fonctionnels et économiques</w:t>
      </w:r>
      <w:bookmarkEnd w:id="772"/>
      <w:bookmarkEnd w:id="773"/>
      <w:bookmarkEnd w:id="774"/>
    </w:p>
    <w:p w14:paraId="62F33251" w14:textId="77777777" w:rsidR="003125C9" w:rsidRPr="005C4637" w:rsidRDefault="003125C9" w:rsidP="00BD5C15">
      <w:pPr>
        <w:pStyle w:val="Titre4"/>
        <w:ind w:left="360"/>
      </w:pPr>
      <w:r w:rsidRPr="005C4637">
        <w:t>Comment budgéter correctement taxes et redevances ?</w:t>
      </w:r>
    </w:p>
    <w:p w14:paraId="26DE3A26" w14:textId="77777777" w:rsidR="003125C9" w:rsidRPr="005C4637" w:rsidRDefault="003125C9" w:rsidP="003125C9">
      <w:r w:rsidRPr="005C4637">
        <w:t>Les taxes et redevances doivent être imputées au budget communal sous les numéros de code adéquats, conformément à la nomenclature des taxes et redevances et, à défaut, aux classifications fonctionnelles et économiques normalisées.</w:t>
      </w:r>
    </w:p>
    <w:p w14:paraId="36698CC9" w14:textId="1630D0CB" w:rsidR="003125C9" w:rsidRPr="005C4637" w:rsidRDefault="003125C9" w:rsidP="35BD9115">
      <w:pPr>
        <w:pStyle w:val="Titre3"/>
      </w:pPr>
      <w:bookmarkStart w:id="775" w:name="_Toc225504268"/>
      <w:bookmarkStart w:id="776" w:name="_Toc225772357"/>
      <w:bookmarkStart w:id="777" w:name="_Toc233626226"/>
      <w:r w:rsidRPr="005C4637">
        <w:t>Sanctions en matière de règlements-taxes</w:t>
      </w:r>
      <w:bookmarkEnd w:id="775"/>
      <w:bookmarkEnd w:id="776"/>
      <w:bookmarkEnd w:id="777"/>
    </w:p>
    <w:p w14:paraId="0A4AD1B7" w14:textId="77777777" w:rsidR="003125C9" w:rsidRPr="005C4637" w:rsidRDefault="003125C9">
      <w:pPr>
        <w:pStyle w:val="Titre4"/>
        <w:numPr>
          <w:ilvl w:val="0"/>
          <w:numId w:val="62"/>
        </w:numPr>
      </w:pPr>
      <w:r w:rsidRPr="005C4637">
        <w:t>Quel cadre légal s’applique aux impositions locales ?</w:t>
      </w:r>
    </w:p>
    <w:p w14:paraId="735C1306" w14:textId="77777777" w:rsidR="003125C9" w:rsidRPr="005C4637" w:rsidRDefault="003125C9" w:rsidP="003125C9">
      <w:r w:rsidRPr="005C4637">
        <w:t>L’article L3321-12 du CDLD rend applicable le titre VII, chapitre 10 du Code des impôts sur les revenus (CIR) aux impositions locales, pour autant qu’elles ne concernent pas spécialement les impôts sur les revenus.</w:t>
      </w:r>
    </w:p>
    <w:p w14:paraId="2E52BA34" w14:textId="2C0A86AF" w:rsidR="003125C9" w:rsidRPr="005C4637" w:rsidRDefault="003125C9">
      <w:pPr>
        <w:pStyle w:val="Titre4"/>
        <w:numPr>
          <w:ilvl w:val="0"/>
          <w:numId w:val="62"/>
        </w:numPr>
      </w:pPr>
      <w:r w:rsidRPr="005C4637">
        <w:t>Quelles sont les sanctions pénales applicables ?</w:t>
      </w:r>
    </w:p>
    <w:p w14:paraId="36BE1B75" w14:textId="78FD97E8" w:rsidR="003125C9" w:rsidRPr="005C4637" w:rsidRDefault="003125C9" w:rsidP="003125C9">
      <w:r w:rsidRPr="005C4637">
        <w:t>Les sanctions pénales des articles 449 et suivants du CIR s’appliquent. Le Conseil communal ne peut pas fixer ses propres sanctions pénales. Un règlement peut prévoir, par renvoi, que toute infraction intentionnelle (intention frauduleuse ou dessein de nuire) est punie conformément à l’article 449 du CI</w:t>
      </w:r>
      <w:r w:rsidR="002201FC">
        <w:t>R.</w:t>
      </w:r>
    </w:p>
    <w:p w14:paraId="363024AE" w14:textId="17A6D36F" w:rsidR="003125C9" w:rsidRPr="005C4637" w:rsidRDefault="003125C9">
      <w:pPr>
        <w:pStyle w:val="Titre4"/>
        <w:numPr>
          <w:ilvl w:val="0"/>
          <w:numId w:val="62"/>
        </w:numPr>
      </w:pPr>
      <w:r w:rsidRPr="005C4637">
        <w:t>Que signifient “intention frauduleuse” et “dessein de nuire” ?</w:t>
      </w:r>
    </w:p>
    <w:p w14:paraId="6D329940" w14:textId="77777777" w:rsidR="0025486F" w:rsidRDefault="003125C9" w:rsidP="003125C9">
      <w:r w:rsidRPr="005C4637">
        <w:t xml:space="preserve">L’intention frauduleuse vise la recherche d’un profit ou d’un avantage illicite par des agissements frauduleux. </w:t>
      </w:r>
    </w:p>
    <w:p w14:paraId="6FFC047E" w14:textId="4B525F41" w:rsidR="003125C9" w:rsidRPr="005C4637" w:rsidRDefault="003125C9" w:rsidP="003125C9">
      <w:r w:rsidRPr="005C4637">
        <w:t>Le dessein de nuire consiste à porter atteinte aux droits et intérêts légitimes d’autrui (personnes privées ou publiques)</w:t>
      </w:r>
      <w:r w:rsidR="00F74AF8" w:rsidRPr="00F74AF8">
        <w:t xml:space="preserve"> </w:t>
      </w:r>
      <w:r w:rsidR="00F74AF8" w:rsidRPr="00F91BDD">
        <w:rPr>
          <w:rStyle w:val="Appelnotedebasdep"/>
        </w:rPr>
        <w:footnoteReference w:id="20"/>
      </w:r>
      <w:r w:rsidR="00F74AF8" w:rsidRPr="00F91BDD">
        <w:t>.</w:t>
      </w:r>
    </w:p>
    <w:p w14:paraId="32455B72" w14:textId="48FD9D9B" w:rsidR="003125C9" w:rsidRPr="005C4637" w:rsidRDefault="003125C9">
      <w:pPr>
        <w:pStyle w:val="Titre4"/>
        <w:numPr>
          <w:ilvl w:val="0"/>
          <w:numId w:val="62"/>
        </w:numPr>
      </w:pPr>
      <w:r w:rsidRPr="005C4637">
        <w:t>Quelles sont les exigences pour les amendes administratives</w:t>
      </w:r>
      <w:r w:rsidR="00B679C8" w:rsidRPr="00F91BDD">
        <w:rPr>
          <w:rStyle w:val="Appelnotedebasdep"/>
        </w:rPr>
        <w:footnoteReference w:id="21"/>
      </w:r>
      <w:r w:rsidRPr="005C4637">
        <w:t xml:space="preserve"> ?</w:t>
      </w:r>
    </w:p>
    <w:p w14:paraId="29D2000E" w14:textId="1982658A" w:rsidR="003125C9" w:rsidRPr="005C4637" w:rsidRDefault="003125C9" w:rsidP="003125C9">
      <w:r w:rsidRPr="005C4637">
        <w:t>L’avis réclamant une amende administrative doit mentionner : (1) les faits constitutifs de l’infraction, (2) la référence aux textes applicables, (3) les motifs du montant fixé</w:t>
      </w:r>
      <w:r w:rsidR="005D0C8B">
        <w:rPr>
          <w:rStyle w:val="Appelnotedebasdep"/>
        </w:rPr>
        <w:footnoteReference w:id="22"/>
      </w:r>
      <w:r w:rsidRPr="005C4637">
        <w:t>. À défaut de motivation, l’amende est nulle</w:t>
      </w:r>
      <w:r w:rsidR="00D20884" w:rsidRPr="00F91BDD">
        <w:rPr>
          <w:rStyle w:val="Appelnotedebasdep"/>
        </w:rPr>
        <w:footnoteReference w:id="23"/>
      </w:r>
      <w:r w:rsidRPr="005C4637">
        <w:t>.</w:t>
      </w:r>
    </w:p>
    <w:p w14:paraId="7858D22E" w14:textId="77777777" w:rsidR="003125C9" w:rsidRPr="005C4637" w:rsidRDefault="003125C9">
      <w:pPr>
        <w:pStyle w:val="Titre4"/>
        <w:numPr>
          <w:ilvl w:val="0"/>
          <w:numId w:val="62"/>
        </w:numPr>
      </w:pPr>
      <w:r w:rsidRPr="005C4637">
        <w:t>Dans quels cas appliquer des accroissements d’impôts ?</w:t>
      </w:r>
    </w:p>
    <w:p w14:paraId="0284184A" w14:textId="77777777" w:rsidR="003125C9" w:rsidRPr="005C4637" w:rsidRDefault="003125C9" w:rsidP="003125C9">
      <w:r w:rsidRPr="005C4637">
        <w:t>L’article L3321-6 du CDLD autorise des accroissements en cas d’imposition d’office, dans la limite du double du montant dû, si et seulement si :</w:t>
      </w:r>
      <w:r w:rsidRPr="005C4637">
        <w:br/>
        <w:t>• le règlement prévoit une obligation de déclaration ;</w:t>
      </w:r>
      <w:r w:rsidRPr="005C4637">
        <w:br/>
        <w:t>• la non-déclaration (ou déclaration incorrecte, incomplète, imprécise) entraîne l’enrôlement d’office ;</w:t>
      </w:r>
      <w:r w:rsidRPr="005C4637">
        <w:br/>
      </w:r>
      <w:r w:rsidRPr="005C4637">
        <w:lastRenderedPageBreak/>
        <w:t>• le règlement prévoit explicitement des accroissements dans ces seuls cas ;</w:t>
      </w:r>
      <w:r w:rsidRPr="005C4637">
        <w:br/>
        <w:t>• l’administration recourt effectivement à la taxation d’office.</w:t>
      </w:r>
    </w:p>
    <w:p w14:paraId="20A47FD0" w14:textId="77777777" w:rsidR="003125C9" w:rsidRPr="005C4637" w:rsidRDefault="003125C9" w:rsidP="00B90EAE">
      <w:pPr>
        <w:pStyle w:val="Titre4"/>
      </w:pPr>
      <w:r w:rsidRPr="005C4637">
        <w:t>L’article 444 du CIR s’applique-t-il automatiquement aux taxes locales ?</w:t>
      </w:r>
    </w:p>
    <w:p w14:paraId="61C8197E" w14:textId="1F289A9E" w:rsidR="003125C9" w:rsidRPr="005C4637" w:rsidRDefault="003125C9" w:rsidP="003125C9">
      <w:r w:rsidRPr="005C4637">
        <w:t>Non</w:t>
      </w:r>
      <w:r w:rsidR="00A9256A" w:rsidRPr="00F91BDD">
        <w:rPr>
          <w:rStyle w:val="Appelnotedebasdep"/>
        </w:rPr>
        <w:footnoteReference w:id="24"/>
      </w:r>
      <w:r w:rsidRPr="005C4637">
        <w:t xml:space="preserve">. À défaut de disposition expresse dans le règlement-taxe, l’article 444 CIR (majorations de 10 % à 200 %) – qui concerne spécialement les impôts sur les revenus – n’est pas applicable aux taxes provinciales et communales. Toutefois, </w:t>
      </w:r>
      <w:r w:rsidR="001C2026">
        <w:t>l</w:t>
      </w:r>
      <w:r w:rsidR="001C2026" w:rsidRPr="001C2026">
        <w:t>a Cour constitutionnelle</w:t>
      </w:r>
      <w:r w:rsidR="00AB4BFE" w:rsidRPr="00F91BDD">
        <w:rPr>
          <w:rStyle w:val="Appelnotedebasdep"/>
        </w:rPr>
        <w:footnoteReference w:id="25"/>
      </w:r>
      <w:r w:rsidR="001C2026" w:rsidRPr="001C2026">
        <w:t xml:space="preserve"> et la Cour de cassation</w:t>
      </w:r>
      <w:r w:rsidR="00DA5E8F" w:rsidRPr="00F91BDD">
        <w:rPr>
          <w:rStyle w:val="Appelnotedebasdep"/>
        </w:rPr>
        <w:footnoteReference w:id="26"/>
      </w:r>
      <w:r w:rsidR="001C2026" w:rsidRPr="001C2026">
        <w:t xml:space="preserve"> ont quelque peu modulé le pouvoir de l’autorité de fixer un accroissement d’impôt pouvant aller jusqu’à 200%. En effet, elles ont établi un principe de proportionnalité dans l’application des majorations d’impôts et considèrent que l’autorité taxatrice doit avoir égard à la nature et à la gravité de l’infraction commise quand elle fixe la majoration.</w:t>
      </w:r>
    </w:p>
    <w:p w14:paraId="5486D9D4" w14:textId="77777777" w:rsidR="003125C9" w:rsidRPr="005C4637" w:rsidRDefault="003125C9">
      <w:pPr>
        <w:pStyle w:val="Titre4"/>
        <w:numPr>
          <w:ilvl w:val="0"/>
          <w:numId w:val="62"/>
        </w:numPr>
      </w:pPr>
      <w:r w:rsidRPr="005C4637">
        <w:t>Quelle méthode recommander pour les majorations ?</w:t>
      </w:r>
    </w:p>
    <w:p w14:paraId="636E9C25" w14:textId="03770241" w:rsidR="00DC3BE0" w:rsidRPr="00F91BDD" w:rsidRDefault="003125C9" w:rsidP="00DC3BE0">
      <w:pPr>
        <w:spacing w:before="120"/>
        <w:textAlignment w:val="baseline"/>
      </w:pPr>
      <w:r w:rsidRPr="005C4637">
        <w:t>Plutôt qu’une majoration automatique du double, il est recommandé de prévoir une échelle propre et proportionnée</w:t>
      </w:r>
      <w:r w:rsidR="00DC3BE0">
        <w:t>.</w:t>
      </w:r>
      <w:r w:rsidR="00DC3BE0" w:rsidRPr="00DC3BE0">
        <w:t xml:space="preserve"> </w:t>
      </w:r>
      <w:r w:rsidR="00DC3BE0" w:rsidRPr="00F91BDD">
        <w:t>A titre exemplatif, le règlement taxe peut prévoir :</w:t>
      </w:r>
    </w:p>
    <w:p w14:paraId="256930E7" w14:textId="77777777" w:rsidR="00DC3BE0" w:rsidRPr="00F91BDD" w:rsidRDefault="00DC3BE0" w:rsidP="00DC3BE0">
      <w:pPr>
        <w:spacing w:before="120"/>
        <w:ind w:left="284"/>
        <w:textAlignment w:val="baseline"/>
        <w:rPr>
          <w:i/>
          <w:iCs/>
        </w:rPr>
      </w:pPr>
      <w:r w:rsidRPr="00F91BDD">
        <w:t>« </w:t>
      </w:r>
      <w:r w:rsidRPr="00F91BDD">
        <w:rPr>
          <w:i/>
          <w:iCs/>
        </w:rPr>
        <w:t>Le montant de cette majoration sera le suivant :</w:t>
      </w:r>
    </w:p>
    <w:p w14:paraId="4F85D240" w14:textId="77777777" w:rsidR="00DC3BE0" w:rsidRPr="00F91BDD" w:rsidRDefault="00DC3BE0">
      <w:pPr>
        <w:pStyle w:val="Paragraphedeliste"/>
        <w:numPr>
          <w:ilvl w:val="0"/>
          <w:numId w:val="61"/>
        </w:numPr>
        <w:spacing w:before="120" w:after="120" w:line="240" w:lineRule="auto"/>
        <w:ind w:left="568"/>
        <w:contextualSpacing w:val="0"/>
        <w:textAlignment w:val="baseline"/>
        <w:rPr>
          <w:i/>
          <w:iCs/>
        </w:rPr>
      </w:pPr>
      <w:r w:rsidRPr="00F91BDD">
        <w:rPr>
          <w:i/>
          <w:iCs/>
        </w:rPr>
        <w:t xml:space="preserve">10 % du montant de la taxe, </w:t>
      </w:r>
      <w:bookmarkStart w:id="778" w:name="_Hlk112852058"/>
      <w:bookmarkStart w:id="779" w:name="_Hlk112852030"/>
      <w:r w:rsidRPr="00F91BDD">
        <w:rPr>
          <w:i/>
          <w:iCs/>
        </w:rPr>
        <w:t xml:space="preserve">pour le premier enrôlement d'office </w:t>
      </w:r>
      <w:bookmarkEnd w:id="778"/>
      <w:r w:rsidRPr="00F91BDD">
        <w:rPr>
          <w:i/>
          <w:iCs/>
        </w:rPr>
        <w:t>;</w:t>
      </w:r>
      <w:bookmarkEnd w:id="779"/>
    </w:p>
    <w:p w14:paraId="5BDFD443" w14:textId="77777777" w:rsidR="00DC3BE0" w:rsidRPr="00F91BDD" w:rsidRDefault="00DC3BE0">
      <w:pPr>
        <w:pStyle w:val="Paragraphedeliste"/>
        <w:numPr>
          <w:ilvl w:val="0"/>
          <w:numId w:val="61"/>
        </w:numPr>
        <w:spacing w:before="120" w:after="120" w:line="240" w:lineRule="auto"/>
        <w:ind w:left="568"/>
        <w:contextualSpacing w:val="0"/>
        <w:textAlignment w:val="baseline"/>
        <w:rPr>
          <w:i/>
          <w:iCs/>
        </w:rPr>
      </w:pPr>
      <w:r w:rsidRPr="00F91BDD">
        <w:rPr>
          <w:i/>
          <w:iCs/>
        </w:rPr>
        <w:t>50 % du montant de la taxe, pour le deuxième enrôlement d'office ;</w:t>
      </w:r>
    </w:p>
    <w:p w14:paraId="34DF0793" w14:textId="77777777" w:rsidR="00DC3BE0" w:rsidRPr="00F91BDD" w:rsidRDefault="00DC3BE0">
      <w:pPr>
        <w:pStyle w:val="Paragraphedeliste"/>
        <w:numPr>
          <w:ilvl w:val="0"/>
          <w:numId w:val="61"/>
        </w:numPr>
        <w:spacing w:before="120" w:after="120" w:line="240" w:lineRule="auto"/>
        <w:ind w:left="568"/>
        <w:contextualSpacing w:val="0"/>
        <w:textAlignment w:val="baseline"/>
        <w:rPr>
          <w:i/>
          <w:iCs/>
        </w:rPr>
      </w:pPr>
      <w:r w:rsidRPr="00F91BDD">
        <w:rPr>
          <w:i/>
          <w:iCs/>
        </w:rPr>
        <w:t>100 % du montant de la taxe, pour le troisième enrôlement d'office ;</w:t>
      </w:r>
    </w:p>
    <w:p w14:paraId="6B326831" w14:textId="77777777" w:rsidR="00DC3BE0" w:rsidRPr="00F91BDD" w:rsidRDefault="00DC3BE0">
      <w:pPr>
        <w:pStyle w:val="Paragraphedeliste"/>
        <w:numPr>
          <w:ilvl w:val="0"/>
          <w:numId w:val="61"/>
        </w:numPr>
        <w:spacing w:before="120" w:after="120" w:line="240" w:lineRule="auto"/>
        <w:ind w:left="568"/>
        <w:contextualSpacing w:val="0"/>
        <w:textAlignment w:val="baseline"/>
        <w:rPr>
          <w:i/>
          <w:iCs/>
        </w:rPr>
      </w:pPr>
      <w:r w:rsidRPr="00F91BDD">
        <w:rPr>
          <w:i/>
          <w:iCs/>
        </w:rPr>
        <w:t>200 % du montant de la taxe, à partir du quatrième enrôlement d'office.</w:t>
      </w:r>
    </w:p>
    <w:p w14:paraId="07D41F2F" w14:textId="77777777" w:rsidR="00DC3BE0" w:rsidRPr="00F91BDD" w:rsidRDefault="00DC3BE0" w:rsidP="00DC3BE0">
      <w:pPr>
        <w:spacing w:before="120"/>
        <w:ind w:left="284"/>
        <w:textAlignment w:val="baseline"/>
        <w:rPr>
          <w:i/>
          <w:iCs/>
        </w:rPr>
      </w:pPr>
      <w:r w:rsidRPr="00F91BDD">
        <w:rPr>
          <w:i/>
          <w:iCs/>
        </w:rPr>
        <w:t>L'accroissement de 50%, 100% ou 200 % de majoration est appliqué dans le cas où le contribuable doit successivement être enrôlé d'office. Par contre, lorsque la taxe est enrôlée normalement durant au moins trois ans, ledit calcul de l'accroissement s'annule ».</w:t>
      </w:r>
    </w:p>
    <w:p w14:paraId="6FBCF975" w14:textId="4E0A9076" w:rsidR="00DC3BE0" w:rsidRDefault="00DC3BE0" w:rsidP="00DC3BE0">
      <w:pPr>
        <w:suppressAutoHyphens/>
        <w:spacing w:before="120"/>
        <w:textAlignment w:val="baseline"/>
        <w:rPr>
          <w:kern w:val="1"/>
          <w:lang w:eastAsia="ar-SA"/>
        </w:rPr>
      </w:pPr>
      <w:bookmarkStart w:id="780" w:name="_Hlk135219755"/>
      <w:r w:rsidRPr="00F91BDD">
        <w:rPr>
          <w:kern w:val="1"/>
          <w:lang w:eastAsia="ar-SA"/>
        </w:rPr>
        <w:t>Néanmoins, l’accroissement d’impôt n’est nullement obligatoire, il n’est qu’une possibilité à laquelle l’administration peut renoncer, en tout ou en partie</w:t>
      </w:r>
      <w:r w:rsidRPr="00F91BDD">
        <w:rPr>
          <w:kern w:val="1"/>
          <w:vertAlign w:val="superscript"/>
          <w:lang w:eastAsia="ar-SA"/>
        </w:rPr>
        <w:footnoteReference w:id="27"/>
      </w:r>
      <w:r w:rsidRPr="00F91BDD">
        <w:rPr>
          <w:kern w:val="1"/>
          <w:lang w:eastAsia="ar-SA"/>
        </w:rPr>
        <w:t xml:space="preserve">. </w:t>
      </w:r>
      <w:bookmarkEnd w:id="780"/>
    </w:p>
    <w:p w14:paraId="545F78CD" w14:textId="3FBADDDD" w:rsidR="003125C9" w:rsidRPr="005C4637" w:rsidRDefault="003125C9" w:rsidP="003125C9"/>
    <w:p w14:paraId="6DAA21B1" w14:textId="77777777" w:rsidR="003125C9" w:rsidRPr="005C4637" w:rsidRDefault="003125C9">
      <w:pPr>
        <w:pStyle w:val="Titre4"/>
        <w:numPr>
          <w:ilvl w:val="0"/>
          <w:numId w:val="62"/>
        </w:numPr>
      </w:pPr>
      <w:r w:rsidRPr="005C4637">
        <w:t>Qu’en est-il de la première infraction commise de bonne foi ?</w:t>
      </w:r>
    </w:p>
    <w:p w14:paraId="32DB7F9C" w14:textId="77777777" w:rsidR="003125C9" w:rsidRPr="005C4637" w:rsidRDefault="003125C9" w:rsidP="003125C9">
      <w:r w:rsidRPr="003A3D37">
        <w:t>Depuis la loi-programme du 19 juillet 2025, l’accroissement d’impôt ne peut plus être prévu pour une première infraction commise de bonne foi, sauf en cas de fraude. La bonne foi du contribuable est présumée jusqu’à preuve du contraire (sauf application de l’article 351 CIR). Cette règle s’applique aux impositions enrôlées à partir du 29 juillet 2025.</w:t>
      </w:r>
    </w:p>
    <w:p w14:paraId="29BB4456" w14:textId="77777777" w:rsidR="003125C9" w:rsidRPr="005C4637" w:rsidRDefault="003125C9">
      <w:pPr>
        <w:pStyle w:val="Titre4"/>
        <w:numPr>
          <w:ilvl w:val="0"/>
          <w:numId w:val="62"/>
        </w:numPr>
      </w:pPr>
      <w:r w:rsidRPr="005C4637">
        <w:t>Quelles mentions l’avis d’imposition d’office doit-il contenir ?</w:t>
      </w:r>
    </w:p>
    <w:p w14:paraId="103967B8" w14:textId="77777777" w:rsidR="003125C9" w:rsidRPr="005C4637" w:rsidRDefault="003125C9" w:rsidP="003125C9">
      <w:r w:rsidRPr="005C4637">
        <w:t xml:space="preserve">L’autorité habilitée (art. L3321-4 CDLD), lorsqu’elle notifie un avis d’imposition d’office (par recommandé), doit indiquer : (1) les faits constitutifs de l’infraction et les références </w:t>
      </w:r>
      <w:r w:rsidRPr="005C4637">
        <w:lastRenderedPageBreak/>
        <w:t>réglementaires ; (2) les motifs de l’échelle d’accroissements (gravité, rang de l’infraction) ; (3) les éléments de base de la taxation ; (4) la méthode de détermination et le montant de la taxe.</w:t>
      </w:r>
    </w:p>
    <w:p w14:paraId="054CB478" w14:textId="02A67F4F" w:rsidR="003125C9" w:rsidRPr="005C4637" w:rsidRDefault="003125C9" w:rsidP="35BD9115">
      <w:pPr>
        <w:pStyle w:val="Titre3"/>
      </w:pPr>
      <w:bookmarkStart w:id="781" w:name="_Toc225504269"/>
      <w:bookmarkStart w:id="782" w:name="_Toc225772358"/>
      <w:bookmarkStart w:id="783" w:name="_Toc233626227"/>
      <w:r w:rsidRPr="005C4637">
        <w:t>Lisibilité des règlements</w:t>
      </w:r>
      <w:bookmarkEnd w:id="781"/>
      <w:bookmarkEnd w:id="782"/>
      <w:bookmarkEnd w:id="783"/>
    </w:p>
    <w:p w14:paraId="6AB42307" w14:textId="77777777" w:rsidR="003125C9" w:rsidRPr="005C4637" w:rsidRDefault="003125C9" w:rsidP="00BD5C15">
      <w:pPr>
        <w:pStyle w:val="Titre4"/>
        <w:ind w:left="360"/>
      </w:pPr>
      <w:r w:rsidRPr="005C4637">
        <w:t>Comment garantir la clarté des règlements fiscaux ?</w:t>
      </w:r>
    </w:p>
    <w:p w14:paraId="1BB0AFAB" w14:textId="77777777" w:rsidR="003125C9" w:rsidRPr="005C4637" w:rsidRDefault="003125C9" w:rsidP="003125C9">
      <w:r w:rsidRPr="005C4637">
        <w:t>En cas de modification, il est recommandé de revoter l’entièreté du règlement pour assurer la lisibilité. Pour une vision d’ensemble en début de mandature, il est suggéré de revoter l’ensemble des règlements fiscaux communaux en limitant leur validité au 31 décembre de l’année qui suit les élections. La compétence ratione temporis (période de validité) doit être fixée expressément pour éviter les contentieux.</w:t>
      </w:r>
    </w:p>
    <w:p w14:paraId="644FEAB7" w14:textId="170AEE50" w:rsidR="003125C9" w:rsidRPr="005C4637" w:rsidRDefault="003125C9" w:rsidP="35BD9115">
      <w:pPr>
        <w:pStyle w:val="Titre3"/>
      </w:pPr>
      <w:bookmarkStart w:id="784" w:name="_Toc225504270"/>
      <w:bookmarkStart w:id="785" w:name="_Toc225772359"/>
      <w:bookmarkStart w:id="786" w:name="_Toc233626228"/>
      <w:r w:rsidRPr="005C4637">
        <w:t>Formalités de publication</w:t>
      </w:r>
      <w:bookmarkEnd w:id="784"/>
      <w:bookmarkEnd w:id="785"/>
      <w:bookmarkEnd w:id="786"/>
    </w:p>
    <w:p w14:paraId="68EC6624" w14:textId="77777777" w:rsidR="003125C9" w:rsidRPr="005C4637" w:rsidRDefault="003125C9">
      <w:pPr>
        <w:pStyle w:val="Titre4"/>
        <w:numPr>
          <w:ilvl w:val="0"/>
          <w:numId w:val="63"/>
        </w:numPr>
      </w:pPr>
      <w:r w:rsidRPr="005C4637">
        <w:t>Quelle est la procédure de publication depuis le 1er juillet 2025 ?</w:t>
      </w:r>
    </w:p>
    <w:p w14:paraId="50174FFD" w14:textId="7B04E10E" w:rsidR="003125C9" w:rsidRPr="005C4637" w:rsidRDefault="00B16624" w:rsidP="003125C9">
      <w:r w:rsidRPr="00B16624">
        <w:t>Les décrets du 28 mars 2024 modifiant le Code de la démocratie locale et de la décentralisation, en vue de simplifier le fonctionnement et l’organisation des organes communaux et provinciaux (M.B., 18 juin 2024.), du 5 septembre 2024 remplaçant les articles L1133-1 et L1133-2 du Code de la démocratie locale et de la décentralisation (M.B., 12 septembre 2024.) et du 28 mai 2025 modifiant l’article 3 du décret du 5 septembre 2024 remplaçant les articles L1133-1 et L1133-2 du Code de la démocratie locale et de la décentralisation en vue de garantir la sécurité juridique de la publication des règlements et ordonnances des autorités communales ont modifié la procédure de publication prévue aux articles L1133-1 et 2 du CDLD . L’objectif de cette modification a été de simplifier les choses en prévoyant une publication des règlements et ordonnances via le site internet de la commune et non plus par la voie d’une affiche.</w:t>
      </w:r>
      <w:r>
        <w:t xml:space="preserve"> Depuis le 1</w:t>
      </w:r>
      <w:r w:rsidRPr="008E1F0E">
        <w:rPr>
          <w:vertAlign w:val="superscript"/>
        </w:rPr>
        <w:t>er</w:t>
      </w:r>
      <w:r>
        <w:t xml:space="preserve"> juillet 2025, </w:t>
      </w:r>
      <w:r w:rsidR="003125C9" w:rsidRPr="005C4637">
        <w:t>Les règlements et ordonnances du conseil, du collège et du bourgmestre sont publiés sur le site internet de la commune (ou autre site habilité) : accès libre, intégralité, permanence, gratuité, format non modifiable, conservation, intégrité, téléchargement et preuve de la date. Le cas échéant, la décision de tutelle et sa date sont indiquées. Une affiche demeure pour informer de l’adresse et des lieux/horaires de consultation.</w:t>
      </w:r>
    </w:p>
    <w:p w14:paraId="29647FBE" w14:textId="77777777" w:rsidR="003125C9" w:rsidRPr="005C4637" w:rsidRDefault="003125C9">
      <w:pPr>
        <w:pStyle w:val="Titre4"/>
        <w:numPr>
          <w:ilvl w:val="0"/>
          <w:numId w:val="63"/>
        </w:numPr>
      </w:pPr>
      <w:r w:rsidRPr="005C4637">
        <w:t>Quand un règlement devient-il obligatoire ?</w:t>
      </w:r>
    </w:p>
    <w:p w14:paraId="4077A221" w14:textId="0BC0264E" w:rsidR="00A51235" w:rsidRPr="00A51235" w:rsidRDefault="003125C9" w:rsidP="00A51235">
      <w:r w:rsidRPr="005C4637">
        <w:t>Sauf disposition contraire, le 5e jour qui suit la publication en ligne</w:t>
      </w:r>
      <w:r w:rsidR="007A27C5" w:rsidRPr="00F91BDD">
        <w:rPr>
          <w:rFonts w:eastAsia="PMingLiU"/>
        </w:rPr>
        <w:t>(article L 1133-2 § 1er)</w:t>
      </w:r>
      <w:r w:rsidRPr="005C4637">
        <w:t xml:space="preserve">. </w:t>
      </w:r>
      <w:r w:rsidR="00923B74" w:rsidRPr="00923B74">
        <w:t>Le §2 de l’article L1133-2 précise que lorsqu’il est matériellement impossible, en raison de circonstances impérieuses et imprévues dûment motivées, de respecter les dispositions visées à l’article L1133-1 alinéas 1 et 2, les règlements et ordonnances sont opposables le 5ème jour qui suit le jour de leur publication par la voie de l’affichage sauf s’ils en disposent autrement. Dans ce cas, le fait et la date de la publication de ces règlements et ordonnances sont constatés par une annotation dans le registre de publication.</w:t>
      </w:r>
    </w:p>
    <w:p w14:paraId="0BA32C82" w14:textId="77777777" w:rsidR="003125C9" w:rsidRPr="005C4637" w:rsidRDefault="003125C9">
      <w:pPr>
        <w:pStyle w:val="Titre4"/>
        <w:numPr>
          <w:ilvl w:val="0"/>
          <w:numId w:val="63"/>
        </w:numPr>
      </w:pPr>
      <w:r w:rsidRPr="005C4637">
        <w:t>Peut-on publier en deux temps (adoption puis approbation) ?</w:t>
      </w:r>
    </w:p>
    <w:p w14:paraId="569799C1" w14:textId="77777777" w:rsidR="005C1480" w:rsidRPr="00F91BDD" w:rsidRDefault="003125C9" w:rsidP="005C1480">
      <w:pPr>
        <w:spacing w:before="120"/>
        <w:textAlignment w:val="baseline"/>
        <w:rPr>
          <w:rFonts w:cs="Calibri"/>
          <w:b/>
          <w:bCs/>
        </w:rPr>
      </w:pPr>
      <w:r w:rsidRPr="005C4637">
        <w:t xml:space="preserve">Non. </w:t>
      </w:r>
    </w:p>
    <w:p w14:paraId="107AB51C" w14:textId="37ADDC0E" w:rsidR="007E688C" w:rsidRPr="00A51235" w:rsidRDefault="005C1480" w:rsidP="005C1480">
      <w:pPr>
        <w:spacing w:before="120"/>
        <w:textAlignment w:val="baseline"/>
        <w:rPr>
          <w:rFonts w:cs="Calibri"/>
        </w:rPr>
      </w:pPr>
      <w:r w:rsidRPr="00A51235">
        <w:rPr>
          <w:rFonts w:cs="Calibri"/>
        </w:rPr>
        <w:lastRenderedPageBreak/>
        <w:t>Dans son arrêt du 20 juin 2014, la Cour de cassation a considéré qu’il n’était pas possible de procéder à la publication en deux phases : d’abord l’affichage de l’adoption du règlement et ensuite l’affichage de son approbation par l’autorité de tutelle.</w:t>
      </w:r>
    </w:p>
    <w:p w14:paraId="784F30EB" w14:textId="77777777" w:rsidR="005C1480" w:rsidRPr="008E1F0E" w:rsidRDefault="005C1480" w:rsidP="005C1480">
      <w:pPr>
        <w:spacing w:before="120"/>
        <w:textAlignment w:val="baseline"/>
      </w:pPr>
      <w:r w:rsidRPr="00A51235">
        <w:rPr>
          <w:rFonts w:cs="Calibri"/>
        </w:rPr>
        <w:t>Les règlements soumis à une tutelle d’approbation doivent donc être publiés après cette approbation, expresse ou implicite, et faire mention de celle-ci</w:t>
      </w:r>
      <w:r w:rsidRPr="008E1F0E">
        <w:rPr>
          <w:rFonts w:cs="Calibri"/>
          <w:vertAlign w:val="superscript"/>
        </w:rPr>
        <w:footnoteReference w:id="28"/>
      </w:r>
      <w:r w:rsidRPr="008E1F0E">
        <w:rPr>
          <w:rFonts w:cs="Calibri"/>
        </w:rPr>
        <w:t>. Si l’affichage a été effectué avant l’approbation, il faudra le refaire dès réception de la décision de l’approbation par l’autorité de tutelle. C’est uniquement après ce deuxième affichage que celui-ci sera considéré comme conforme à la loi.</w:t>
      </w:r>
    </w:p>
    <w:p w14:paraId="0DEF25AF" w14:textId="01FF75B9" w:rsidR="003125C9" w:rsidRPr="005C4637" w:rsidRDefault="005C1480" w:rsidP="0015126E">
      <w:pPr>
        <w:spacing w:before="120"/>
        <w:textAlignment w:val="baseline"/>
      </w:pPr>
      <w:r w:rsidRPr="004E425F">
        <w:rPr>
          <w:rFonts w:cs="Calibri"/>
        </w:rPr>
        <w:t xml:space="preserve">Cette position est applicable </w:t>
      </w:r>
      <w:r w:rsidRPr="004E425F">
        <w:rPr>
          <w:rFonts w:cs="Calibri"/>
          <w:i/>
          <w:iCs/>
        </w:rPr>
        <w:t>mutatis mutandis</w:t>
      </w:r>
      <w:r w:rsidRPr="004E425F">
        <w:rPr>
          <w:rFonts w:cs="Calibri"/>
        </w:rPr>
        <w:t xml:space="preserve"> à la nouvelle procédure : la publication sur le site internet en peut avoir lieu qu’avec la mention de la décision de l’autorité de tutelle.</w:t>
      </w:r>
      <w:r w:rsidRPr="00F91BDD">
        <w:rPr>
          <w:rFonts w:cs="Calibri"/>
        </w:rPr>
        <w:t xml:space="preserve"> </w:t>
      </w:r>
      <w:r w:rsidRPr="004E425F">
        <w:rPr>
          <w:rFonts w:cs="Calibri"/>
        </w:rPr>
        <w:t xml:space="preserve">Pour le surplus je vous renvoie à ma circulaire du 20 juin 2025 </w:t>
      </w:r>
      <w:r w:rsidRPr="00F91BDD">
        <w:rPr>
          <w:rFonts w:cs="Calibri"/>
        </w:rPr>
        <w:t>relative à la nouvelle procédure de publication à partir du 1er juillet 2025</w:t>
      </w:r>
      <w:r w:rsidRPr="004E425F">
        <w:rPr>
          <w:rFonts w:cs="Calibri"/>
        </w:rPr>
        <w:t>.</w:t>
      </w:r>
    </w:p>
    <w:p w14:paraId="2A8575BB" w14:textId="77777777" w:rsidR="003125C9" w:rsidRPr="005C4637" w:rsidRDefault="003125C9">
      <w:pPr>
        <w:pStyle w:val="Titre4"/>
        <w:numPr>
          <w:ilvl w:val="0"/>
          <w:numId w:val="63"/>
        </w:numPr>
      </w:pPr>
      <w:r w:rsidRPr="005C4637">
        <w:t>Que faire si le délai de tutelle a expiré sans décision ?</w:t>
      </w:r>
    </w:p>
    <w:p w14:paraId="5D024187" w14:textId="77777777" w:rsidR="003125C9" w:rsidRPr="005C4637" w:rsidRDefault="003125C9" w:rsidP="003125C9">
      <w:r w:rsidRPr="005C4637">
        <w:t>Aucune mention n’est requise, mais par prudence, il est conseillé d’indiquer que le règlement est exécutoire par expiration du délai de tutelle.</w:t>
      </w:r>
    </w:p>
    <w:p w14:paraId="3A98B388" w14:textId="77777777" w:rsidR="003125C9" w:rsidRPr="005C4637" w:rsidRDefault="003125C9">
      <w:pPr>
        <w:pStyle w:val="Titre4"/>
        <w:numPr>
          <w:ilvl w:val="0"/>
          <w:numId w:val="63"/>
        </w:numPr>
      </w:pPr>
      <w:r w:rsidRPr="005C4637">
        <w:t>Un règlement peut-il s’appliquer avant sa publication ?</w:t>
      </w:r>
    </w:p>
    <w:p w14:paraId="0F2C39EE" w14:textId="77777777" w:rsidR="003125C9" w:rsidRPr="005C4637" w:rsidRDefault="003125C9" w:rsidP="003125C9">
      <w:r w:rsidRPr="005C4637">
        <w:t>Non. Un règlement ne peut produire d’effets avant sa publication régulière. Exception : une taxe directe peut rétroagir au 1er janvier de l’exercice concerné (contrairement aux taxes indirectes et aux redevances).</w:t>
      </w:r>
    </w:p>
    <w:p w14:paraId="2EB72AEA" w14:textId="77777777" w:rsidR="003125C9" w:rsidRPr="005C4637" w:rsidRDefault="003125C9">
      <w:pPr>
        <w:pStyle w:val="Titre4"/>
        <w:numPr>
          <w:ilvl w:val="0"/>
          <w:numId w:val="63"/>
        </w:numPr>
      </w:pPr>
      <w:r w:rsidRPr="005C4637">
        <w:t>Quelles bonnes pratiques de calendrier recommander ?</w:t>
      </w:r>
    </w:p>
    <w:p w14:paraId="1D8926D4" w14:textId="77777777" w:rsidR="00973A01" w:rsidRDefault="003125C9" w:rsidP="003125C9">
      <w:r w:rsidRPr="005C4637">
        <w:t>Renouveler suffisamment tôt règlements taxes et redevances afin d’entrer en vigueur avant le 1er janvie</w:t>
      </w:r>
      <w:r w:rsidR="00623EFB">
        <w:t>r.</w:t>
      </w:r>
      <w:r w:rsidRPr="005C4637">
        <w:t xml:space="preserve"> </w:t>
      </w:r>
    </w:p>
    <w:p w14:paraId="43F6297A" w14:textId="1A8C9051" w:rsidR="003125C9" w:rsidRPr="005C4637" w:rsidRDefault="003125C9" w:rsidP="003125C9">
      <w:r w:rsidRPr="005C4637">
        <w:t>Estimer les recettes budgétaires sur la base de règlements approuvés, ou à tout le moins déjà votés par le Conseil communal.</w:t>
      </w:r>
    </w:p>
    <w:p w14:paraId="55A1F853" w14:textId="61890514" w:rsidR="003125C9" w:rsidRPr="005C4637" w:rsidRDefault="003125C9" w:rsidP="35BD9115">
      <w:pPr>
        <w:pStyle w:val="Titre3"/>
      </w:pPr>
      <w:bookmarkStart w:id="787" w:name="_Toc225504271"/>
      <w:bookmarkStart w:id="788" w:name="_Toc225772360"/>
      <w:bookmarkStart w:id="789" w:name="_Toc233626229"/>
      <w:r w:rsidRPr="005C4637">
        <w:t>Consignation</w:t>
      </w:r>
      <w:bookmarkEnd w:id="787"/>
      <w:bookmarkEnd w:id="788"/>
      <w:bookmarkEnd w:id="789"/>
    </w:p>
    <w:p w14:paraId="41C05B2C" w14:textId="77777777" w:rsidR="003125C9" w:rsidRPr="005C4637" w:rsidRDefault="003125C9">
      <w:pPr>
        <w:pStyle w:val="Titre4"/>
        <w:numPr>
          <w:ilvl w:val="0"/>
          <w:numId w:val="64"/>
        </w:numPr>
      </w:pPr>
      <w:r w:rsidRPr="005C4637">
        <w:t>La consignation est-elle permise pour les taxes ?</w:t>
      </w:r>
    </w:p>
    <w:p w14:paraId="0B768AB8" w14:textId="77777777" w:rsidR="003125C9" w:rsidRPr="005C4637" w:rsidRDefault="003125C9" w:rsidP="003125C9">
      <w:r w:rsidRPr="005C4637">
        <w:t>Non. Il est interdit d’exiger la consignation d’une taxe avant son exigibilité (art. L3321-3 CDLD). La taxe au comptant sur délivrance de documents n’est exigible qu’au moment du fait taxable (délivrance) ou, à défaut, lors de l’enrôlement si la perception au comptant est impossible.</w:t>
      </w:r>
    </w:p>
    <w:p w14:paraId="5DB45F40" w14:textId="77777777" w:rsidR="003125C9" w:rsidRPr="005C4637" w:rsidRDefault="003125C9">
      <w:pPr>
        <w:pStyle w:val="Titre4"/>
        <w:numPr>
          <w:ilvl w:val="0"/>
          <w:numId w:val="64"/>
        </w:numPr>
      </w:pPr>
      <w:r w:rsidRPr="005C4637">
        <w:t>Qu’en est-il des redevances ?</w:t>
      </w:r>
    </w:p>
    <w:p w14:paraId="6BB7131B" w14:textId="77777777" w:rsidR="003125C9" w:rsidRPr="005C4637" w:rsidRDefault="003125C9" w:rsidP="003125C9">
      <w:r w:rsidRPr="005C4637">
        <w:t>La consignation peut être envisagée, cette matière relevant du droit civil.</w:t>
      </w:r>
    </w:p>
    <w:p w14:paraId="46A9667A" w14:textId="0758C259" w:rsidR="002470D7" w:rsidRPr="005C4637" w:rsidRDefault="002470D7" w:rsidP="00ED696A">
      <w:pPr>
        <w:pStyle w:val="Titre2"/>
      </w:pPr>
      <w:bookmarkStart w:id="790" w:name="_Toc225504272"/>
      <w:bookmarkStart w:id="791" w:name="_Toc225772361"/>
      <w:bookmarkStart w:id="792" w:name="_Toc233626230"/>
      <w:r w:rsidRPr="005C4637">
        <w:lastRenderedPageBreak/>
        <w:t>Recommandations particulières</w:t>
      </w:r>
      <w:bookmarkEnd w:id="790"/>
      <w:bookmarkEnd w:id="791"/>
      <w:bookmarkEnd w:id="792"/>
      <w:r w:rsidRPr="005C4637">
        <w:t xml:space="preserve"> </w:t>
      </w:r>
    </w:p>
    <w:p w14:paraId="6BCD20CC" w14:textId="3272F5DF" w:rsidR="002470D7" w:rsidRPr="005C4637" w:rsidRDefault="6500CF6F">
      <w:pPr>
        <w:pStyle w:val="Titre3"/>
        <w:numPr>
          <w:ilvl w:val="0"/>
          <w:numId w:val="117"/>
        </w:numPr>
      </w:pPr>
      <w:bookmarkStart w:id="793" w:name="_Toc225504273"/>
      <w:bookmarkStart w:id="794" w:name="_Toc225772362"/>
      <w:bookmarkStart w:id="795" w:name="_Toc233626231"/>
      <w:r>
        <w:t>Perception des recettes</w:t>
      </w:r>
      <w:bookmarkEnd w:id="793"/>
      <w:bookmarkEnd w:id="794"/>
      <w:bookmarkEnd w:id="795"/>
    </w:p>
    <w:p w14:paraId="37702114" w14:textId="77777777" w:rsidR="002470D7" w:rsidRPr="005C4637" w:rsidRDefault="002470D7">
      <w:pPr>
        <w:pStyle w:val="Titre4"/>
        <w:numPr>
          <w:ilvl w:val="0"/>
          <w:numId w:val="65"/>
        </w:numPr>
      </w:pPr>
      <w:r w:rsidRPr="005C4637">
        <w:t>Qui est compétent pour statuer sur une réclamation contre une taxe communale ?</w:t>
      </w:r>
    </w:p>
    <w:p w14:paraId="63B1D68D" w14:textId="77777777" w:rsidR="002470D7" w:rsidRPr="005C4637" w:rsidRDefault="002470D7" w:rsidP="002470D7">
      <w:r w:rsidRPr="005C4637">
        <w:t>Le Collège communal est seul compétent, en première instance, pour statuer sur les réclamations relatives aux taxes communales (articles L3321-9 à L3321-12 du CDLD). La décision peut faire l’objet d’un recours devant le Tribunal de première instance du ressort où la taxe a été établie.</w:t>
      </w:r>
    </w:p>
    <w:p w14:paraId="3880DAB5" w14:textId="77777777" w:rsidR="002470D7" w:rsidRPr="005C4637" w:rsidRDefault="002470D7">
      <w:pPr>
        <w:pStyle w:val="Titre4"/>
        <w:numPr>
          <w:ilvl w:val="0"/>
          <w:numId w:val="65"/>
        </w:numPr>
      </w:pPr>
      <w:r w:rsidRPr="005C4637">
        <w:t>Quel est le cadre procédural et quels sont les délais ?</w:t>
      </w:r>
    </w:p>
    <w:p w14:paraId="4253126B" w14:textId="040304D1" w:rsidR="002470D7" w:rsidRPr="005C4637" w:rsidRDefault="002470D7" w:rsidP="5EFBFFCA">
      <w:r>
        <w:t>La procédure est régie par l’AR du 12 avril 1999</w:t>
      </w:r>
      <w:r w:rsidR="1704D258">
        <w:t xml:space="preserve"> </w:t>
      </w:r>
      <w:r w:rsidR="1704D258" w:rsidRPr="5EFBFFCA">
        <w:rPr>
          <w:rFonts w:ascii="Cambria" w:eastAsia="MS Mincho" w:hAnsi="Cambria" w:cs="Arial"/>
          <w:lang w:val="fr"/>
        </w:rPr>
        <w:t>déterminant la procédure devant le gouverneur (aujourd’hui Collège provincial) ou devant le Collège des bourgmestres et échevins (aujourd’hui Collège communal) en matière de réclamation contre une imposition provinciale ou communale</w:t>
      </w:r>
      <w:r>
        <w:t>. Le délai de réclamation est d’un an depuis la loi du 20 décembre 2022 portant des dispositions fiscales et financières diverses. À défaut de décision dans les 6 mois de la réception, la réclamation est réputée fondée administrativement : le réclamant peut saisir le tribunal, mais le juge n’est pas lié par cette présomption. Le Collège peut statuer tant que l’affaire n’est pas portée devant le juge.</w:t>
      </w:r>
    </w:p>
    <w:p w14:paraId="07F66359" w14:textId="646A345B" w:rsidR="002470D7" w:rsidRPr="005C4637" w:rsidRDefault="002470D7" w:rsidP="35BD9115">
      <w:pPr>
        <w:pStyle w:val="Titre3"/>
      </w:pPr>
      <w:bookmarkStart w:id="796" w:name="_Toc225504274"/>
      <w:bookmarkStart w:id="797" w:name="_Toc225772363"/>
      <w:bookmarkStart w:id="798" w:name="_Toc233626232"/>
      <w:r w:rsidRPr="005C4637">
        <w:t>Interdiction de lever certaines taxes</w:t>
      </w:r>
      <w:bookmarkEnd w:id="796"/>
      <w:bookmarkEnd w:id="797"/>
      <w:bookmarkEnd w:id="798"/>
    </w:p>
    <w:p w14:paraId="124E03F5" w14:textId="77777777" w:rsidR="002470D7" w:rsidRPr="005C4637" w:rsidRDefault="002470D7" w:rsidP="00BD5C15">
      <w:pPr>
        <w:pStyle w:val="Titre4"/>
        <w:ind w:left="360"/>
      </w:pPr>
      <w:r w:rsidRPr="005C4637">
        <w:t>Quelles taxes les communes ne peuvent-elles pas lever ?</w:t>
      </w:r>
    </w:p>
    <w:p w14:paraId="44E99612" w14:textId="4172C98F" w:rsidR="003659B7" w:rsidRPr="00E04081" w:rsidRDefault="002470D7" w:rsidP="00D82A08">
      <w:pPr>
        <w:rPr>
          <w:rFonts w:cs="Calibri Light"/>
        </w:rPr>
      </w:pPr>
      <w:r w:rsidRPr="005C4637">
        <w:t>Sont notamment interdites :</w:t>
      </w:r>
    </w:p>
    <w:p w14:paraId="3AAFC6D1" w14:textId="77777777" w:rsidR="003659B7" w:rsidRPr="00F91BDD" w:rsidRDefault="003659B7">
      <w:pPr>
        <w:pStyle w:val="Paragraphedeliste"/>
        <w:numPr>
          <w:ilvl w:val="0"/>
          <w:numId w:val="66"/>
        </w:numPr>
        <w:tabs>
          <w:tab w:val="left" w:pos="-148"/>
          <w:tab w:val="left" w:pos="432"/>
        </w:tabs>
        <w:spacing w:before="120" w:after="120" w:line="240" w:lineRule="auto"/>
        <w:contextualSpacing w:val="0"/>
        <w:textAlignment w:val="baseline"/>
        <w:rPr>
          <w:rFonts w:cs="Calibri Light"/>
        </w:rPr>
      </w:pPr>
      <w:r w:rsidRPr="00F91BDD">
        <w:rPr>
          <w:rFonts w:cs="Calibri Light"/>
        </w:rPr>
        <w:t>Une taxe sur les jeux et paris autres que les courses de chevaux (article 74 du Code des taxes assimilées aux impôts sur les revenus) ;</w:t>
      </w:r>
    </w:p>
    <w:p w14:paraId="046B107A" w14:textId="77777777" w:rsidR="003659B7" w:rsidRPr="00F91BDD" w:rsidRDefault="003659B7">
      <w:pPr>
        <w:pStyle w:val="Paragraphedeliste"/>
        <w:numPr>
          <w:ilvl w:val="0"/>
          <w:numId w:val="66"/>
        </w:numPr>
        <w:tabs>
          <w:tab w:val="left" w:pos="-148"/>
          <w:tab w:val="left" w:pos="432"/>
        </w:tabs>
        <w:spacing w:before="120" w:after="120" w:line="240" w:lineRule="auto"/>
        <w:contextualSpacing w:val="0"/>
        <w:textAlignment w:val="baseline"/>
        <w:rPr>
          <w:rFonts w:cs="Calibri Light"/>
        </w:rPr>
      </w:pPr>
      <w:r w:rsidRPr="00F91BDD">
        <w:rPr>
          <w:rFonts w:cs="Calibri Light"/>
        </w:rPr>
        <w:t>Une taxe sur les captages d'eau</w:t>
      </w:r>
      <w:r w:rsidRPr="00F91BDD">
        <w:rPr>
          <w:rStyle w:val="Appelnotedebasdep"/>
          <w:rFonts w:cs="Calibri Light"/>
        </w:rPr>
        <w:footnoteReference w:id="29"/>
      </w:r>
      <w:r w:rsidRPr="00F91BDD">
        <w:rPr>
          <w:rFonts w:cs="Calibri Light"/>
        </w:rPr>
        <w:t xml:space="preserve"> ;</w:t>
      </w:r>
    </w:p>
    <w:p w14:paraId="1A63D5EA" w14:textId="77777777" w:rsidR="003659B7" w:rsidRPr="00F91BDD" w:rsidRDefault="003659B7">
      <w:pPr>
        <w:pStyle w:val="Paragraphedeliste"/>
        <w:numPr>
          <w:ilvl w:val="0"/>
          <w:numId w:val="66"/>
        </w:numPr>
        <w:tabs>
          <w:tab w:val="left" w:pos="-148"/>
          <w:tab w:val="left" w:pos="432"/>
        </w:tabs>
        <w:spacing w:before="120" w:after="120" w:line="240" w:lineRule="auto"/>
        <w:contextualSpacing w:val="0"/>
        <w:textAlignment w:val="baseline"/>
        <w:rPr>
          <w:rFonts w:cs="Calibri Light"/>
        </w:rPr>
      </w:pPr>
      <w:r w:rsidRPr="00F91BDD">
        <w:rPr>
          <w:rFonts w:cs="Calibri Light"/>
        </w:rPr>
        <w:t>Une taxe sur les bois exploités</w:t>
      </w:r>
      <w:r w:rsidRPr="00F91BDD">
        <w:rPr>
          <w:rStyle w:val="Appelnotedebasdep"/>
          <w:rFonts w:cs="Calibri Light"/>
        </w:rPr>
        <w:footnoteReference w:id="30"/>
      </w:r>
      <w:r w:rsidRPr="00F91BDD">
        <w:rPr>
          <w:rFonts w:cs="Calibri Light"/>
        </w:rPr>
        <w:t xml:space="preserve"> ;</w:t>
      </w:r>
    </w:p>
    <w:p w14:paraId="03123154" w14:textId="77777777" w:rsidR="003659B7" w:rsidRPr="00F91BDD" w:rsidRDefault="003659B7">
      <w:pPr>
        <w:pStyle w:val="Paragraphedeliste"/>
        <w:numPr>
          <w:ilvl w:val="0"/>
          <w:numId w:val="66"/>
        </w:numPr>
        <w:tabs>
          <w:tab w:val="left" w:pos="-148"/>
          <w:tab w:val="left" w:pos="432"/>
        </w:tabs>
        <w:spacing w:before="120" w:after="120" w:line="240" w:lineRule="auto"/>
        <w:contextualSpacing w:val="0"/>
        <w:textAlignment w:val="baseline"/>
        <w:rPr>
          <w:rFonts w:cs="Calibri Light"/>
        </w:rPr>
      </w:pPr>
      <w:r w:rsidRPr="00F91BDD">
        <w:rPr>
          <w:rFonts w:cs="Calibri Light"/>
        </w:rPr>
        <w:t>Une taxe sur la distribution des annuaires téléphoniques officiels</w:t>
      </w:r>
      <w:r w:rsidRPr="00F91BDD">
        <w:rPr>
          <w:rStyle w:val="Appelnotedebasdep"/>
          <w:rFonts w:cs="Calibri Light"/>
        </w:rPr>
        <w:footnoteReference w:id="31"/>
      </w:r>
      <w:r w:rsidRPr="00F91BDD">
        <w:rPr>
          <w:rFonts w:cs="Calibri Light"/>
        </w:rPr>
        <w:t xml:space="preserve"> ;</w:t>
      </w:r>
    </w:p>
    <w:p w14:paraId="6BFB0348" w14:textId="77777777" w:rsidR="003659B7" w:rsidRPr="00F91BDD" w:rsidRDefault="003659B7">
      <w:pPr>
        <w:pStyle w:val="Paragraphedeliste"/>
        <w:numPr>
          <w:ilvl w:val="0"/>
          <w:numId w:val="66"/>
        </w:numPr>
        <w:tabs>
          <w:tab w:val="left" w:pos="-148"/>
          <w:tab w:val="left" w:pos="432"/>
        </w:tabs>
        <w:spacing w:before="120" w:after="120" w:line="240" w:lineRule="auto"/>
        <w:contextualSpacing w:val="0"/>
        <w:textAlignment w:val="baseline"/>
        <w:rPr>
          <w:rFonts w:cs="Calibri Light"/>
        </w:rPr>
      </w:pPr>
      <w:r w:rsidRPr="00F91BDD">
        <w:rPr>
          <w:rFonts w:cs="Calibri Light"/>
        </w:rPr>
        <w:t>Une taxe sur les antennes paraboliques</w:t>
      </w:r>
      <w:r w:rsidRPr="00F91BDD">
        <w:rPr>
          <w:rStyle w:val="Appelnotedebasdep"/>
          <w:rFonts w:cs="Calibri Light"/>
        </w:rPr>
        <w:footnoteReference w:id="32"/>
      </w:r>
      <w:r w:rsidRPr="00F91BDD">
        <w:rPr>
          <w:rFonts w:cs="Calibri Light"/>
        </w:rPr>
        <w:t> ;</w:t>
      </w:r>
    </w:p>
    <w:p w14:paraId="17B9E1F7" w14:textId="77777777" w:rsidR="003659B7" w:rsidRPr="006300F6" w:rsidRDefault="003659B7">
      <w:pPr>
        <w:pStyle w:val="Paragraphedeliste"/>
        <w:numPr>
          <w:ilvl w:val="0"/>
          <w:numId w:val="66"/>
        </w:numPr>
        <w:tabs>
          <w:tab w:val="left" w:pos="-148"/>
          <w:tab w:val="left" w:pos="432"/>
        </w:tabs>
        <w:spacing w:before="120" w:after="120" w:line="240" w:lineRule="auto"/>
        <w:contextualSpacing w:val="0"/>
        <w:textAlignment w:val="baseline"/>
        <w:rPr>
          <w:rFonts w:cs="Calibri Light"/>
        </w:rPr>
      </w:pPr>
      <w:r w:rsidRPr="00F91BDD">
        <w:rPr>
          <w:rFonts w:cs="Calibri Light"/>
        </w:rPr>
        <w:t>Une taxe indirecte sur les mines, minières et carrières</w:t>
      </w:r>
      <w:r w:rsidRPr="00F91BDD">
        <w:rPr>
          <w:rStyle w:val="Appelnotedebasdep"/>
          <w:rFonts w:cs="Calibri Light"/>
        </w:rPr>
        <w:footnoteReference w:id="33"/>
      </w:r>
      <w:r w:rsidRPr="00F91BDD">
        <w:rPr>
          <w:rFonts w:cs="Calibri Light"/>
        </w:rPr>
        <w:t>.</w:t>
      </w:r>
    </w:p>
    <w:p w14:paraId="19FCA21F" w14:textId="1633B091" w:rsidR="002470D7" w:rsidRPr="005C4637" w:rsidRDefault="002470D7" w:rsidP="35BD9115">
      <w:pPr>
        <w:pStyle w:val="Titre3"/>
      </w:pPr>
      <w:bookmarkStart w:id="799" w:name="_Toc225504275"/>
      <w:bookmarkStart w:id="800" w:name="_Toc225772364"/>
      <w:bookmarkStart w:id="801" w:name="_Toc233626233"/>
      <w:r w:rsidRPr="005C4637">
        <w:t>Interdiction d’établir des taxes prohibitives</w:t>
      </w:r>
      <w:bookmarkEnd w:id="799"/>
      <w:bookmarkEnd w:id="800"/>
      <w:bookmarkEnd w:id="801"/>
    </w:p>
    <w:p w14:paraId="0BE42DB9" w14:textId="77777777" w:rsidR="002470D7" w:rsidRPr="005C4637" w:rsidRDefault="002470D7">
      <w:pPr>
        <w:pStyle w:val="Titre4"/>
        <w:numPr>
          <w:ilvl w:val="0"/>
          <w:numId w:val="67"/>
        </w:numPr>
      </w:pPr>
      <w:r w:rsidRPr="005C4637">
        <w:t>Qu’est-ce qu’une taxe ‘prohibitive’ et pourquoi est-elle illégale ?</w:t>
      </w:r>
    </w:p>
    <w:p w14:paraId="4BBAB6FF" w14:textId="77777777" w:rsidR="002470D7" w:rsidRPr="005C4637" w:rsidRDefault="002470D7" w:rsidP="002470D7">
      <w:r w:rsidRPr="005C4637">
        <w:t xml:space="preserve">Une taxe devient prohibitive lorsqu’elle a pour seul objet d’empêcher l’exercice d’une activité licite. La commune peut poursuivre un objectif accessoire de dissuasion, mais doit respecter </w:t>
      </w:r>
      <w:r w:rsidRPr="005C4637">
        <w:lastRenderedPageBreak/>
        <w:t>la proportionnalité et la liberté du commerce et de l’industrie. La taxe ne peut pas viser à faire cesser une situation illégale : on recourt alors aux sanctions pénales/administratives (art. L1122-33 CDLD).</w:t>
      </w:r>
    </w:p>
    <w:p w14:paraId="550B3598" w14:textId="77777777" w:rsidR="002470D7" w:rsidRPr="005C4637" w:rsidRDefault="002470D7">
      <w:pPr>
        <w:pStyle w:val="Titre4"/>
        <w:numPr>
          <w:ilvl w:val="0"/>
          <w:numId w:val="67"/>
        </w:numPr>
      </w:pPr>
      <w:r w:rsidRPr="005C4637">
        <w:t>Un montant élevé suffit-il à rendre une taxe illégale ?</w:t>
      </w:r>
    </w:p>
    <w:p w14:paraId="2A13E3B5" w14:textId="2CB2F5D9" w:rsidR="002470D7" w:rsidRPr="005C4637" w:rsidRDefault="002470D7" w:rsidP="002470D7">
      <w:r w:rsidRPr="005C4637">
        <w:t>Non. Le caractère dissuasif peut impliquer un montant élevé, pour autant que la taxe tienne compte de la capacité contributive et reste proportionnée au but poursuivi.</w:t>
      </w:r>
      <w:r w:rsidR="00042E87">
        <w:t xml:space="preserve"> </w:t>
      </w:r>
      <w:r w:rsidR="00737955" w:rsidRPr="00737955">
        <w:t>La commune doit être en mesure de justifier que la capacité contributive du redevable n’est pas mise à mal à la suite du règlement-taxe</w:t>
      </w:r>
      <w:r w:rsidR="00B33EC7">
        <w:t xml:space="preserve">, </w:t>
      </w:r>
      <w:r w:rsidR="00B33EC7">
        <w:rPr>
          <w:rFonts w:cstheme="minorHAnsi"/>
        </w:rPr>
        <w:t>il s’agit d’une obligation légale dans le cadre de la motivation du règlement.</w:t>
      </w:r>
    </w:p>
    <w:p w14:paraId="58136846" w14:textId="5CB26EC8" w:rsidR="002470D7" w:rsidRPr="005C4637" w:rsidRDefault="002470D7" w:rsidP="35BD9115">
      <w:pPr>
        <w:pStyle w:val="Titre3"/>
      </w:pPr>
      <w:bookmarkStart w:id="802" w:name="_Toc225504276"/>
      <w:bookmarkStart w:id="803" w:name="_Toc225772365"/>
      <w:bookmarkStart w:id="804" w:name="_Toc233626234"/>
      <w:r w:rsidRPr="005C4637">
        <w:t>Transmission des taxes additionnelles (IPP et PrI)</w:t>
      </w:r>
      <w:bookmarkEnd w:id="802"/>
      <w:bookmarkEnd w:id="803"/>
      <w:bookmarkEnd w:id="804"/>
    </w:p>
    <w:p w14:paraId="7B94373E" w14:textId="77777777" w:rsidR="002470D7" w:rsidRPr="005C4637" w:rsidRDefault="002470D7">
      <w:pPr>
        <w:pStyle w:val="Titre4"/>
        <w:numPr>
          <w:ilvl w:val="0"/>
          <w:numId w:val="86"/>
        </w:numPr>
      </w:pPr>
      <w:r w:rsidRPr="005C4637">
        <w:t>Quel est le délai d’entrée en vigueur d’un additionnel IPP ?</w:t>
      </w:r>
    </w:p>
    <w:p w14:paraId="6FDF59C5" w14:textId="77777777" w:rsidR="00EA61F4" w:rsidRPr="008E1F0E" w:rsidRDefault="00EA61F4" w:rsidP="00CB2D1E">
      <w:pPr>
        <w:pStyle w:val="Titre4"/>
        <w:rPr>
          <w:i w:val="0"/>
          <w:iCs w:val="0"/>
        </w:rPr>
      </w:pPr>
      <w:r w:rsidRPr="008E1F0E">
        <w:rPr>
          <w:i w:val="0"/>
          <w:iCs w:val="0"/>
        </w:rPr>
        <w:t>L’article 468 du code des impôts sur les revenus prévoit qu'un règlement-taxe relatif à la taxe additionnelle à l'IPP doit entrer en vigueur avant le 31 JANVIER de l'année civile dont le millésime désigne l'exercice d'imposition et que, à défaut, l'enrôlement se fera sur la base du pourcentage communal applicable pour l'exercice précédent.</w:t>
      </w:r>
    </w:p>
    <w:p w14:paraId="3DB66836" w14:textId="77777777" w:rsidR="002470D7" w:rsidRPr="005C4637" w:rsidRDefault="002470D7">
      <w:pPr>
        <w:pStyle w:val="Titre4"/>
        <w:numPr>
          <w:ilvl w:val="0"/>
          <w:numId w:val="86"/>
        </w:numPr>
      </w:pPr>
      <w:r w:rsidRPr="005C4637">
        <w:t>Quelles transmissions effectuer et à quelles dates ?</w:t>
      </w:r>
    </w:p>
    <w:p w14:paraId="19C8C094" w14:textId="77777777" w:rsidR="002470D7" w:rsidRPr="005C4637" w:rsidRDefault="002470D7" w:rsidP="002470D7">
      <w:r w:rsidRPr="005C4637">
        <w:t>IPP : transmettre pour le 15 février de l’exercice d’imposition au SPF Finances (A/R tutelle ou confirmation de maintien du taux), à l’adresse michel.hermans@minfin.fed.be.</w:t>
      </w:r>
    </w:p>
    <w:p w14:paraId="4590B087" w14:textId="77777777" w:rsidR="002470D7" w:rsidRDefault="002470D7" w:rsidP="002470D7">
      <w:r w:rsidRPr="005C4637">
        <w:t>PrI : le SPW‑IAS transmet aux Finances pour enrôlement ; la commune s’assure de la publication et de l’entrée en vigueur du règlement. Pour le PrI, transmettre au SPW‑IAS suffisamment tôt et au plus tard avant le 15 janvier (pour que le SPW Finances reçoive pour le 15 février). Éviter de modifier les taux en cours d’exercice (sauf cas exceptionnels).</w:t>
      </w:r>
    </w:p>
    <w:p w14:paraId="78DB08BA" w14:textId="77777777" w:rsidR="0062701B" w:rsidRPr="008E7CCB" w:rsidRDefault="0062701B" w:rsidP="0062701B">
      <w:pPr>
        <w:pBdr>
          <w:top w:val="single" w:sz="4" w:space="1" w:color="000000"/>
          <w:left w:val="single" w:sz="4" w:space="7" w:color="000000"/>
          <w:bottom w:val="single" w:sz="4" w:space="8" w:color="000000"/>
          <w:right w:val="single" w:sz="4" w:space="0" w:color="000000"/>
        </w:pBdr>
        <w:spacing w:before="120"/>
        <w:textAlignment w:val="baseline"/>
        <w:rPr>
          <w:rFonts w:cs="Calibri Light"/>
        </w:rPr>
      </w:pPr>
      <w:r w:rsidRPr="00F91BDD">
        <w:rPr>
          <w:rFonts w:cs="Calibri Light"/>
        </w:rPr>
        <w:t xml:space="preserve">Afin d'éviter tout problème au niveau de la transmission au SPF Finances des données nécessaires à l'enrôlement, il appartient aux pouvoirs locaux </w:t>
      </w:r>
      <w:r w:rsidRPr="00F91BDD">
        <w:rPr>
          <w:rFonts w:cs="Calibri Light"/>
          <w:u w:val="single"/>
        </w:rPr>
        <w:t>de transmettre</w:t>
      </w:r>
      <w:r w:rsidRPr="00F91BDD">
        <w:rPr>
          <w:rFonts w:cs="Calibri Light"/>
        </w:rPr>
        <w:t xml:space="preserve"> à M. HERMANS du SPF Finances la délibération concernée </w:t>
      </w:r>
      <w:r w:rsidRPr="00F91BDD">
        <w:rPr>
          <w:rFonts w:cs="Calibri Light"/>
          <w:b/>
          <w:bCs/>
        </w:rPr>
        <w:t>et</w:t>
      </w:r>
      <w:r w:rsidRPr="00F91BDD">
        <w:rPr>
          <w:rFonts w:cs="Calibri Light"/>
        </w:rPr>
        <w:t xml:space="preserve"> la lettre ministérielle laissant devenir exécutoire la délibération</w:t>
      </w:r>
      <w:r w:rsidRPr="00F91BDD">
        <w:rPr>
          <w:rFonts w:cs="Calibri Light"/>
          <w:b/>
        </w:rPr>
        <w:t xml:space="preserve"> relative à l'Impôt des Personnes Physiques. </w:t>
      </w:r>
    </w:p>
    <w:p w14:paraId="05EAC95A" w14:textId="77777777" w:rsidR="0062701B" w:rsidRPr="00F91BDD" w:rsidRDefault="0062701B" w:rsidP="0062701B">
      <w:pPr>
        <w:pBdr>
          <w:top w:val="single" w:sz="4" w:space="1" w:color="000000"/>
          <w:left w:val="single" w:sz="4" w:space="7" w:color="000000"/>
          <w:bottom w:val="single" w:sz="4" w:space="8" w:color="000000"/>
          <w:right w:val="single" w:sz="4" w:space="0" w:color="000000"/>
        </w:pBdr>
        <w:spacing w:before="120"/>
        <w:textAlignment w:val="baseline"/>
        <w:rPr>
          <w:rFonts w:cs="Calibri Light"/>
          <w:u w:val="single"/>
        </w:rPr>
      </w:pPr>
      <w:r w:rsidRPr="00F91BDD">
        <w:rPr>
          <w:rFonts w:cs="Calibri Light"/>
          <w:u w:val="single"/>
        </w:rPr>
        <w:t>Dans l’hypothèse où le taux additionnel à l'IPP a déjà été adopté pour plusieurs exercices d’imposition dont celui en cours, seule une confirmation explicite mentionnant que ce taux reste effectivement inchangé pour l’exercice d’imposition en cours est à transmettre.</w:t>
      </w:r>
    </w:p>
    <w:p w14:paraId="1B3B25E3" w14:textId="77777777" w:rsidR="0062701B" w:rsidRPr="008E7CCB" w:rsidRDefault="0062701B" w:rsidP="0062701B">
      <w:pPr>
        <w:pBdr>
          <w:top w:val="single" w:sz="4" w:space="1" w:color="000000"/>
          <w:left w:val="single" w:sz="4" w:space="7" w:color="000000"/>
          <w:bottom w:val="single" w:sz="4" w:space="8" w:color="000000"/>
          <w:right w:val="single" w:sz="4" w:space="0" w:color="000000"/>
        </w:pBdr>
        <w:spacing w:before="120"/>
        <w:textAlignment w:val="baseline"/>
        <w:rPr>
          <w:rFonts w:cs="Calibri Light"/>
          <w:b/>
          <w:bCs/>
          <w:u w:val="single"/>
        </w:rPr>
      </w:pPr>
      <w:r w:rsidRPr="00F91BDD">
        <w:rPr>
          <w:rFonts w:cs="Calibri Light"/>
          <w:b/>
          <w:bCs/>
          <w:u w:val="single"/>
        </w:rPr>
        <w:t>Ces documents ou la confirmation explicite doivent être transmis à Mr HERMANS M. du SPF Finances à l'adresse e-mail : michel.hermans@minfin.fed.be</w:t>
      </w:r>
    </w:p>
    <w:p w14:paraId="4729450A" w14:textId="77777777" w:rsidR="0062701B" w:rsidRPr="008E7CCB" w:rsidRDefault="0062701B" w:rsidP="0062701B">
      <w:pPr>
        <w:pBdr>
          <w:top w:val="single" w:sz="4" w:space="1" w:color="000000"/>
          <w:left w:val="single" w:sz="4" w:space="7" w:color="000000"/>
          <w:bottom w:val="single" w:sz="4" w:space="8" w:color="000000"/>
          <w:right w:val="single" w:sz="4" w:space="0" w:color="000000"/>
        </w:pBdr>
        <w:spacing w:before="120"/>
        <w:textAlignment w:val="baseline"/>
        <w:rPr>
          <w:rFonts w:cs="Calibri Light"/>
          <w:b/>
          <w:spacing w:val="1"/>
        </w:rPr>
      </w:pPr>
      <w:r w:rsidRPr="00F91BDD">
        <w:rPr>
          <w:rFonts w:cs="Calibri Light"/>
          <w:b/>
          <w:spacing w:val="1"/>
        </w:rPr>
        <w:t>Quant à la délibération établissant le taux des centimes additionnels au Précompte Immobilier :</w:t>
      </w:r>
    </w:p>
    <w:p w14:paraId="154A66BA" w14:textId="77777777" w:rsidR="0062701B" w:rsidRPr="00F91BDD" w:rsidRDefault="0062701B" w:rsidP="0062701B">
      <w:pPr>
        <w:pBdr>
          <w:top w:val="single" w:sz="4" w:space="1" w:color="000000"/>
          <w:left w:val="single" w:sz="4" w:space="7" w:color="000000"/>
          <w:bottom w:val="single" w:sz="4" w:space="8" w:color="000000"/>
          <w:right w:val="single" w:sz="4" w:space="0" w:color="000000"/>
        </w:pBdr>
        <w:spacing w:before="120"/>
        <w:textAlignment w:val="baseline"/>
        <w:rPr>
          <w:rFonts w:cs="Calibri Light"/>
          <w:spacing w:val="1"/>
        </w:rPr>
      </w:pPr>
      <w:r w:rsidRPr="00F91BDD">
        <w:rPr>
          <w:rFonts w:cs="Calibri Light"/>
          <w:spacing w:val="1"/>
        </w:rPr>
        <w:t xml:space="preserve">L’administration du SPW-IAS transmettra pour le compte des communes toutes les données nécessaires au SPW-Finances pour l’enrôlement du précompte immobilier. </w:t>
      </w:r>
      <w:bookmarkStart w:id="805" w:name="_Hlk34928892"/>
      <w:r w:rsidRPr="00F91BDD">
        <w:rPr>
          <w:rFonts w:cs="Calibri Light"/>
          <w:spacing w:val="1"/>
        </w:rPr>
        <w:t xml:space="preserve">Les communes </w:t>
      </w:r>
      <w:r w:rsidRPr="00F91BDD">
        <w:rPr>
          <w:rFonts w:cs="Calibri Light"/>
          <w:spacing w:val="1"/>
        </w:rPr>
        <w:lastRenderedPageBreak/>
        <w:t>devront juste s’assurer de l’accomplissement de la formalité de la publication afin que leurs règlements-taxes soient bien entrés en vigueur dans les délais requis.</w:t>
      </w:r>
    </w:p>
    <w:bookmarkEnd w:id="805"/>
    <w:p w14:paraId="6253BC18" w14:textId="77777777" w:rsidR="0062701B" w:rsidRPr="00F91BDD" w:rsidRDefault="0062701B" w:rsidP="0062701B">
      <w:pPr>
        <w:pBdr>
          <w:top w:val="single" w:sz="4" w:space="1" w:color="000000"/>
          <w:left w:val="single" w:sz="4" w:space="7" w:color="000000"/>
          <w:bottom w:val="single" w:sz="4" w:space="8" w:color="000000"/>
          <w:right w:val="single" w:sz="4" w:space="0" w:color="000000"/>
        </w:pBdr>
        <w:spacing w:before="120"/>
        <w:textAlignment w:val="baseline"/>
        <w:rPr>
          <w:rFonts w:cs="Calibri Light"/>
          <w:spacing w:val="-9"/>
        </w:rPr>
      </w:pPr>
      <w:r w:rsidRPr="00F91BDD">
        <w:rPr>
          <w:rFonts w:cs="Calibri Light"/>
          <w:spacing w:val="-9"/>
          <w:u w:val="single"/>
        </w:rPr>
        <w:t xml:space="preserve">Rem </w:t>
      </w:r>
      <w:r w:rsidRPr="00F91BDD">
        <w:rPr>
          <w:rFonts w:cs="Calibri Light"/>
          <w:spacing w:val="-9"/>
        </w:rPr>
        <w:t xml:space="preserve">: en ce qui concerne le document 173x, et depuis l’année 2021, c’est l’administration fiscale wallonne qui le transmet par mail, via son service de la comptabilité des recettes fiscales. </w:t>
      </w:r>
      <w:bookmarkStart w:id="806" w:name="_Hlk34929057"/>
    </w:p>
    <w:p w14:paraId="4163CC58" w14:textId="77777777" w:rsidR="0062701B" w:rsidRPr="008E7CCB" w:rsidRDefault="0062701B" w:rsidP="0062701B">
      <w:pPr>
        <w:pBdr>
          <w:top w:val="single" w:sz="4" w:space="1" w:color="000000"/>
          <w:left w:val="single" w:sz="4" w:space="7" w:color="000000"/>
          <w:bottom w:val="single" w:sz="4" w:space="8" w:color="000000"/>
          <w:right w:val="single" w:sz="4" w:space="0" w:color="000000"/>
        </w:pBdr>
        <w:spacing w:before="120"/>
        <w:textAlignment w:val="baseline"/>
        <w:rPr>
          <w:rFonts w:cs="Calibri Light"/>
          <w:spacing w:val="-9"/>
        </w:rPr>
      </w:pPr>
      <w:r w:rsidRPr="00F91BDD">
        <w:rPr>
          <w:spacing w:val="-9"/>
        </w:rPr>
        <w:t xml:space="preserve">C’est le SPW-Intérieur Action sociale </w:t>
      </w:r>
      <w:r w:rsidRPr="00F91BDD">
        <w:rPr>
          <w:rFonts w:cs="Calibri Light"/>
          <w:spacing w:val="-9"/>
        </w:rPr>
        <w:t>qui enverra les prévisions initiales en ce qui concerne le précompte immobilier</w:t>
      </w:r>
      <w:r>
        <w:rPr>
          <w:rFonts w:cs="Calibri Light"/>
          <w:spacing w:val="-9"/>
        </w:rPr>
        <w:t>.</w:t>
      </w:r>
      <w:bookmarkStart w:id="807" w:name="_Hlk67577959"/>
      <w:bookmarkEnd w:id="806"/>
    </w:p>
    <w:bookmarkEnd w:id="807"/>
    <w:p w14:paraId="76C4FAE9" w14:textId="77777777" w:rsidR="0062701B" w:rsidRPr="005C4637" w:rsidRDefault="0062701B" w:rsidP="002470D7"/>
    <w:p w14:paraId="5AD0FED0" w14:textId="60BD5B75" w:rsidR="002470D7" w:rsidRPr="005C4637" w:rsidRDefault="002470D7" w:rsidP="35BD9115">
      <w:pPr>
        <w:pStyle w:val="Titre3"/>
      </w:pPr>
      <w:bookmarkStart w:id="808" w:name="_Toc225504277"/>
      <w:bookmarkStart w:id="809" w:name="_Toc225772366"/>
      <w:bookmarkStart w:id="810" w:name="_Toc233626235"/>
      <w:r w:rsidRPr="005C4637">
        <w:t>Exonérations en faveur des industries nouvelles et des investissements</w:t>
      </w:r>
      <w:bookmarkEnd w:id="808"/>
      <w:bookmarkEnd w:id="809"/>
      <w:bookmarkEnd w:id="810"/>
    </w:p>
    <w:p w14:paraId="1ECC4E40" w14:textId="77777777" w:rsidR="002470D7" w:rsidRPr="005C4637" w:rsidRDefault="002470D7" w:rsidP="005B68CD">
      <w:pPr>
        <w:pStyle w:val="Titre4"/>
      </w:pPr>
      <w:r w:rsidRPr="005C4637">
        <w:t>Quelles exonérations temporaires peuvent être prévues pour l’expansion économique ?</w:t>
      </w:r>
    </w:p>
    <w:p w14:paraId="29AA2BC8" w14:textId="77777777" w:rsidR="005B68CD" w:rsidRDefault="005B68CD" w:rsidP="002470D7"/>
    <w:p w14:paraId="1676F647" w14:textId="010B4D89" w:rsidR="008A5377" w:rsidRDefault="002470D7" w:rsidP="002470D7">
      <w:r w:rsidRPr="005C4637">
        <w:t>Sur base de la circulaire du 9 août 1985, des exonérations temporaires, sous conditions, peuvent viser notamment :</w:t>
      </w:r>
    </w:p>
    <w:p w14:paraId="6CD2B318" w14:textId="77777777" w:rsidR="008A5377" w:rsidRPr="00F91BDD" w:rsidRDefault="008A5377">
      <w:pPr>
        <w:pStyle w:val="Paragraphedeliste"/>
        <w:numPr>
          <w:ilvl w:val="0"/>
          <w:numId w:val="68"/>
        </w:numPr>
        <w:tabs>
          <w:tab w:val="left" w:pos="-148"/>
          <w:tab w:val="left" w:pos="360"/>
        </w:tabs>
        <w:spacing w:before="120" w:after="120" w:line="240" w:lineRule="auto"/>
        <w:contextualSpacing w:val="0"/>
        <w:textAlignment w:val="baseline"/>
        <w:rPr>
          <w:rFonts w:cs="Calibri Light"/>
        </w:rPr>
      </w:pPr>
      <w:r w:rsidRPr="00F91BDD">
        <w:rPr>
          <w:rFonts w:cs="Calibri Light"/>
        </w:rPr>
        <w:t>la taxe sur la force motrice ;</w:t>
      </w:r>
    </w:p>
    <w:p w14:paraId="6A2D8D7D" w14:textId="77777777" w:rsidR="008A5377" w:rsidRPr="00F91BDD" w:rsidRDefault="008A5377">
      <w:pPr>
        <w:pStyle w:val="Paragraphedeliste"/>
        <w:numPr>
          <w:ilvl w:val="0"/>
          <w:numId w:val="68"/>
        </w:numPr>
        <w:tabs>
          <w:tab w:val="left" w:pos="-148"/>
          <w:tab w:val="left" w:pos="360"/>
        </w:tabs>
        <w:spacing w:before="120" w:after="120" w:line="240" w:lineRule="auto"/>
        <w:contextualSpacing w:val="0"/>
        <w:textAlignment w:val="baseline"/>
        <w:rPr>
          <w:rFonts w:cs="Calibri Light"/>
          <w:spacing w:val="-1"/>
        </w:rPr>
      </w:pPr>
      <w:r w:rsidRPr="00F91BDD">
        <w:rPr>
          <w:rFonts w:cs="Calibri Light"/>
          <w:spacing w:val="-1"/>
        </w:rPr>
        <w:t>la taxe sur les établissements dangereux, insalubres et incommodes ;</w:t>
      </w:r>
    </w:p>
    <w:p w14:paraId="7099D24B" w14:textId="77777777" w:rsidR="008A5377" w:rsidRPr="00F91BDD" w:rsidRDefault="008A5377">
      <w:pPr>
        <w:pStyle w:val="Paragraphedeliste"/>
        <w:numPr>
          <w:ilvl w:val="0"/>
          <w:numId w:val="68"/>
        </w:numPr>
        <w:tabs>
          <w:tab w:val="left" w:pos="-148"/>
          <w:tab w:val="left" w:pos="360"/>
        </w:tabs>
        <w:spacing w:before="120" w:after="120" w:line="240" w:lineRule="auto"/>
        <w:contextualSpacing w:val="0"/>
        <w:textAlignment w:val="baseline"/>
        <w:rPr>
          <w:rFonts w:cs="Calibri Light"/>
          <w:spacing w:val="-1"/>
        </w:rPr>
      </w:pPr>
      <w:r w:rsidRPr="00F91BDD">
        <w:rPr>
          <w:rFonts w:cs="Calibri Light"/>
          <w:spacing w:val="-1"/>
        </w:rPr>
        <w:t>la taxe sur les constructions ;</w:t>
      </w:r>
    </w:p>
    <w:p w14:paraId="582577F0" w14:textId="77777777" w:rsidR="008A5377" w:rsidRPr="00F91BDD" w:rsidRDefault="008A5377">
      <w:pPr>
        <w:pStyle w:val="Paragraphedeliste"/>
        <w:numPr>
          <w:ilvl w:val="0"/>
          <w:numId w:val="68"/>
        </w:numPr>
        <w:tabs>
          <w:tab w:val="left" w:pos="-148"/>
          <w:tab w:val="left" w:pos="360"/>
        </w:tabs>
        <w:spacing w:before="120" w:after="120" w:line="240" w:lineRule="auto"/>
        <w:contextualSpacing w:val="0"/>
        <w:textAlignment w:val="baseline"/>
        <w:rPr>
          <w:rFonts w:cs="Calibri Light"/>
          <w:spacing w:val="-2"/>
        </w:rPr>
      </w:pPr>
      <w:r w:rsidRPr="00F91BDD">
        <w:rPr>
          <w:rFonts w:cs="Calibri Light"/>
          <w:spacing w:val="-2"/>
        </w:rPr>
        <w:t>la taxe sur les tanks et réservoirs ;</w:t>
      </w:r>
    </w:p>
    <w:p w14:paraId="30771339" w14:textId="77777777" w:rsidR="008A5377" w:rsidRPr="00F91BDD" w:rsidRDefault="008A5377">
      <w:pPr>
        <w:pStyle w:val="Paragraphedeliste"/>
        <w:numPr>
          <w:ilvl w:val="0"/>
          <w:numId w:val="68"/>
        </w:numPr>
        <w:tabs>
          <w:tab w:val="left" w:pos="-148"/>
          <w:tab w:val="left" w:pos="360"/>
        </w:tabs>
        <w:spacing w:before="120" w:after="120" w:line="240" w:lineRule="auto"/>
        <w:contextualSpacing w:val="0"/>
        <w:textAlignment w:val="baseline"/>
        <w:rPr>
          <w:rFonts w:cs="Calibri Light"/>
          <w:spacing w:val="-1"/>
        </w:rPr>
      </w:pPr>
      <w:r w:rsidRPr="00F91BDD">
        <w:rPr>
          <w:rFonts w:cs="Calibri Light"/>
          <w:spacing w:val="-1"/>
        </w:rPr>
        <w:t>la taxe sur les enseignes et publicités assimilées ;</w:t>
      </w:r>
    </w:p>
    <w:p w14:paraId="63292DCC" w14:textId="77777777" w:rsidR="008A5377" w:rsidRPr="00F91BDD" w:rsidRDefault="008A5377">
      <w:pPr>
        <w:pStyle w:val="Paragraphedeliste"/>
        <w:numPr>
          <w:ilvl w:val="0"/>
          <w:numId w:val="68"/>
        </w:numPr>
        <w:tabs>
          <w:tab w:val="left" w:pos="-148"/>
          <w:tab w:val="left" w:pos="360"/>
        </w:tabs>
        <w:spacing w:before="120" w:after="120" w:line="240" w:lineRule="auto"/>
        <w:contextualSpacing w:val="0"/>
        <w:textAlignment w:val="baseline"/>
        <w:rPr>
          <w:rFonts w:cs="Calibri Light"/>
        </w:rPr>
      </w:pPr>
      <w:r w:rsidRPr="00F91BDD">
        <w:rPr>
          <w:rFonts w:cs="Calibri Light"/>
        </w:rPr>
        <w:t>la taxe industrielle compensatoire ;</w:t>
      </w:r>
    </w:p>
    <w:p w14:paraId="3DCEDEE0" w14:textId="77777777" w:rsidR="008A5377" w:rsidRPr="008E7CCB" w:rsidRDefault="008A5377">
      <w:pPr>
        <w:pStyle w:val="Paragraphedeliste"/>
        <w:numPr>
          <w:ilvl w:val="0"/>
          <w:numId w:val="68"/>
        </w:numPr>
        <w:tabs>
          <w:tab w:val="left" w:pos="-148"/>
          <w:tab w:val="left" w:pos="360"/>
        </w:tabs>
        <w:spacing w:before="120" w:after="120" w:line="240" w:lineRule="auto"/>
        <w:contextualSpacing w:val="0"/>
        <w:textAlignment w:val="baseline"/>
        <w:rPr>
          <w:rFonts w:cs="Calibri Light"/>
          <w:spacing w:val="-1"/>
        </w:rPr>
      </w:pPr>
      <w:r w:rsidRPr="00F91BDD">
        <w:rPr>
          <w:rFonts w:cs="Calibri Light"/>
          <w:spacing w:val="-1"/>
        </w:rPr>
        <w:t>les diverses taxes sur le patrimoine industriel.</w:t>
      </w:r>
    </w:p>
    <w:p w14:paraId="3BB446F6" w14:textId="27B4327B" w:rsidR="002470D7" w:rsidRPr="005C4637" w:rsidRDefault="002470D7" w:rsidP="005B68CD">
      <w:pPr>
        <w:pStyle w:val="Titre3"/>
      </w:pPr>
      <w:bookmarkStart w:id="811" w:name="_Toc225504278"/>
      <w:bookmarkStart w:id="812" w:name="_Toc225772367"/>
      <w:bookmarkStart w:id="813" w:name="_Toc233626236"/>
      <w:r w:rsidRPr="005C4637">
        <w:t>Exonération en faveur des bâtiments publics</w:t>
      </w:r>
      <w:bookmarkEnd w:id="811"/>
      <w:bookmarkEnd w:id="812"/>
      <w:bookmarkEnd w:id="813"/>
    </w:p>
    <w:p w14:paraId="0E13158D" w14:textId="77777777" w:rsidR="002470D7" w:rsidRPr="005C4637" w:rsidRDefault="002470D7">
      <w:pPr>
        <w:pStyle w:val="Titre4"/>
        <w:numPr>
          <w:ilvl w:val="0"/>
          <w:numId w:val="69"/>
        </w:numPr>
      </w:pPr>
      <w:r w:rsidRPr="005C4637">
        <w:t>Peut-on exonérer sans restriction les personnes morales de droit public ?</w:t>
      </w:r>
    </w:p>
    <w:p w14:paraId="0D2E85F6" w14:textId="718AD7A6" w:rsidR="002470D7" w:rsidRPr="005C4637" w:rsidRDefault="002470D7" w:rsidP="002470D7">
      <w:r w:rsidRPr="005C4637">
        <w:t>Oui, à condition de motiver objectivement dans le préambule et le dossier administratif (but et nature de l’impôt) tout traitement différencié, sous peine d’illégalité</w:t>
      </w:r>
      <w:r w:rsidR="001F36A1" w:rsidRPr="00F91BDD">
        <w:rPr>
          <w:rStyle w:val="Appelnotedebasdep"/>
          <w:rFonts w:cs="Calibri Light"/>
        </w:rPr>
        <w:footnoteReference w:id="34"/>
      </w:r>
      <w:r w:rsidRPr="005C4637">
        <w:t>.</w:t>
      </w:r>
    </w:p>
    <w:p w14:paraId="4CD5E9A3" w14:textId="77777777" w:rsidR="002470D7" w:rsidRPr="005C4637" w:rsidRDefault="002470D7">
      <w:pPr>
        <w:pStyle w:val="Titre4"/>
        <w:numPr>
          <w:ilvl w:val="0"/>
          <w:numId w:val="69"/>
        </w:numPr>
      </w:pPr>
      <w:r w:rsidRPr="005C4637">
        <w:t>Les biens publics sont-ils imposables ?</w:t>
      </w:r>
    </w:p>
    <w:p w14:paraId="4570DFB1" w14:textId="003E10D2" w:rsidR="002470D7" w:rsidRPr="005C4637" w:rsidRDefault="002470D7" w:rsidP="002470D7">
      <w:r w:rsidRPr="005C4637">
        <w:t>Les biens du domaine public et les biens du domaine privé entièrement affectés à un service d’utilité générale ne sont pas soumis à l’impôt</w:t>
      </w:r>
      <w:r w:rsidR="00F65E02" w:rsidRPr="00F91BDD">
        <w:rPr>
          <w:rStyle w:val="Appelnotedebasdep"/>
          <w:rFonts w:cs="Calibri Light"/>
        </w:rPr>
        <w:footnoteReference w:id="35"/>
      </w:r>
      <w:r w:rsidRPr="005C4637">
        <w:t xml:space="preserve"> (il ne s’agit pas d’une ‘exonération’ mais d’une non‑assujettissement découlant de la notion d’impôt).</w:t>
      </w:r>
    </w:p>
    <w:p w14:paraId="16425C19" w14:textId="77777777" w:rsidR="002470D7" w:rsidRPr="005C4637" w:rsidRDefault="002470D7">
      <w:pPr>
        <w:pStyle w:val="Titre4"/>
        <w:numPr>
          <w:ilvl w:val="0"/>
          <w:numId w:val="69"/>
        </w:numPr>
      </w:pPr>
      <w:r w:rsidRPr="005C4637">
        <w:lastRenderedPageBreak/>
        <w:t>Une autorité peut-elle se taxer elle-même ?</w:t>
      </w:r>
    </w:p>
    <w:p w14:paraId="0AD3F9E9" w14:textId="77777777" w:rsidR="002470D7" w:rsidRPr="005C4637" w:rsidRDefault="002470D7" w:rsidP="002470D7">
      <w:r w:rsidRPr="005C4637">
        <w:t>Oui. Il n’existe pas de principe général interdisant l’auto‑taxation ; cela ne justifie pas d’exempter d’autres sujets de droit. L’immunité ne vaut que pour des biens du domaine public ou des biens du domaine privé utilisés pour le service public.</w:t>
      </w:r>
    </w:p>
    <w:p w14:paraId="0127166C" w14:textId="37A49199" w:rsidR="002470D7" w:rsidRPr="005C4637" w:rsidRDefault="002470D7" w:rsidP="35BD9115">
      <w:pPr>
        <w:pStyle w:val="Titre3"/>
      </w:pPr>
      <w:bookmarkStart w:id="814" w:name="_Toc225504279"/>
      <w:bookmarkStart w:id="815" w:name="_Toc225772368"/>
      <w:bookmarkStart w:id="816" w:name="_Toc233626237"/>
      <w:r w:rsidRPr="005C4637">
        <w:t>Taxes additionnelles aux taxes provinciales</w:t>
      </w:r>
      <w:bookmarkEnd w:id="814"/>
      <w:bookmarkEnd w:id="815"/>
      <w:bookmarkEnd w:id="816"/>
    </w:p>
    <w:p w14:paraId="5393D83E" w14:textId="77777777" w:rsidR="002470D7" w:rsidRPr="005C4637" w:rsidRDefault="002470D7" w:rsidP="008430E5">
      <w:pPr>
        <w:pStyle w:val="Titre4"/>
        <w:ind w:left="360"/>
      </w:pPr>
      <w:r w:rsidRPr="005C4637">
        <w:t>Peut-on encore percevoir un additionnel communal à une taxe provinciale ?</w:t>
      </w:r>
    </w:p>
    <w:p w14:paraId="69DBA667" w14:textId="77777777" w:rsidR="002470D7" w:rsidRPr="005C4637" w:rsidRDefault="002470D7" w:rsidP="002470D7">
      <w:r w:rsidRPr="005C4637">
        <w:t>Non : il n’existe plus de base légale suffisante pour percevoir/recouvrer un tel additionnel.</w:t>
      </w:r>
    </w:p>
    <w:p w14:paraId="2A8BA798" w14:textId="015E43CD" w:rsidR="002470D7" w:rsidRPr="005C4637" w:rsidRDefault="002470D7" w:rsidP="35BD9115">
      <w:pPr>
        <w:pStyle w:val="Titre3"/>
      </w:pPr>
      <w:bookmarkStart w:id="817" w:name="_Toc225504280"/>
      <w:bookmarkStart w:id="818" w:name="_Toc225772369"/>
      <w:bookmarkStart w:id="819" w:name="_Toc233626238"/>
      <w:r w:rsidRPr="005C4637">
        <w:t>Code du recouvrement amiable et forcé (CRAF)</w:t>
      </w:r>
      <w:bookmarkEnd w:id="817"/>
      <w:bookmarkEnd w:id="818"/>
      <w:bookmarkEnd w:id="819"/>
    </w:p>
    <w:p w14:paraId="4AA93474" w14:textId="77777777" w:rsidR="002470D7" w:rsidRPr="005C4637" w:rsidRDefault="002470D7">
      <w:pPr>
        <w:pStyle w:val="Titre4"/>
        <w:numPr>
          <w:ilvl w:val="0"/>
          <w:numId w:val="70"/>
        </w:numPr>
      </w:pPr>
      <w:r w:rsidRPr="005C4637">
        <w:t>Le CRAF s’applique-t-il aux taxes locales ?</w:t>
      </w:r>
    </w:p>
    <w:p w14:paraId="584E35DC" w14:textId="77777777" w:rsidR="002470D7" w:rsidRPr="005C4637" w:rsidRDefault="002470D7" w:rsidP="002470D7">
      <w:r w:rsidRPr="005C4637">
        <w:t>Oui, par renvoi de l’article L3321-12 du CDLD, pour autant qu’il ne s’agisse pas de dispositions propres aux impôts sur les revenus. Le CRAF ne vise pas les créances non fiscales (redevances).</w:t>
      </w:r>
    </w:p>
    <w:p w14:paraId="4B750C18" w14:textId="1628C850" w:rsidR="002470D7" w:rsidRPr="005C4637" w:rsidRDefault="002470D7">
      <w:pPr>
        <w:pStyle w:val="Titre4"/>
        <w:numPr>
          <w:ilvl w:val="0"/>
          <w:numId w:val="70"/>
        </w:numPr>
      </w:pPr>
      <w:r w:rsidRPr="005C4637">
        <w:t>Quel est le délai de prescription sous le CRAF ?</w:t>
      </w:r>
    </w:p>
    <w:p w14:paraId="645DC005" w14:textId="77777777" w:rsidR="002470D7" w:rsidRPr="005C4637" w:rsidRDefault="002470D7" w:rsidP="002470D7">
      <w:r w:rsidRPr="005C4637">
        <w:t>Cinq ans à dater de l’exécutoire du rôle (art. 23 §1er CRAF).</w:t>
      </w:r>
    </w:p>
    <w:p w14:paraId="7B9C6EB5" w14:textId="13E6C731" w:rsidR="002470D7" w:rsidRPr="005C4637" w:rsidRDefault="002470D7" w:rsidP="35BD9115">
      <w:pPr>
        <w:pStyle w:val="Titre3"/>
      </w:pPr>
      <w:bookmarkStart w:id="820" w:name="_Toc225504281"/>
      <w:bookmarkStart w:id="821" w:name="_Toc225772370"/>
      <w:bookmarkStart w:id="822" w:name="_Toc233626239"/>
      <w:r>
        <w:t>Recouvrement des taxes : amiable et forcé</w:t>
      </w:r>
      <w:bookmarkEnd w:id="820"/>
      <w:bookmarkEnd w:id="821"/>
      <w:bookmarkEnd w:id="822"/>
    </w:p>
    <w:p w14:paraId="2B086DCC" w14:textId="459D3CA0" w:rsidR="42AEF230" w:rsidRDefault="715A433C" w:rsidP="008E1F0E">
      <w:pPr>
        <w:rPr>
          <w:rFonts w:ascii="Cambria" w:eastAsia="MS Mincho" w:hAnsi="Cambria" w:cs="Arial"/>
          <w:lang w:val="fr"/>
        </w:rPr>
      </w:pPr>
      <w:r w:rsidRPr="42E2FCEB">
        <w:rPr>
          <w:rFonts w:ascii="Cambria" w:eastAsia="MS Mincho" w:hAnsi="Cambria" w:cs="Arial"/>
          <w:lang w:val="fr"/>
        </w:rPr>
        <w:t xml:space="preserve">Les dispositions relatives au recouvrement des taxes en cas de non-paiement de ces dernières par un redevable contenues dans le CRAF, ne sont pas applicables aux taxes communales/provinciales. </w:t>
      </w:r>
    </w:p>
    <w:p w14:paraId="5E1C066D" w14:textId="02D2D7D3" w:rsidR="5EFBFFCA" w:rsidRDefault="42AEF230" w:rsidP="5EFBFFCA">
      <w:r w:rsidRPr="5EFBFFCA">
        <w:rPr>
          <w:rFonts w:ascii="Cambria" w:eastAsia="MS Mincho" w:hAnsi="Cambria" w:cs="Arial"/>
          <w:lang w:val="fr-FR"/>
        </w:rPr>
        <w:t>Ceci s’explique par le fait que cette matière est expressément prévue par le CDLD à l’article L3321-8 bis. Il est important de préciser que la disposition précitée ne concerne que le recouvrement forcé</w:t>
      </w:r>
      <w:r w:rsidR="00A6630A">
        <w:rPr>
          <w:rFonts w:ascii="Cambria" w:eastAsia="MS Mincho" w:hAnsi="Cambria" w:cs="Arial"/>
          <w:lang w:val="fr-FR"/>
        </w:rPr>
        <w:t>.</w:t>
      </w:r>
    </w:p>
    <w:p w14:paraId="3B500F5D" w14:textId="77777777" w:rsidR="002470D7" w:rsidRPr="005C4637" w:rsidRDefault="002470D7">
      <w:pPr>
        <w:pStyle w:val="Titre4"/>
        <w:numPr>
          <w:ilvl w:val="0"/>
          <w:numId w:val="72"/>
        </w:numPr>
      </w:pPr>
      <w:r w:rsidRPr="005C4637">
        <w:t>Que peut prévoir la commune en recouvrement amiable ?</w:t>
      </w:r>
    </w:p>
    <w:p w14:paraId="096A3523" w14:textId="77777777" w:rsidR="002470D7" w:rsidRPr="005C4637" w:rsidRDefault="002470D7" w:rsidP="002470D7">
      <w:r w:rsidRPr="005C4637">
        <w:t>Le CDLD ne contient pas de règles spécifiques ; le règlement‑taxe peut prévoir un premier rappel (pli simple ou recommandé), obligatoirement gratuit. Seuls les frais postaux d’une sommation recommandée (recouvrement forcé) sont récupérables.</w:t>
      </w:r>
    </w:p>
    <w:p w14:paraId="4A8524BB" w14:textId="77777777" w:rsidR="002470D7" w:rsidRPr="005C4637" w:rsidRDefault="002470D7">
      <w:pPr>
        <w:pStyle w:val="Titre4"/>
        <w:numPr>
          <w:ilvl w:val="0"/>
          <w:numId w:val="72"/>
        </w:numPr>
      </w:pPr>
      <w:r w:rsidRPr="005C4637">
        <w:t>Qu’impose l’article L3321-8bis pour le recouvrement forcé ?</w:t>
      </w:r>
    </w:p>
    <w:p w14:paraId="70DEE96E" w14:textId="3B671692" w:rsidR="002470D7" w:rsidRDefault="002470D7" w:rsidP="002470D7">
      <w:r w:rsidRPr="005C4637">
        <w:t xml:space="preserve">Une sommation de payer par recommandé, dont les frais postaux peuvent être mis à charge du redevable si le règlement‑taxe le prévoit. </w:t>
      </w:r>
    </w:p>
    <w:p w14:paraId="78DC0377" w14:textId="08ECE97D" w:rsidR="00CB1877" w:rsidRPr="00F91BDD" w:rsidRDefault="00CB1877" w:rsidP="00CB1877">
      <w:pPr>
        <w:spacing w:before="120" w:line="259" w:lineRule="auto"/>
        <w:rPr>
          <w:rFonts w:eastAsia="Calibri"/>
        </w:rPr>
      </w:pPr>
      <w:r>
        <w:rPr>
          <w:rFonts w:eastAsia="Calibri"/>
        </w:rPr>
        <w:t>L</w:t>
      </w:r>
      <w:r w:rsidRPr="00F91BDD">
        <w:rPr>
          <w:rFonts w:eastAsia="Calibri"/>
        </w:rPr>
        <w:t xml:space="preserve">a sommation adressée au redevable ne peut être envoyée qu’à l’expiration d’un délai de </w:t>
      </w:r>
      <w:r w:rsidRPr="00F91BDD">
        <w:rPr>
          <w:rFonts w:eastAsia="Calibri"/>
          <w:b/>
          <w:bCs/>
        </w:rPr>
        <w:t>10 jours à compter du 1er jour suivant</w:t>
      </w:r>
      <w:r w:rsidRPr="00F91BDD">
        <w:rPr>
          <w:rFonts w:eastAsia="Calibri"/>
        </w:rPr>
        <w:t xml:space="preserve"> l’échéance légale de paiement de la créance.</w:t>
      </w:r>
    </w:p>
    <w:p w14:paraId="2B7DEFE2" w14:textId="77777777" w:rsidR="00CB1877" w:rsidRPr="00F91BDD" w:rsidRDefault="00CB1877" w:rsidP="00CB1877">
      <w:pPr>
        <w:spacing w:before="120" w:line="259" w:lineRule="auto"/>
        <w:rPr>
          <w:rFonts w:eastAsia="Calibri"/>
        </w:rPr>
      </w:pPr>
      <w:r w:rsidRPr="00F91BDD">
        <w:rPr>
          <w:rFonts w:eastAsia="Calibri"/>
        </w:rPr>
        <w:t xml:space="preserve">La sommation de payer n’a effet qu’à partir du 3ème jour ouvrable qui suit la date de son envoi au redevable. </w:t>
      </w:r>
    </w:p>
    <w:p w14:paraId="19686A20" w14:textId="77777777" w:rsidR="00CB1877" w:rsidRPr="00F91BDD" w:rsidRDefault="00CB1877" w:rsidP="00CB1877">
      <w:pPr>
        <w:spacing w:before="120" w:line="259" w:lineRule="auto"/>
        <w:rPr>
          <w:rFonts w:eastAsia="Calibri"/>
        </w:rPr>
      </w:pPr>
      <w:r w:rsidRPr="00F91BDD">
        <w:rPr>
          <w:rFonts w:eastAsia="Calibri"/>
        </w:rPr>
        <w:t xml:space="preserve">Cette disposition prévoit aussi l’obligation d’attendre un </w:t>
      </w:r>
      <w:r w:rsidRPr="00F91BDD">
        <w:rPr>
          <w:rFonts w:eastAsia="Calibri"/>
          <w:b/>
          <w:bCs/>
        </w:rPr>
        <w:t>délai d’un mois</w:t>
      </w:r>
      <w:r w:rsidRPr="00F91BDD">
        <w:rPr>
          <w:rFonts w:eastAsia="Calibri"/>
        </w:rPr>
        <w:t xml:space="preserve"> à compter de la date d’effet de la sommation de payer avant de recouvrer la créance par une première voie d’exécution. Toutefois, si les droits du Trésor sont en péril, la créance pourra être recouvrée par voie d’exécution dès la date d’effet de la sommation de payer.</w:t>
      </w:r>
    </w:p>
    <w:p w14:paraId="55BC09DE" w14:textId="77777777" w:rsidR="00CB1877" w:rsidRPr="00F91BDD" w:rsidRDefault="00CB1877" w:rsidP="00CB1877">
      <w:pPr>
        <w:spacing w:before="120" w:line="259" w:lineRule="auto"/>
        <w:rPr>
          <w:rFonts w:eastAsia="Calibri"/>
        </w:rPr>
      </w:pPr>
      <w:r w:rsidRPr="00F91BDD">
        <w:rPr>
          <w:rFonts w:eastAsia="Calibri"/>
        </w:rPr>
        <w:lastRenderedPageBreak/>
        <w:t>Concrètement, si l’échéance de paiement arrive le 14 mai 2020, la computation se fait de la manière suivante :</w:t>
      </w:r>
    </w:p>
    <w:p w14:paraId="29D364FD" w14:textId="77777777" w:rsidR="00CB1877" w:rsidRPr="00F91BDD" w:rsidRDefault="00CB1877" w:rsidP="00CB1877">
      <w:pPr>
        <w:spacing w:before="120" w:line="259" w:lineRule="auto"/>
        <w:rPr>
          <w:rFonts w:eastAsia="Calibri"/>
        </w:rPr>
      </w:pPr>
      <w:r w:rsidRPr="00F91BDD">
        <w:rPr>
          <w:rFonts w:eastAsia="Calibri"/>
        </w:rPr>
        <w:t xml:space="preserve">Depuis le </w:t>
      </w:r>
      <w:r w:rsidRPr="00F91BDD">
        <w:rPr>
          <w:rFonts w:eastAsia="Calibri"/>
          <w:b/>
          <w:bCs/>
        </w:rPr>
        <w:t>15 mai 2020</w:t>
      </w:r>
      <w:r w:rsidRPr="00F91BDD">
        <w:rPr>
          <w:rFonts w:eastAsia="Calibri"/>
        </w:rPr>
        <w:t xml:space="preserve">, il y a lieu de tenir compte d’un délai d’attente de </w:t>
      </w:r>
      <w:r w:rsidRPr="00F91BDD">
        <w:rPr>
          <w:rFonts w:eastAsia="Calibri"/>
          <w:b/>
          <w:bCs/>
        </w:rPr>
        <w:t>10 jours</w:t>
      </w:r>
      <w:r w:rsidRPr="00F91BDD">
        <w:rPr>
          <w:rFonts w:eastAsia="Calibri"/>
        </w:rPr>
        <w:t xml:space="preserve"> → On envoie la sommation de payer le </w:t>
      </w:r>
      <w:r w:rsidRPr="00F91BDD">
        <w:rPr>
          <w:rFonts w:eastAsia="Calibri"/>
          <w:b/>
          <w:bCs/>
        </w:rPr>
        <w:t>25 mai 2020</w:t>
      </w:r>
      <w:r w:rsidRPr="00F91BDD">
        <w:rPr>
          <w:rFonts w:eastAsia="Calibri"/>
        </w:rPr>
        <w:t xml:space="preserve">. À partir de cette date, on compte </w:t>
      </w:r>
      <w:r w:rsidRPr="00F91BDD">
        <w:rPr>
          <w:rFonts w:eastAsia="Calibri"/>
          <w:b/>
          <w:bCs/>
        </w:rPr>
        <w:t xml:space="preserve">3 jours ouvrables </w:t>
      </w:r>
      <w:r w:rsidRPr="00F91BDD">
        <w:rPr>
          <w:rFonts w:eastAsia="Calibri"/>
        </w:rPr>
        <w:t xml:space="preserve">→ On considère qu’il est reçu le </w:t>
      </w:r>
      <w:r w:rsidRPr="00F91BDD">
        <w:rPr>
          <w:rFonts w:eastAsia="Calibri"/>
          <w:b/>
          <w:bCs/>
        </w:rPr>
        <w:t>28 mai 2020</w:t>
      </w:r>
      <w:r w:rsidRPr="00F91BDD">
        <w:rPr>
          <w:rFonts w:eastAsia="Calibri"/>
        </w:rPr>
        <w:t xml:space="preserve">.  Il faut alors attendre </w:t>
      </w:r>
      <w:r w:rsidRPr="00F91BDD">
        <w:rPr>
          <w:rFonts w:eastAsia="Calibri"/>
          <w:b/>
          <w:bCs/>
        </w:rPr>
        <w:t>1 mois</w:t>
      </w:r>
      <w:r w:rsidRPr="00F91BDD">
        <w:rPr>
          <w:rFonts w:eastAsia="Calibri"/>
        </w:rPr>
        <w:t xml:space="preserve"> avant de lancer la première voie d’exécution → le 27 juin 2020 étant un samedi. Cela sera possible dès le </w:t>
      </w:r>
      <w:r w:rsidRPr="00F91BDD">
        <w:rPr>
          <w:rFonts w:eastAsia="Calibri"/>
          <w:b/>
          <w:bCs/>
        </w:rPr>
        <w:t>29 juin 2020</w:t>
      </w:r>
      <w:r w:rsidRPr="00F91BDD">
        <w:rPr>
          <w:rFonts w:eastAsia="Calibri"/>
        </w:rPr>
        <w:t>.</w:t>
      </w:r>
    </w:p>
    <w:p w14:paraId="16F64995" w14:textId="77777777" w:rsidR="00CB1877" w:rsidRPr="005C4637" w:rsidRDefault="00CB1877" w:rsidP="002470D7"/>
    <w:p w14:paraId="32AE1673" w14:textId="77777777" w:rsidR="002470D7" w:rsidRPr="005C4637" w:rsidRDefault="002470D7">
      <w:pPr>
        <w:pStyle w:val="Titre4"/>
        <w:numPr>
          <w:ilvl w:val="0"/>
          <w:numId w:val="72"/>
        </w:numPr>
      </w:pPr>
      <w:r w:rsidRPr="005C4637">
        <w:t>Quel doit être le contenu de la sommation de payer ?</w:t>
      </w:r>
    </w:p>
    <w:p w14:paraId="00F22F0F" w14:textId="77777777" w:rsidR="001E3AFA" w:rsidRPr="00F91BDD" w:rsidRDefault="001E3AFA" w:rsidP="001E3AFA">
      <w:pPr>
        <w:spacing w:before="120" w:line="259" w:lineRule="auto"/>
        <w:rPr>
          <w:rFonts w:eastAsia="Calibri"/>
        </w:rPr>
      </w:pPr>
      <w:r w:rsidRPr="00F91BDD">
        <w:rPr>
          <w:rFonts w:eastAsia="Calibri"/>
        </w:rPr>
        <w:t>Désormais, une sommation de payer contenant de manière complète et non équivoque les données relatives à la créance doit être adressée au redevable à savoir :</w:t>
      </w:r>
    </w:p>
    <w:p w14:paraId="660411D6" w14:textId="77777777" w:rsidR="001E3AFA" w:rsidRPr="00F91BDD" w:rsidRDefault="001E3AFA">
      <w:pPr>
        <w:numPr>
          <w:ilvl w:val="0"/>
          <w:numId w:val="71"/>
        </w:numPr>
        <w:spacing w:before="120" w:after="120" w:line="259" w:lineRule="auto"/>
        <w:contextualSpacing/>
        <w:rPr>
          <w:rFonts w:eastAsia="Calibri"/>
        </w:rPr>
      </w:pPr>
      <w:r w:rsidRPr="00F91BDD">
        <w:rPr>
          <w:rFonts w:eastAsia="Calibri"/>
        </w:rPr>
        <w:t>Mentionner qu’il s’agit d’une sommation de payer envoyée conformément à l’article L3321-8bis du CDLD ;</w:t>
      </w:r>
    </w:p>
    <w:p w14:paraId="452D3235" w14:textId="77777777" w:rsidR="001E3AFA" w:rsidRPr="00F91BDD" w:rsidRDefault="001E3AFA">
      <w:pPr>
        <w:numPr>
          <w:ilvl w:val="0"/>
          <w:numId w:val="71"/>
        </w:numPr>
        <w:spacing w:before="120" w:after="120" w:line="259" w:lineRule="auto"/>
        <w:contextualSpacing/>
        <w:rPr>
          <w:rFonts w:eastAsia="Calibri"/>
        </w:rPr>
      </w:pPr>
      <w:r w:rsidRPr="00F91BDD">
        <w:rPr>
          <w:rFonts w:eastAsia="Calibri"/>
        </w:rPr>
        <w:t>Les nom, prénom ou dénomination sociale et l’adresse du redevable ;</w:t>
      </w:r>
    </w:p>
    <w:p w14:paraId="71EBFD08" w14:textId="77777777" w:rsidR="001E3AFA" w:rsidRPr="00F91BDD" w:rsidRDefault="001E3AFA">
      <w:pPr>
        <w:numPr>
          <w:ilvl w:val="0"/>
          <w:numId w:val="71"/>
        </w:numPr>
        <w:spacing w:before="120" w:after="120" w:line="259" w:lineRule="auto"/>
        <w:contextualSpacing/>
        <w:rPr>
          <w:rFonts w:eastAsia="Calibri"/>
        </w:rPr>
      </w:pPr>
      <w:r w:rsidRPr="00F91BDD">
        <w:rPr>
          <w:rFonts w:eastAsia="Calibri"/>
        </w:rPr>
        <w:t>La date et le libellé du règlement en vertu duquel la taxe est due ;</w:t>
      </w:r>
    </w:p>
    <w:p w14:paraId="05571DB0" w14:textId="77777777" w:rsidR="001E3AFA" w:rsidRPr="00F91BDD" w:rsidRDefault="001E3AFA">
      <w:pPr>
        <w:numPr>
          <w:ilvl w:val="0"/>
          <w:numId w:val="71"/>
        </w:numPr>
        <w:spacing w:before="120" w:after="120" w:line="259" w:lineRule="auto"/>
        <w:contextualSpacing/>
        <w:rPr>
          <w:rFonts w:eastAsia="Calibri"/>
        </w:rPr>
      </w:pPr>
      <w:r w:rsidRPr="00F91BDD">
        <w:rPr>
          <w:rFonts w:eastAsia="Calibri"/>
        </w:rPr>
        <w:t>La date du visa exécutoire du rôle ;</w:t>
      </w:r>
    </w:p>
    <w:p w14:paraId="7A1A8D20" w14:textId="77777777" w:rsidR="001E3AFA" w:rsidRPr="00F91BDD" w:rsidRDefault="001E3AFA">
      <w:pPr>
        <w:numPr>
          <w:ilvl w:val="0"/>
          <w:numId w:val="71"/>
        </w:numPr>
        <w:spacing w:before="120" w:after="120" w:line="259" w:lineRule="auto"/>
        <w:contextualSpacing/>
        <w:rPr>
          <w:rFonts w:eastAsia="Calibri"/>
        </w:rPr>
      </w:pPr>
      <w:r w:rsidRPr="00F91BDD">
        <w:rPr>
          <w:rFonts w:eastAsia="Calibri"/>
        </w:rPr>
        <w:t>Le montant de la taxe, en principal, intérêts et frais (frais postaux si mis à charge du redevable dans le règlement) ;</w:t>
      </w:r>
    </w:p>
    <w:p w14:paraId="67A4FA8F" w14:textId="77777777" w:rsidR="001E3AFA" w:rsidRPr="00F91BDD" w:rsidRDefault="001E3AFA">
      <w:pPr>
        <w:numPr>
          <w:ilvl w:val="0"/>
          <w:numId w:val="71"/>
        </w:numPr>
        <w:spacing w:before="120" w:after="120" w:line="259" w:lineRule="auto"/>
        <w:contextualSpacing/>
        <w:rPr>
          <w:rFonts w:eastAsia="Calibri"/>
        </w:rPr>
      </w:pPr>
      <w:r w:rsidRPr="00F91BDD">
        <w:rPr>
          <w:rFonts w:eastAsia="Calibri"/>
        </w:rPr>
        <w:t>L’exercice auquel se rapporte la taxe ;</w:t>
      </w:r>
    </w:p>
    <w:p w14:paraId="3F2D3C8E" w14:textId="77777777" w:rsidR="001E3AFA" w:rsidRPr="00F91BDD" w:rsidRDefault="001E3AFA">
      <w:pPr>
        <w:numPr>
          <w:ilvl w:val="0"/>
          <w:numId w:val="71"/>
        </w:numPr>
        <w:spacing w:before="120" w:after="120" w:line="259" w:lineRule="auto"/>
        <w:contextualSpacing/>
        <w:rPr>
          <w:rFonts w:eastAsia="Calibri"/>
        </w:rPr>
      </w:pPr>
      <w:r w:rsidRPr="00F91BDD">
        <w:rPr>
          <w:rFonts w:eastAsia="Calibri"/>
        </w:rPr>
        <w:t>Le numéro d’article du rôle ;</w:t>
      </w:r>
    </w:p>
    <w:p w14:paraId="4578F00C" w14:textId="77777777" w:rsidR="001E3AFA" w:rsidRPr="00F91BDD" w:rsidRDefault="001E3AFA">
      <w:pPr>
        <w:numPr>
          <w:ilvl w:val="0"/>
          <w:numId w:val="71"/>
        </w:numPr>
        <w:spacing w:before="120" w:after="120" w:line="259" w:lineRule="auto"/>
        <w:contextualSpacing/>
        <w:rPr>
          <w:rFonts w:eastAsia="Calibri"/>
        </w:rPr>
      </w:pPr>
      <w:r w:rsidRPr="00F91BDD">
        <w:rPr>
          <w:rFonts w:eastAsia="Calibri"/>
        </w:rPr>
        <w:t>La date de l’envoi de l’avertissement extrait de rôle.</w:t>
      </w:r>
    </w:p>
    <w:p w14:paraId="4B9DDBBE" w14:textId="77777777" w:rsidR="001E3AFA" w:rsidRPr="00F91BDD" w:rsidRDefault="001E3AFA" w:rsidP="001E3AFA">
      <w:pPr>
        <w:spacing w:before="120" w:line="259" w:lineRule="auto"/>
        <w:ind w:left="1080"/>
        <w:contextualSpacing/>
        <w:rPr>
          <w:rFonts w:eastAsia="Calibri"/>
        </w:rPr>
      </w:pPr>
    </w:p>
    <w:p w14:paraId="0203EAA2" w14:textId="77777777" w:rsidR="001E3AFA" w:rsidRPr="00F91BDD" w:rsidRDefault="001E3AFA" w:rsidP="001E3AFA">
      <w:pPr>
        <w:spacing w:before="120" w:line="259" w:lineRule="auto"/>
        <w:rPr>
          <w:rFonts w:eastAsia="Calibri"/>
        </w:rPr>
      </w:pPr>
      <w:r w:rsidRPr="00F91BDD">
        <w:rPr>
          <w:rFonts w:eastAsia="Calibri"/>
        </w:rPr>
        <w:t>Lorsque le débiteur n’a pas de domicile/siège connu en Belgique ou à l’étranger, la sommation de payer doit être adressée au Procureur du Roi de Bruxelles.</w:t>
      </w:r>
    </w:p>
    <w:p w14:paraId="6B4CFDD3" w14:textId="77777777" w:rsidR="001E3AFA" w:rsidRPr="00F91BDD" w:rsidRDefault="001E3AFA" w:rsidP="001E3AFA">
      <w:pPr>
        <w:spacing w:before="120" w:line="259" w:lineRule="auto"/>
        <w:rPr>
          <w:rFonts w:eastAsia="Calibri"/>
        </w:rPr>
      </w:pPr>
      <w:r w:rsidRPr="00F91BDD">
        <w:rPr>
          <w:rFonts w:eastAsia="Calibri"/>
        </w:rPr>
        <w:t>En annexe, il doit être joint un duplicata conforme de l’original de l’avertissement extrait de rôle envoyé.</w:t>
      </w:r>
    </w:p>
    <w:p w14:paraId="03B2719B" w14:textId="5A6CD216" w:rsidR="001E3AFA" w:rsidRPr="00F91BDD" w:rsidRDefault="001E3AFA" w:rsidP="001E3AFA">
      <w:pPr>
        <w:spacing w:before="120" w:line="259" w:lineRule="auto"/>
        <w:rPr>
          <w:rFonts w:eastAsia="Calibri"/>
        </w:rPr>
      </w:pPr>
      <w:r w:rsidRPr="00F91BDD">
        <w:rPr>
          <w:rFonts w:eastAsia="Calibri"/>
        </w:rPr>
        <w:t xml:space="preserve">La sommation de payer telle que prévue par l’article </w:t>
      </w:r>
      <w:r w:rsidR="00E516D0">
        <w:rPr>
          <w:rFonts w:eastAsia="Calibri"/>
        </w:rPr>
        <w:t>L</w:t>
      </w:r>
      <w:r w:rsidRPr="00F91BDD">
        <w:rPr>
          <w:rFonts w:eastAsia="Calibri"/>
        </w:rPr>
        <w:t>3321-8 bis du CDLD vaut mise en demeure. Cela signifie donc qu’elle fait courir les intérêts de retard calculés au taux légal</w:t>
      </w:r>
      <w:r w:rsidRPr="00F91BDD">
        <w:rPr>
          <w:rStyle w:val="Appelnotedebasdep"/>
          <w:rFonts w:eastAsia="Calibri"/>
        </w:rPr>
        <w:footnoteReference w:id="36"/>
      </w:r>
      <w:r w:rsidRPr="00F91BDD">
        <w:rPr>
          <w:rFonts w:eastAsia="Calibri"/>
        </w:rPr>
        <w:t xml:space="preserve">.  </w:t>
      </w:r>
    </w:p>
    <w:p w14:paraId="2609727D" w14:textId="77777777" w:rsidR="002470D7" w:rsidRPr="005C4637" w:rsidRDefault="002470D7">
      <w:pPr>
        <w:pStyle w:val="Titre4"/>
        <w:numPr>
          <w:ilvl w:val="0"/>
          <w:numId w:val="72"/>
        </w:numPr>
      </w:pPr>
      <w:r w:rsidRPr="005C4637">
        <w:t>Peut-on poursuivre un codébiteur ?</w:t>
      </w:r>
    </w:p>
    <w:p w14:paraId="7623A6D7" w14:textId="6EE0F7B7" w:rsidR="004E0B30" w:rsidRPr="00F91BDD" w:rsidRDefault="002470D7" w:rsidP="004E0B30">
      <w:pPr>
        <w:spacing w:before="120"/>
      </w:pPr>
      <w:r w:rsidRPr="005C4637">
        <w:t xml:space="preserve">Oui. </w:t>
      </w:r>
      <w:r w:rsidR="004E0B30" w:rsidRPr="00F91BDD">
        <w:t xml:space="preserve">L’article L 3321-8 bis précité prévoit cette possibilité en son dernier alinéa. En effet, il est possible de poursuivre le remboursement de la créance à charge d’un codébiteur. </w:t>
      </w:r>
    </w:p>
    <w:p w14:paraId="50C488A1" w14:textId="77777777" w:rsidR="004E0B30" w:rsidRPr="00F91BDD" w:rsidRDefault="004E0B30" w:rsidP="004E0B30">
      <w:pPr>
        <w:spacing w:before="120"/>
      </w:pPr>
      <w:r w:rsidRPr="00F91BDD">
        <w:t xml:space="preserve">Par codébiteur, il faut entendre la personne qui n’est pas reprise au rôle et qui est tenue au paiement des taxes en vertu du CRAF ou des lois fiscales. </w:t>
      </w:r>
    </w:p>
    <w:p w14:paraId="1EBA7284" w14:textId="77777777" w:rsidR="004E0B30" w:rsidRPr="00F91BDD" w:rsidRDefault="004E0B30" w:rsidP="004E0B30">
      <w:pPr>
        <w:spacing w:before="120"/>
      </w:pPr>
      <w:r w:rsidRPr="00F91BDD">
        <w:t xml:space="preserve">Dans ce cas, la sommation de payer devra contenir les données relatives à la créance exprimées de manière complète et non équivoque. En outre, un duplicata de l’avertissement extrait de rôle envoyé au redevable devra être joint. Il devra également être fait mention dans </w:t>
      </w:r>
      <w:r w:rsidRPr="00F91BDD">
        <w:lastRenderedPageBreak/>
        <w:t xml:space="preserve">la sommation de payer des causes légales ou réglementaires de la créance ainsi que du montant à charge du codébiteur.  </w:t>
      </w:r>
    </w:p>
    <w:p w14:paraId="71C7E640" w14:textId="77777777" w:rsidR="004E0B30" w:rsidRPr="00F91BDD" w:rsidRDefault="004E0B30" w:rsidP="004E0B30">
      <w:pPr>
        <w:spacing w:before="120"/>
      </w:pPr>
      <w:r w:rsidRPr="00F91BDD">
        <w:t>L’envoi de cet exemplaire de l’avertissement extrait de rôle au codébiteur ouvre, en ce qui le concerne, les délais de réclamation visés aux articles 371 et 373 du code des impôts sur les revenus.</w:t>
      </w:r>
    </w:p>
    <w:p w14:paraId="2389651C" w14:textId="2F7FE0C2" w:rsidR="00833E30" w:rsidRPr="00D07EB5" w:rsidRDefault="00833E30">
      <w:pPr>
        <w:pStyle w:val="Titre4"/>
        <w:numPr>
          <w:ilvl w:val="0"/>
          <w:numId w:val="72"/>
        </w:numPr>
        <w:rPr>
          <w:b/>
        </w:rPr>
      </w:pPr>
      <w:bookmarkStart w:id="823" w:name="_Toc208420011"/>
      <w:r w:rsidRPr="003C1612">
        <w:t>Ex</w:t>
      </w:r>
      <w:r w:rsidRPr="00D07EB5">
        <w:t>écution forcée d’un rôle rendu exécutoire avec le concours d’un huissier de justice</w:t>
      </w:r>
      <w:bookmarkEnd w:id="823"/>
    </w:p>
    <w:p w14:paraId="68F8A615" w14:textId="77777777" w:rsidR="00833E30" w:rsidRPr="00F91BDD" w:rsidRDefault="00833E30" w:rsidP="00833E30">
      <w:pPr>
        <w:spacing w:before="120"/>
        <w:rPr>
          <w:rFonts w:eastAsia="Calibri"/>
        </w:rPr>
      </w:pPr>
      <w:r w:rsidRPr="00F91BDD">
        <w:rPr>
          <w:rFonts w:eastAsia="Calibri"/>
        </w:rPr>
        <w:t xml:space="preserve">L’exécution forcée d’un rôle rendu exécutoire avec le concours d’un huissier de justice se fait conformément aux dispositions du Code judiciaire. Afin qu’un commandement par voie d’huissier puisse être réalisé, il faudra transmettre aux huissiers de justice un duplicata de l’avertissement extrait de rôle avec les données relatives au débiteur ainsi que le montant des intérêts de retard et des frais administratifs. </w:t>
      </w:r>
    </w:p>
    <w:p w14:paraId="26085556" w14:textId="77777777" w:rsidR="00833E30" w:rsidRPr="00F91BDD" w:rsidRDefault="00833E30" w:rsidP="00833E30">
      <w:pPr>
        <w:spacing w:before="120"/>
        <w:rPr>
          <w:rFonts w:eastAsia="Calibri"/>
        </w:rPr>
      </w:pPr>
      <w:r w:rsidRPr="00F91BDD">
        <w:rPr>
          <w:rFonts w:eastAsia="Calibri"/>
        </w:rPr>
        <w:t xml:space="preserve">Afin de pouvoir recouvrir sur base de l’extrait de rôle, ce dernier devra contenir toute une série de mentions : </w:t>
      </w:r>
    </w:p>
    <w:p w14:paraId="28BE98B0" w14:textId="77777777" w:rsidR="00833E30" w:rsidRPr="00F91BDD" w:rsidRDefault="00833E30">
      <w:pPr>
        <w:numPr>
          <w:ilvl w:val="0"/>
          <w:numId w:val="71"/>
        </w:numPr>
        <w:spacing w:before="120" w:after="120" w:line="240" w:lineRule="auto"/>
        <w:ind w:left="1077" w:hanging="357"/>
        <w:rPr>
          <w:rFonts w:eastAsia="Calibri"/>
        </w:rPr>
      </w:pPr>
      <w:r w:rsidRPr="00F91BDD">
        <w:rPr>
          <w:rFonts w:eastAsia="Calibri"/>
        </w:rPr>
        <w:t>Le nom de la commune qui a établi la taxe ;</w:t>
      </w:r>
    </w:p>
    <w:p w14:paraId="32F4669D" w14:textId="77777777" w:rsidR="00833E30" w:rsidRPr="00F91BDD" w:rsidRDefault="00833E30">
      <w:pPr>
        <w:numPr>
          <w:ilvl w:val="0"/>
          <w:numId w:val="71"/>
        </w:numPr>
        <w:spacing w:before="120" w:after="120" w:line="240" w:lineRule="auto"/>
        <w:contextualSpacing/>
        <w:rPr>
          <w:rFonts w:eastAsia="Calibri"/>
        </w:rPr>
      </w:pPr>
      <w:r w:rsidRPr="00F91BDD">
        <w:rPr>
          <w:rFonts w:eastAsia="Calibri"/>
        </w:rPr>
        <w:t>Les nom, prénom ou dénomination sociale et l’adresse du redevable ;</w:t>
      </w:r>
    </w:p>
    <w:p w14:paraId="6511643C" w14:textId="77777777" w:rsidR="00833E30" w:rsidRPr="00F91BDD" w:rsidRDefault="00833E30">
      <w:pPr>
        <w:numPr>
          <w:ilvl w:val="0"/>
          <w:numId w:val="71"/>
        </w:numPr>
        <w:spacing w:before="120" w:after="120" w:line="240" w:lineRule="auto"/>
        <w:contextualSpacing/>
        <w:rPr>
          <w:rFonts w:eastAsia="Calibri"/>
        </w:rPr>
      </w:pPr>
      <w:r w:rsidRPr="00F91BDD">
        <w:rPr>
          <w:rFonts w:eastAsia="Calibri"/>
        </w:rPr>
        <w:t>La date et le libellé du règlement en vertu duquel la taxe est due ;</w:t>
      </w:r>
    </w:p>
    <w:p w14:paraId="673F2B69" w14:textId="77777777" w:rsidR="00833E30" w:rsidRPr="00F91BDD" w:rsidRDefault="00833E30">
      <w:pPr>
        <w:numPr>
          <w:ilvl w:val="0"/>
          <w:numId w:val="71"/>
        </w:numPr>
        <w:spacing w:before="120" w:after="120" w:line="240" w:lineRule="auto"/>
        <w:contextualSpacing/>
        <w:rPr>
          <w:rFonts w:eastAsia="Calibri"/>
        </w:rPr>
      </w:pPr>
      <w:r w:rsidRPr="00F91BDD">
        <w:rPr>
          <w:rFonts w:eastAsia="Calibri"/>
        </w:rPr>
        <w:t>La date du visa exécutoire du rôle ;</w:t>
      </w:r>
    </w:p>
    <w:p w14:paraId="7D713E45" w14:textId="77777777" w:rsidR="00833E30" w:rsidRPr="00F91BDD" w:rsidRDefault="00833E30">
      <w:pPr>
        <w:numPr>
          <w:ilvl w:val="0"/>
          <w:numId w:val="71"/>
        </w:numPr>
        <w:spacing w:before="120" w:after="120" w:line="240" w:lineRule="auto"/>
        <w:contextualSpacing/>
        <w:rPr>
          <w:rFonts w:eastAsia="Calibri"/>
        </w:rPr>
      </w:pPr>
      <w:r w:rsidRPr="00F91BDD">
        <w:rPr>
          <w:rFonts w:eastAsia="Calibri"/>
        </w:rPr>
        <w:t>Le montant de la taxe, en principal, intérêts et frais ;</w:t>
      </w:r>
    </w:p>
    <w:p w14:paraId="7C6EE92E" w14:textId="77777777" w:rsidR="00833E30" w:rsidRPr="00F91BDD" w:rsidRDefault="00833E30">
      <w:pPr>
        <w:numPr>
          <w:ilvl w:val="0"/>
          <w:numId w:val="71"/>
        </w:numPr>
        <w:spacing w:before="120" w:after="120" w:line="240" w:lineRule="auto"/>
        <w:contextualSpacing/>
        <w:rPr>
          <w:rFonts w:eastAsia="Calibri"/>
        </w:rPr>
      </w:pPr>
      <w:r w:rsidRPr="00F91BDD">
        <w:rPr>
          <w:rFonts w:eastAsia="Calibri"/>
        </w:rPr>
        <w:t>L’exercice auquel se rapporte la taxe ;</w:t>
      </w:r>
    </w:p>
    <w:p w14:paraId="45F47D53" w14:textId="77777777" w:rsidR="00833E30" w:rsidRPr="00F91BDD" w:rsidRDefault="00833E30">
      <w:pPr>
        <w:numPr>
          <w:ilvl w:val="0"/>
          <w:numId w:val="71"/>
        </w:numPr>
        <w:spacing w:before="120" w:after="120" w:line="240" w:lineRule="auto"/>
        <w:contextualSpacing/>
        <w:rPr>
          <w:rFonts w:eastAsia="Calibri"/>
        </w:rPr>
      </w:pPr>
      <w:r w:rsidRPr="00F91BDD">
        <w:rPr>
          <w:rFonts w:eastAsia="Calibri"/>
        </w:rPr>
        <w:t>Le numéro d’article du rôle ;</w:t>
      </w:r>
    </w:p>
    <w:p w14:paraId="4F78BD7B" w14:textId="77777777" w:rsidR="00833E30" w:rsidRPr="00F91BDD" w:rsidRDefault="00833E30">
      <w:pPr>
        <w:numPr>
          <w:ilvl w:val="0"/>
          <w:numId w:val="71"/>
        </w:numPr>
        <w:spacing w:before="120" w:after="120" w:line="240" w:lineRule="auto"/>
        <w:contextualSpacing/>
        <w:rPr>
          <w:rFonts w:eastAsia="Calibri"/>
        </w:rPr>
      </w:pPr>
      <w:r w:rsidRPr="00F91BDD">
        <w:rPr>
          <w:rFonts w:eastAsia="Calibri"/>
        </w:rPr>
        <w:t>La date de l’envoie de l’avertissement extrait de rôle ;</w:t>
      </w:r>
    </w:p>
    <w:p w14:paraId="6609F9D6" w14:textId="77777777" w:rsidR="00833E30" w:rsidRPr="00F91BDD" w:rsidRDefault="00833E30">
      <w:pPr>
        <w:numPr>
          <w:ilvl w:val="0"/>
          <w:numId w:val="71"/>
        </w:numPr>
        <w:spacing w:before="120" w:after="120" w:line="240" w:lineRule="auto"/>
        <w:contextualSpacing/>
        <w:rPr>
          <w:rFonts w:eastAsia="Calibri"/>
        </w:rPr>
      </w:pPr>
      <w:r w:rsidRPr="00F91BDD">
        <w:rPr>
          <w:rFonts w:eastAsia="Calibri"/>
        </w:rPr>
        <w:t>La date ultime de paiement ;</w:t>
      </w:r>
    </w:p>
    <w:p w14:paraId="72EA8B08" w14:textId="517E82F1" w:rsidR="00AB2807" w:rsidRPr="00F91BDD" w:rsidRDefault="00833E30">
      <w:pPr>
        <w:numPr>
          <w:ilvl w:val="0"/>
          <w:numId w:val="71"/>
        </w:numPr>
        <w:spacing w:before="120" w:after="120" w:line="240" w:lineRule="auto"/>
        <w:contextualSpacing/>
        <w:rPr>
          <w:rFonts w:eastAsia="Calibri"/>
        </w:rPr>
      </w:pPr>
      <w:r w:rsidRPr="00F91BDD">
        <w:rPr>
          <w:rFonts w:eastAsia="Calibri"/>
        </w:rPr>
        <w:t>La date d’envoi de la sommation de payer ;</w:t>
      </w:r>
    </w:p>
    <w:p w14:paraId="0663C074" w14:textId="7D72349C" w:rsidR="00AB2807" w:rsidRPr="00913929" w:rsidRDefault="00833E30" w:rsidP="00AB2807">
      <w:pPr>
        <w:spacing w:before="120" w:after="120" w:line="240" w:lineRule="auto"/>
        <w:ind w:left="1080"/>
        <w:contextualSpacing/>
        <w:rPr>
          <w:rFonts w:eastAsia="Calibri"/>
        </w:rPr>
      </w:pPr>
      <w:r w:rsidRPr="00AB2807">
        <w:rPr>
          <w:rFonts w:eastAsia="Calibri"/>
        </w:rPr>
        <w:t xml:space="preserve">Les coordonnées du redevable qui a reçu l’avertissement extrait de rôle, la date de la sommation de payer (si la personne poursuivie est un codébiteur).  </w:t>
      </w:r>
    </w:p>
    <w:p w14:paraId="04A372BE" w14:textId="77777777" w:rsidR="00AB2807" w:rsidRDefault="00AB2807" w:rsidP="00AB2807">
      <w:pPr>
        <w:spacing w:before="120" w:after="120" w:line="240" w:lineRule="auto"/>
        <w:contextualSpacing/>
      </w:pPr>
    </w:p>
    <w:p w14:paraId="4D97346D" w14:textId="5AA7569E" w:rsidR="001C5472" w:rsidRDefault="00AB2807" w:rsidP="001C5472">
      <w:pPr>
        <w:spacing w:before="120"/>
      </w:pPr>
      <w:r>
        <w:t>Dans l’arrêt du 29 novembre 2024 (Arrêt F.22.0068.N), la Cour de cassation aborde la problématique des mentions obligatoires des avertissements-extraits de rôle.</w:t>
      </w:r>
    </w:p>
    <w:p w14:paraId="2251CF3A" w14:textId="4ECDF0AE" w:rsidR="00AB2807" w:rsidRDefault="00AB2807" w:rsidP="001C5472">
      <w:pPr>
        <w:spacing w:before="120"/>
      </w:pPr>
      <w:r>
        <w:t>Bien que la Cour y rappelle que les AER doivent contenir certaines mentions obligatoires (identité du redevable, base et montant de la taxe, règlement applicable, voies de recours, etc.), elle précise que :</w:t>
      </w:r>
    </w:p>
    <w:p w14:paraId="42C62CD7" w14:textId="77777777" w:rsidR="00AB2807" w:rsidRDefault="00AB2807">
      <w:pPr>
        <w:pStyle w:val="Paragraphedeliste"/>
        <w:numPr>
          <w:ilvl w:val="0"/>
          <w:numId w:val="128"/>
        </w:numPr>
      </w:pPr>
      <w:r>
        <w:t>toute omission n’entraîne pas automatiquement la nullité de l’AER ;</w:t>
      </w:r>
    </w:p>
    <w:p w14:paraId="33377739" w14:textId="77777777" w:rsidR="00AB2807" w:rsidRDefault="00AB2807">
      <w:pPr>
        <w:pStyle w:val="Paragraphedeliste"/>
        <w:numPr>
          <w:ilvl w:val="0"/>
          <w:numId w:val="128"/>
        </w:numPr>
      </w:pPr>
      <w:r>
        <w:t>la nullité n’est prononcée que si le contribuable démontre un préjudice, c’est-à-dire une réelle entrave à l’exercice de ses droits de défense.</w:t>
      </w:r>
    </w:p>
    <w:p w14:paraId="4B368F3D" w14:textId="77777777" w:rsidR="00AB2807" w:rsidRDefault="00AB2807" w:rsidP="00AB2807">
      <w:r>
        <w:t>La Cour opère donc une distinction essentielle entre :</w:t>
      </w:r>
    </w:p>
    <w:p w14:paraId="46B04749" w14:textId="77777777" w:rsidR="00AB2807" w:rsidRDefault="00AB2807">
      <w:pPr>
        <w:pStyle w:val="Paragraphedeliste"/>
        <w:numPr>
          <w:ilvl w:val="0"/>
          <w:numId w:val="129"/>
        </w:numPr>
      </w:pPr>
      <w:r>
        <w:t>les irrégularités substantielles (affectant la compréhension de la taxe ou la possibilité de la contester) où la nullité est possible ;</w:t>
      </w:r>
    </w:p>
    <w:p w14:paraId="0A9676AC" w14:textId="6668346E" w:rsidR="00AB2807" w:rsidRDefault="00AB2807">
      <w:pPr>
        <w:pStyle w:val="Paragraphedeliste"/>
        <w:numPr>
          <w:ilvl w:val="0"/>
          <w:numId w:val="129"/>
        </w:numPr>
      </w:pPr>
      <w:r>
        <w:lastRenderedPageBreak/>
        <w:t>les irrégularités mineures ou matérielles où la nullité n’est pas possible si les droits du contribuable sont préservés.</w:t>
      </w:r>
    </w:p>
    <w:p w14:paraId="5379E46D" w14:textId="53E01F21" w:rsidR="002470D7" w:rsidRPr="005C4637" w:rsidRDefault="00AB2807" w:rsidP="002470D7">
      <w:r>
        <w:t>Dans l’affaire examinée par la Cour, l’absence de mention précise du fait générateur (date d’inscription d’un immeuble à l’inventaire des immeubles inoccupés) n’a pas été jugée suffisante pour annuler l’AER.</w:t>
      </w:r>
    </w:p>
    <w:p w14:paraId="063CFA39" w14:textId="77777777" w:rsidR="002470D7" w:rsidRPr="005C4637" w:rsidRDefault="002470D7">
      <w:pPr>
        <w:pStyle w:val="Titre4"/>
        <w:numPr>
          <w:ilvl w:val="0"/>
          <w:numId w:val="72"/>
        </w:numPr>
      </w:pPr>
      <w:r w:rsidRPr="005C4637">
        <w:t>Quels points d’attention dans les règlements-taxes ?</w:t>
      </w:r>
    </w:p>
    <w:p w14:paraId="5EE210B4" w14:textId="77777777" w:rsidR="007014C4" w:rsidRPr="00F91BDD" w:rsidRDefault="007014C4">
      <w:pPr>
        <w:numPr>
          <w:ilvl w:val="0"/>
          <w:numId w:val="73"/>
        </w:numPr>
        <w:spacing w:before="120" w:after="120" w:line="240" w:lineRule="auto"/>
        <w:ind w:left="714" w:hanging="357"/>
      </w:pPr>
      <w:r w:rsidRPr="00F91BDD">
        <w:t>Il faut retirer des règlements les articles qui font référence aux dispositions abrogées du C.I.R. (ex. art. 298) qui ne régit désormais plus le recouvrement des taxes communales ;</w:t>
      </w:r>
    </w:p>
    <w:p w14:paraId="21A7A3E8" w14:textId="77777777" w:rsidR="007014C4" w:rsidRPr="00F91BDD" w:rsidRDefault="007014C4">
      <w:pPr>
        <w:numPr>
          <w:ilvl w:val="0"/>
          <w:numId w:val="73"/>
        </w:numPr>
        <w:spacing w:before="120" w:after="120" w:line="240" w:lineRule="auto"/>
        <w:ind w:left="714" w:hanging="357"/>
      </w:pPr>
      <w:r w:rsidRPr="00F91BDD">
        <w:t>La référence au CRAF, au sein du préambule de la délibération et/ou au sein du dispositif d’un règlement-taxe n’est pas nécessaire. Seule la référence au CDLD est nécessaire puisque ce dernier renvoie aux dispositions contenues dans le CRAF ;</w:t>
      </w:r>
    </w:p>
    <w:p w14:paraId="3747BEF1" w14:textId="77777777" w:rsidR="007014C4" w:rsidRPr="006300F6" w:rsidRDefault="007014C4">
      <w:pPr>
        <w:pStyle w:val="Paragraphedeliste"/>
        <w:numPr>
          <w:ilvl w:val="0"/>
          <w:numId w:val="73"/>
        </w:numPr>
        <w:spacing w:before="120" w:after="120" w:line="240" w:lineRule="auto"/>
        <w:contextualSpacing w:val="0"/>
      </w:pPr>
      <w:r w:rsidRPr="00F91BDD">
        <w:t xml:space="preserve">L’article L3321-8bis du CDLD régit expressément le recouvrement des taxes. Les dispositions contenues en la matière dans le CRAF ne doivent pas être prévues dans les différents règlements-taxes établis par les communes/villes ; </w:t>
      </w:r>
    </w:p>
    <w:p w14:paraId="3C3E61D2" w14:textId="58170622" w:rsidR="6FFC1684" w:rsidRDefault="007014C4" w:rsidP="001C5472">
      <w:pPr>
        <w:spacing w:before="120"/>
      </w:pPr>
      <w:r w:rsidRPr="006300F6">
        <w:t xml:space="preserve">Conformément à l’article L3321-8 bis précité du CDLD, il ne faut plus indiquer dans les règlements un montant pour les frais de sommation de payer. Celui-ci étant fixé au coût des frais postaux de l’année de référence ; il faut en revanche indiquer dans les règlements que les frais sont mis à charge des contribuables en cas d’application de l’article L3321-8bis du CDLD. A défaut de cette précision, les frais postaux de l’envoi par recommandé de cette sommation de payer ne pourront être imputés au redevable concerné. </w:t>
      </w:r>
    </w:p>
    <w:p w14:paraId="0616B2EF" w14:textId="3064EAAB" w:rsidR="39A2D0DB" w:rsidRPr="003B5499" w:rsidRDefault="39A2D0DB" w:rsidP="00E330CC">
      <w:pPr>
        <w:pStyle w:val="Titre3"/>
      </w:pPr>
      <w:bookmarkStart w:id="824" w:name="_Toc225504282"/>
      <w:bookmarkStart w:id="825" w:name="_Toc225772371"/>
      <w:bookmarkStart w:id="826" w:name="_Toc233626240"/>
      <w:r w:rsidRPr="001C5472">
        <w:t>Comment</w:t>
      </w:r>
      <w:r w:rsidRPr="003B5499">
        <w:t xml:space="preserve"> faire un recouvrement forcé à </w:t>
      </w:r>
      <w:bookmarkEnd w:id="824"/>
      <w:bookmarkEnd w:id="825"/>
      <w:r w:rsidR="001C5472" w:rsidRPr="003B5499">
        <w:t>l’étranger ?</w:t>
      </w:r>
      <w:bookmarkEnd w:id="826"/>
    </w:p>
    <w:p w14:paraId="697BFE7D" w14:textId="2A8B6F13" w:rsidR="39A2D0DB" w:rsidRPr="003B5499" w:rsidRDefault="39A2D0DB">
      <w:r w:rsidRPr="003B5499">
        <w:t>Conformément au décret du 5 juillet 2012 transposant la directive 2010/24/UE ainsi qu’à l’accord de coopération du</w:t>
      </w:r>
      <w:r w:rsidR="003B5499">
        <w:t xml:space="preserve"> </w:t>
      </w:r>
      <w:r w:rsidRPr="003B5499">
        <w:t>26 février 2014 entre l’État fédéral et les Régions, toute demande d’assistance mutuelle en matière de recouvrement émanant d’une administration locale doit, en effet, transiter par le service de liaison de la Région</w:t>
      </w:r>
      <w:r w:rsidR="375BB484" w:rsidRPr="003B5499">
        <w:t xml:space="preserve"> compétente.</w:t>
      </w:r>
      <w:r w:rsidR="375BB484">
        <w:t xml:space="preserve"> </w:t>
      </w:r>
    </w:p>
    <w:p w14:paraId="3BA570CC" w14:textId="543B6B1C" w:rsidR="4DF7E4BA" w:rsidRPr="003B5499" w:rsidRDefault="4DF7E4BA" w:rsidP="6FFC1684">
      <w:r w:rsidRPr="003B5499">
        <w:t>Pour ce qui concerne les taxes, impôts et droits perçus par les pouvoirs locaux wallons, le service désigné est le suivant :</w:t>
      </w:r>
    </w:p>
    <w:p w14:paraId="38D51D2E" w14:textId="56EF0BF0" w:rsidR="4DF7E4BA" w:rsidRPr="003B5499" w:rsidRDefault="4DF7E4BA" w:rsidP="6FFC1684">
      <w:r w:rsidRPr="003B5499">
        <w:t>Service public de Wallonie – Finances</w:t>
      </w:r>
    </w:p>
    <w:p w14:paraId="7EC4C363" w14:textId="3527C450" w:rsidR="4DF7E4BA" w:rsidRPr="003B5499" w:rsidRDefault="4DF7E4BA" w:rsidP="6FFC1684">
      <w:r w:rsidRPr="003B5499">
        <w:t>Département du Recouvrement</w:t>
      </w:r>
    </w:p>
    <w:p w14:paraId="243E7ED2" w14:textId="52A5893C" w:rsidR="4DF7E4BA" w:rsidRPr="003B5499" w:rsidRDefault="4DF7E4BA" w:rsidP="6FFC1684">
      <w:r w:rsidRPr="003B5499">
        <w:t>Direction du Recouvrement administratif</w:t>
      </w:r>
    </w:p>
    <w:p w14:paraId="52C70EE2" w14:textId="30FB77E5" w:rsidR="4DF7E4BA" w:rsidRPr="003B5499" w:rsidRDefault="4DF7E4BA" w:rsidP="6FFC1684">
      <w:r w:rsidRPr="003B5499">
        <w:t>30, Boulevard Ernest Mélot</w:t>
      </w:r>
    </w:p>
    <w:p w14:paraId="1BF67408" w14:textId="638000B3" w:rsidR="4DF7E4BA" w:rsidRPr="003B5499" w:rsidRDefault="4DF7E4BA" w:rsidP="6FFC1684">
      <w:r w:rsidRPr="003B5499">
        <w:t>5000 Namur</w:t>
      </w:r>
    </w:p>
    <w:p w14:paraId="3C04F4F0" w14:textId="3C8F200C" w:rsidR="4DF7E4BA" w:rsidRPr="003B5499" w:rsidRDefault="4DF7E4BA" w:rsidP="6FFC1684">
      <w:r w:rsidRPr="003B5499">
        <w:t xml:space="preserve">E-mail : </w:t>
      </w:r>
      <w:hyperlink r:id="rId11" w:history="1">
        <w:r w:rsidRPr="003B5499">
          <w:t>international.recouvrement.finances@spw.wallonie.be</w:t>
        </w:r>
      </w:hyperlink>
    </w:p>
    <w:p w14:paraId="5C6349E8" w14:textId="32B75D3B" w:rsidR="39A2D0DB" w:rsidRDefault="39A2D0DB">
      <w:pPr>
        <w:rPr>
          <w:highlight w:val="cyan"/>
        </w:rPr>
      </w:pPr>
      <w:hyperlink r:id="rId12" w:history="1">
        <w:r>
          <w:rPr>
            <w:rStyle w:val="Lienhypertexte"/>
          </w:rPr>
          <w:t>mailto:international.recouvrement.finances@spw.wallonie.be</w:t>
        </w:r>
      </w:hyperlink>
      <w:r w:rsidRPr="003B5499">
        <w:t>Dès lors, les villes et communes wallonnes souhaitant introduire une demande de recouvrement à l’étranger doivent</w:t>
      </w:r>
      <w:r w:rsidR="179C95AB" w:rsidRPr="003B5499">
        <w:t xml:space="preserve"> </w:t>
      </w:r>
      <w:r w:rsidR="19ADB0B8" w:rsidRPr="003B5499">
        <w:t xml:space="preserve"> </w:t>
      </w:r>
      <w:r w:rsidR="6FFC1684" w:rsidRPr="003B5499">
        <w:t>s’adresser à ce service, lequel assure la transmission vers le bureau central de liaison et vers l’autorité étrangère</w:t>
      </w:r>
      <w:r w:rsidR="68EEAC5B" w:rsidRPr="003B5499">
        <w:t xml:space="preserve"> compétente, dans le respect des articles 9 et 10 du décret précité.</w:t>
      </w:r>
    </w:p>
    <w:p w14:paraId="1521C93E" w14:textId="242A7152" w:rsidR="2AD55155" w:rsidRPr="003B5499" w:rsidRDefault="2AD55155">
      <w:r w:rsidRPr="001C5472">
        <w:t xml:space="preserve">Petite </w:t>
      </w:r>
      <w:r w:rsidR="001C5472" w:rsidRPr="001C5472">
        <w:t>précision :</w:t>
      </w:r>
      <w:r w:rsidRPr="001C5472">
        <w:t xml:space="preserve"> Seul le principal fiscal (impôts et taxes) est recouvrable à l’étranger</w:t>
      </w:r>
      <w:r w:rsidR="56CBDD64" w:rsidRPr="001C5472">
        <w:t xml:space="preserve"> </w:t>
      </w:r>
      <w:r w:rsidRPr="001C5472">
        <w:t>(pas les amendes et accroissements éventuels) par le biais de l’assistance mutuelle fiscale. De plus, il y a un montant</w:t>
      </w:r>
      <w:r w:rsidR="36D64D1F" w:rsidRPr="001C5472">
        <w:t xml:space="preserve"> </w:t>
      </w:r>
      <w:r w:rsidRPr="001C5472">
        <w:t>minimal assez élevé pour déclencher la phase de recouvrement. Enfin, l’état membre requis peut toujours, quand</w:t>
      </w:r>
      <w:r w:rsidR="2AE3CA91" w:rsidRPr="001C5472">
        <w:t xml:space="preserve"> </w:t>
      </w:r>
      <w:r w:rsidRPr="001C5472">
        <w:t>bien même on répond aux conditions de montant mi</w:t>
      </w:r>
      <w:r w:rsidR="001C5472">
        <w:t>n</w:t>
      </w:r>
      <w:r w:rsidRPr="001C5472">
        <w:t>imal, refuser de recouvrer si cela crée des troubles</w:t>
      </w:r>
      <w:r w:rsidR="5712C98F" w:rsidRPr="001C5472">
        <w:t xml:space="preserve"> </w:t>
      </w:r>
      <w:r w:rsidRPr="001C5472">
        <w:t>économiques, sociaux, etc</w:t>
      </w:r>
    </w:p>
    <w:p w14:paraId="3DBABFF1" w14:textId="77777777" w:rsidR="001C5472" w:rsidRDefault="2AD55155" w:rsidP="001C5472">
      <w:pPr>
        <w:pStyle w:val="Sansinterligne"/>
      </w:pPr>
      <w:r w:rsidRPr="001C5472">
        <w:t>En d’autres termes, ce n’est pas un simple envoi d’une ou plusieurs créances. La question des frais à supporter est</w:t>
      </w:r>
      <w:r w:rsidR="5E15F330" w:rsidRPr="001C5472">
        <w:t xml:space="preserve"> </w:t>
      </w:r>
      <w:bookmarkStart w:id="827" w:name="_Int_jjGquC9n"/>
      <w:r w:rsidRPr="001C5472">
        <w:t>importante</w:t>
      </w:r>
      <w:bookmarkEnd w:id="827"/>
      <w:r w:rsidRPr="001C5472">
        <w:t xml:space="preserve"> à étudier également.</w:t>
      </w:r>
      <w:r w:rsidR="00294B71" w:rsidRPr="001C5472">
        <w:t xml:space="preserve"> </w:t>
      </w:r>
      <w:bookmarkStart w:id="828" w:name="_Toc225504283"/>
      <w:bookmarkStart w:id="829" w:name="_Toc225772372"/>
    </w:p>
    <w:p w14:paraId="15CB5BAE" w14:textId="77777777" w:rsidR="001C5472" w:rsidRDefault="001C5472" w:rsidP="001C5472">
      <w:pPr>
        <w:pStyle w:val="Sansinterligne"/>
      </w:pPr>
    </w:p>
    <w:p w14:paraId="0C010F43" w14:textId="40624A5B" w:rsidR="002470D7" w:rsidRPr="001C5472" w:rsidRDefault="00294B71" w:rsidP="001C5472">
      <w:pPr>
        <w:pStyle w:val="Titre3"/>
      </w:pPr>
      <w:bookmarkStart w:id="830" w:name="_Toc233626241"/>
      <w:r w:rsidRPr="001C5472">
        <w:t xml:space="preserve">Recouvrement amiable et </w:t>
      </w:r>
      <w:r w:rsidR="002B207D" w:rsidRPr="001C5472">
        <w:t>forcé d’une</w:t>
      </w:r>
      <w:r w:rsidR="002470D7" w:rsidRPr="001C5472">
        <w:t xml:space="preserve"> redevance</w:t>
      </w:r>
      <w:bookmarkEnd w:id="828"/>
      <w:bookmarkEnd w:id="829"/>
      <w:bookmarkEnd w:id="830"/>
    </w:p>
    <w:p w14:paraId="1FB34400" w14:textId="77777777" w:rsidR="002470D7" w:rsidRDefault="002470D7">
      <w:pPr>
        <w:pStyle w:val="Titre4"/>
        <w:numPr>
          <w:ilvl w:val="0"/>
          <w:numId w:val="74"/>
        </w:numPr>
      </w:pPr>
      <w:r w:rsidRPr="005C4637">
        <w:t>Quelles règles pour le recouvrement amiable des redevances ?</w:t>
      </w:r>
    </w:p>
    <w:p w14:paraId="5FF18D6F" w14:textId="77777777" w:rsidR="008E70C6" w:rsidRDefault="00C64B07" w:rsidP="008E70C6">
      <w:r>
        <w:t xml:space="preserve">Soit </w:t>
      </w:r>
      <w:r w:rsidR="008E70C6">
        <w:t>selon le CDLD</w:t>
      </w:r>
      <w:r>
        <w:t xml:space="preserve"> soit l</w:t>
      </w:r>
      <w:r w:rsidR="00C515EF">
        <w:t xml:space="preserve">e livre XIX du Code de droit économique (CDE) </w:t>
      </w:r>
      <w:r w:rsidR="00C515EF" w:rsidRPr="00297A96">
        <w:rPr>
          <w:rFonts w:eastAsiaTheme="minorHAnsi"/>
          <w:bCs/>
          <w:vertAlign w:val="superscript"/>
        </w:rPr>
        <w:footnoteReference w:id="37"/>
      </w:r>
      <w:r w:rsidR="00C515EF">
        <w:t xml:space="preserve"> </w:t>
      </w:r>
    </w:p>
    <w:p w14:paraId="24F8A7BD" w14:textId="69006175" w:rsidR="00C515EF" w:rsidRPr="00C515EF" w:rsidRDefault="00EF77AD">
      <w:pPr>
        <w:pStyle w:val="Titre4"/>
        <w:numPr>
          <w:ilvl w:val="0"/>
          <w:numId w:val="74"/>
        </w:numPr>
      </w:pPr>
      <w:r w:rsidRPr="003A6DF6">
        <w:t>Le livre XIX CDE</w:t>
      </w:r>
      <w:r w:rsidR="00C64B07" w:rsidRPr="00297A96">
        <w:rPr>
          <w:rFonts w:eastAsiaTheme="minorHAnsi"/>
          <w:vertAlign w:val="superscript"/>
        </w:rPr>
        <w:footnoteReference w:id="38"/>
      </w:r>
      <w:r w:rsidRPr="003A6DF6">
        <w:t xml:space="preserve"> est-il applicable </w:t>
      </w:r>
      <w:r w:rsidR="006B6181">
        <w:t xml:space="preserve">d’office </w:t>
      </w:r>
      <w:r w:rsidRPr="003A6DF6">
        <w:t>aux créances non fiscales (redevances) des pouvoirs locaux</w:t>
      </w:r>
      <w:r>
        <w:t xml:space="preserve"> </w:t>
      </w:r>
      <w:r w:rsidRPr="003A6DF6">
        <w:t>?</w:t>
      </w:r>
    </w:p>
    <w:p w14:paraId="54AF8232" w14:textId="62EB5352" w:rsidR="00EF77AD" w:rsidRPr="003A6DF6" w:rsidRDefault="00C64B07" w:rsidP="00EF77AD">
      <w:pPr>
        <w:rPr>
          <w:rFonts w:cstheme="minorHAnsi"/>
        </w:rPr>
      </w:pPr>
      <w:r>
        <w:rPr>
          <w:rFonts w:cstheme="minorHAnsi"/>
        </w:rPr>
        <w:t>Non, l</w:t>
      </w:r>
      <w:r w:rsidR="00EF77AD" w:rsidRPr="003A6DF6">
        <w:rPr>
          <w:rFonts w:cstheme="minorHAnsi"/>
        </w:rPr>
        <w:t>e livre XIX s’applique aux relations entre les consommateurs et les entreprises. Or, le terme entreprise doit être entendu dans ce cadre comme «</w:t>
      </w:r>
      <w:r w:rsidR="00EF77AD">
        <w:t xml:space="preserve"> </w:t>
      </w:r>
      <w:r w:rsidR="00EF77AD" w:rsidRPr="003A6DF6">
        <w:rPr>
          <w:rFonts w:cstheme="minorHAnsi"/>
        </w:rPr>
        <w:t>toute personne physique ou morale poursuivant de manière durable un but économique, y compris ses associations</w:t>
      </w:r>
      <w:r w:rsidR="00EF77AD">
        <w:t xml:space="preserve"> ».</w:t>
      </w:r>
      <w:r w:rsidR="00EF77AD" w:rsidRPr="003A6DF6">
        <w:rPr>
          <w:rFonts w:cstheme="minorHAnsi"/>
        </w:rPr>
        <w:t xml:space="preserve"> Les travaux préparatoires y vont même de l’exemple d’une commune qui gère une piscine, une bibliothèque ou un centre culturel. Elle sera considérée comme "entreprise" pour ces types d'activités. Cependant, lorsqu'elle encaissera les frais d'émission d'une carte d'identité, cette activité relevant de ses missions de service public et n'ayant de ce fait, pas de caractère "économique", elle ne sera pas soumise au respect de ces dispositions. </w:t>
      </w:r>
    </w:p>
    <w:p w14:paraId="6C229C7E" w14:textId="77777777" w:rsidR="00EF77AD" w:rsidRDefault="00EF77AD" w:rsidP="00EF77AD">
      <w:pPr>
        <w:rPr>
          <w:rFonts w:cstheme="minorHAnsi"/>
        </w:rPr>
      </w:pPr>
      <w:r w:rsidRPr="003A6DF6">
        <w:rPr>
          <w:rFonts w:cstheme="minorHAnsi"/>
        </w:rPr>
        <w:t>Ainsi, en fonction des activités concernées, une commune peut être une entreprise ou non, au sens de ce livre XIX CDE et soumise à ses dispositions.</w:t>
      </w:r>
    </w:p>
    <w:p w14:paraId="1F23D106" w14:textId="5C3B5612" w:rsidR="0010773A" w:rsidRPr="00F91BDD" w:rsidRDefault="00AA511A" w:rsidP="0010773A">
      <w:pPr>
        <w:spacing w:before="120"/>
        <w:rPr>
          <w:rFonts w:cstheme="minorHAnsi"/>
        </w:rPr>
      </w:pPr>
      <w:r>
        <w:rPr>
          <w:rFonts w:cstheme="minorHAnsi"/>
        </w:rPr>
        <w:t>L</w:t>
      </w:r>
      <w:r w:rsidR="0010773A" w:rsidRPr="00F91BDD">
        <w:rPr>
          <w:rFonts w:cstheme="minorHAnsi"/>
        </w:rPr>
        <w:t>e livre XIX CDE établit désormais les règles suivantes :</w:t>
      </w:r>
    </w:p>
    <w:p w14:paraId="3C169E2F" w14:textId="77777777" w:rsidR="0010773A" w:rsidRPr="00F91BDD" w:rsidRDefault="0010773A">
      <w:pPr>
        <w:pStyle w:val="Paragraphedeliste"/>
        <w:numPr>
          <w:ilvl w:val="0"/>
          <w:numId w:val="75"/>
        </w:numPr>
        <w:spacing w:before="120" w:after="120" w:line="240" w:lineRule="auto"/>
        <w:contextualSpacing w:val="0"/>
        <w:rPr>
          <w:rFonts w:cstheme="minorHAnsi"/>
        </w:rPr>
      </w:pPr>
      <w:r w:rsidRPr="00F91BDD">
        <w:rPr>
          <w:rFonts w:cstheme="minorHAnsi"/>
        </w:rPr>
        <w:t>Lorsque le consommateur n'a pas payé sa dette à l'échéance et qu'une clause indemnitaire est d'application, cette clause ne peut s'appliquer qu'après l'envoi d'une mise en demeure qui prend la forme d'un premier rappel et après l'écoulement d'un délai d'au moins 14 jours calendrier, qui prend cours le troisième jour ouvrable qui suit celui où le rappel est envoyé au consommateur (article XIX.2., §1</w:t>
      </w:r>
      <w:r w:rsidRPr="00F91BDD">
        <w:rPr>
          <w:rFonts w:cstheme="minorHAnsi"/>
          <w:vertAlign w:val="superscript"/>
        </w:rPr>
        <w:t>er</w:t>
      </w:r>
      <w:r w:rsidRPr="00F91BDD">
        <w:rPr>
          <w:rFonts w:cstheme="minorHAnsi"/>
        </w:rPr>
        <w:t xml:space="preserve"> du Code de droit économique). Lorsque le rappel est envoyé par voie électronique, le délai de quatorze jours calendrier prend cours le jour calendrier qui suit celui où le rappel est envoyé au consommateur ;</w:t>
      </w:r>
    </w:p>
    <w:p w14:paraId="4ABF4F99" w14:textId="77777777" w:rsidR="0010773A" w:rsidRPr="00F91BDD" w:rsidRDefault="0010773A">
      <w:pPr>
        <w:pStyle w:val="Paragraphedeliste"/>
        <w:numPr>
          <w:ilvl w:val="0"/>
          <w:numId w:val="75"/>
        </w:numPr>
        <w:spacing w:before="120" w:after="120" w:line="240" w:lineRule="auto"/>
        <w:ind w:left="714" w:hanging="357"/>
        <w:contextualSpacing w:val="0"/>
        <w:rPr>
          <w:rFonts w:cstheme="minorHAnsi"/>
        </w:rPr>
      </w:pPr>
      <w:r w:rsidRPr="00F91BDD">
        <w:rPr>
          <w:rFonts w:cstheme="minorHAnsi"/>
          <w:b/>
          <w:bCs/>
        </w:rPr>
        <w:lastRenderedPageBreak/>
        <w:t>Aucun frais</w:t>
      </w:r>
      <w:r w:rsidRPr="00F91BDD">
        <w:rPr>
          <w:rFonts w:cstheme="minorHAnsi"/>
        </w:rPr>
        <w:t xml:space="preserve"> ne peut être facturé au consommateur </w:t>
      </w:r>
      <w:r w:rsidRPr="00F91BDD">
        <w:rPr>
          <w:rFonts w:cstheme="minorHAnsi"/>
          <w:b/>
          <w:bCs/>
        </w:rPr>
        <w:t>pour le premier rappel</w:t>
      </w:r>
      <w:r w:rsidRPr="00F91BDD">
        <w:rPr>
          <w:rFonts w:cstheme="minorHAnsi"/>
        </w:rPr>
        <w:t xml:space="preserve"> lié à une échéance impayée ;</w:t>
      </w:r>
    </w:p>
    <w:p w14:paraId="285D6C90" w14:textId="77777777" w:rsidR="0010773A" w:rsidRPr="00F91BDD" w:rsidRDefault="0010773A">
      <w:pPr>
        <w:pStyle w:val="Paragraphedeliste"/>
        <w:numPr>
          <w:ilvl w:val="0"/>
          <w:numId w:val="75"/>
        </w:numPr>
        <w:spacing w:before="120" w:after="120" w:line="240" w:lineRule="auto"/>
        <w:ind w:left="714" w:hanging="357"/>
        <w:contextualSpacing w:val="0"/>
        <w:rPr>
          <w:rFonts w:cstheme="minorHAnsi"/>
        </w:rPr>
      </w:pPr>
      <w:r w:rsidRPr="00F91BDD">
        <w:rPr>
          <w:rFonts w:cstheme="minorHAnsi"/>
          <w:b/>
          <w:bCs/>
        </w:rPr>
        <w:t>Dans tous les cas, les coûts pour d'éventuels rappels supplémentaires ne peuvent être supérieurs à 7,50 euros augmentés des frais postaux en vigueur au moment de l'envoi</w:t>
      </w:r>
      <w:r w:rsidRPr="00F91BDD">
        <w:rPr>
          <w:rFonts w:cstheme="minorHAnsi"/>
        </w:rPr>
        <w:t> (Les rappels doivent être envoyés sur un support durable) ;</w:t>
      </w:r>
    </w:p>
    <w:p w14:paraId="231A8AD5" w14:textId="77777777" w:rsidR="0010773A" w:rsidRPr="00F91BDD" w:rsidRDefault="0010773A">
      <w:pPr>
        <w:pStyle w:val="Paragraphedeliste"/>
        <w:numPr>
          <w:ilvl w:val="0"/>
          <w:numId w:val="75"/>
        </w:numPr>
        <w:spacing w:before="120" w:after="120" w:line="240" w:lineRule="auto"/>
        <w:ind w:left="714" w:hanging="357"/>
        <w:contextualSpacing w:val="0"/>
        <w:rPr>
          <w:rFonts w:cstheme="minorHAnsi"/>
        </w:rPr>
      </w:pPr>
      <w:r w:rsidRPr="00F91BDD">
        <w:rPr>
          <w:rFonts w:cstheme="minorHAnsi"/>
          <w:b/>
          <w:bCs/>
        </w:rPr>
        <w:t>Le premier rappel doit contenir au minimum les mentions suivantes</w:t>
      </w:r>
      <w:r w:rsidRPr="00F91BDD">
        <w:rPr>
          <w:rFonts w:cstheme="minorHAnsi"/>
        </w:rPr>
        <w:t xml:space="preserve"> (art. XIX.2., § 3) :</w:t>
      </w:r>
    </w:p>
    <w:p w14:paraId="4C4CE1E6" w14:textId="77777777" w:rsidR="0010773A" w:rsidRPr="00F91BDD" w:rsidRDefault="0010773A">
      <w:pPr>
        <w:pStyle w:val="Paragraphedeliste"/>
        <w:numPr>
          <w:ilvl w:val="0"/>
          <w:numId w:val="71"/>
        </w:numPr>
        <w:spacing w:before="120" w:after="120" w:line="240" w:lineRule="auto"/>
        <w:contextualSpacing w:val="0"/>
        <w:rPr>
          <w:rFonts w:cstheme="minorHAnsi"/>
        </w:rPr>
      </w:pPr>
      <w:r w:rsidRPr="00F91BDD">
        <w:rPr>
          <w:rFonts w:cstheme="minorHAnsi"/>
        </w:rPr>
        <w:t>Le montant restant dû et le montant de la clause indemnitaire qui sera réclamée en cas de non-paiement dans le délai de 14 jours calendrier ;</w:t>
      </w:r>
    </w:p>
    <w:p w14:paraId="3C830A33" w14:textId="77777777" w:rsidR="0010773A" w:rsidRPr="00F91BDD" w:rsidRDefault="0010773A">
      <w:pPr>
        <w:pStyle w:val="Paragraphedeliste"/>
        <w:numPr>
          <w:ilvl w:val="0"/>
          <w:numId w:val="71"/>
        </w:numPr>
        <w:spacing w:before="120" w:after="120" w:line="240" w:lineRule="auto"/>
        <w:contextualSpacing w:val="0"/>
        <w:rPr>
          <w:rFonts w:cstheme="minorHAnsi"/>
        </w:rPr>
      </w:pPr>
      <w:r w:rsidRPr="00F91BDD">
        <w:rPr>
          <w:rFonts w:cstheme="minorHAnsi"/>
        </w:rPr>
        <w:t>Le nom ou la dénomination et le numéro d'entreprise de l'entreprise créancière, en l'occurrence l'entité locale concernée ; - une description du produit (ou du service) qui a donné naissance à la dette, ainsi que la date d'exigibilité de celle-ci ;</w:t>
      </w:r>
    </w:p>
    <w:p w14:paraId="0A2B119C" w14:textId="77777777" w:rsidR="0010773A" w:rsidRPr="00F91BDD" w:rsidRDefault="0010773A">
      <w:pPr>
        <w:pStyle w:val="Paragraphedeliste"/>
        <w:numPr>
          <w:ilvl w:val="0"/>
          <w:numId w:val="71"/>
        </w:numPr>
        <w:spacing w:before="120" w:after="120" w:line="240" w:lineRule="auto"/>
        <w:contextualSpacing w:val="0"/>
        <w:rPr>
          <w:rFonts w:cstheme="minorHAnsi"/>
        </w:rPr>
      </w:pPr>
      <w:r w:rsidRPr="00F91BDD">
        <w:rPr>
          <w:rFonts w:cstheme="minorHAnsi"/>
        </w:rPr>
        <w:t>Le délai de 14 jours dans lequel la dette doit être payée avant que tout frais, intérêt et indemnité (v. ci-après) ne soient réclamés.</w:t>
      </w:r>
    </w:p>
    <w:p w14:paraId="314F414C" w14:textId="77777777" w:rsidR="0010773A" w:rsidRPr="00F91BDD" w:rsidRDefault="0010773A">
      <w:pPr>
        <w:pStyle w:val="Paragraphedeliste"/>
        <w:numPr>
          <w:ilvl w:val="0"/>
          <w:numId w:val="75"/>
        </w:numPr>
        <w:spacing w:before="120" w:after="120" w:line="240" w:lineRule="auto"/>
        <w:ind w:left="714" w:hanging="357"/>
        <w:contextualSpacing w:val="0"/>
        <w:rPr>
          <w:rFonts w:cstheme="minorHAnsi"/>
        </w:rPr>
      </w:pPr>
      <w:r w:rsidRPr="00F91BDD">
        <w:rPr>
          <w:rFonts w:cstheme="minorHAnsi"/>
          <w:b/>
          <w:bCs/>
        </w:rPr>
        <w:t>Les clauses indemnitaires sont limitées</w:t>
      </w:r>
      <w:r w:rsidRPr="00F91BDD">
        <w:rPr>
          <w:rFonts w:cstheme="minorHAnsi"/>
        </w:rPr>
        <w:t xml:space="preserve">. </w:t>
      </w:r>
    </w:p>
    <w:p w14:paraId="4888E038" w14:textId="77777777" w:rsidR="0010773A" w:rsidRPr="00F91BDD" w:rsidRDefault="0010773A" w:rsidP="0010773A">
      <w:pPr>
        <w:pStyle w:val="Paragraphedeliste"/>
        <w:spacing w:before="120"/>
        <w:ind w:left="714"/>
        <w:rPr>
          <w:rFonts w:cstheme="minorHAnsi"/>
        </w:rPr>
      </w:pPr>
      <w:r w:rsidRPr="00F91BDD">
        <w:rPr>
          <w:rFonts w:cstheme="minorHAnsi"/>
        </w:rPr>
        <w:t>Ainsi, en cas de non-paiement total ou partiel de la dette à l'expiration du délai de 14 jours, aucun paiement autre que ceux mentionnés ci-dessous ne peut être réclamé au consommateur :</w:t>
      </w:r>
    </w:p>
    <w:p w14:paraId="460E957E" w14:textId="77777777" w:rsidR="0010773A" w:rsidRPr="00F91BDD" w:rsidRDefault="0010773A">
      <w:pPr>
        <w:pStyle w:val="Paragraphedeliste"/>
        <w:numPr>
          <w:ilvl w:val="0"/>
          <w:numId w:val="71"/>
        </w:numPr>
        <w:spacing w:before="120" w:after="120" w:line="240" w:lineRule="auto"/>
        <w:ind w:left="1077" w:hanging="357"/>
        <w:contextualSpacing w:val="0"/>
        <w:rPr>
          <w:rFonts w:cstheme="minorHAnsi"/>
        </w:rPr>
      </w:pPr>
      <w:r w:rsidRPr="00F91BDD">
        <w:rPr>
          <w:rFonts w:cstheme="minorHAnsi"/>
        </w:rPr>
        <w:t>Les intérêts de retard qui ne peuvent pas excéder l'intérêt au taux directeur majoré de huit points de pourcentage visé à l'article 5, alinéa 2, de la loi du 2 août 2002 concernant la lutte contre le retard de paiement dans les transactions commerciales (actuellement 10,5 % l'an). Ces intérêts sont calculés sur la somme restant à payer, et/ou ;</w:t>
      </w:r>
    </w:p>
    <w:p w14:paraId="3889D1C0" w14:textId="77777777" w:rsidR="0010773A" w:rsidRPr="00297A96" w:rsidRDefault="0010773A">
      <w:pPr>
        <w:pStyle w:val="Paragraphedeliste"/>
        <w:numPr>
          <w:ilvl w:val="0"/>
          <w:numId w:val="71"/>
        </w:numPr>
        <w:spacing w:before="120" w:after="120" w:line="240" w:lineRule="auto"/>
        <w:contextualSpacing w:val="0"/>
        <w:rPr>
          <w:rFonts w:cstheme="minorHAnsi"/>
        </w:rPr>
      </w:pPr>
      <w:r w:rsidRPr="00F91BDD">
        <w:rPr>
          <w:rFonts w:cstheme="minorHAnsi"/>
        </w:rPr>
        <w:t>Une indemnité forfaitaire, pour autant qu'elle soit expressément prévue, dont montant ne peut dépasser :</w:t>
      </w:r>
    </w:p>
    <w:p w14:paraId="1A407776" w14:textId="77777777" w:rsidR="0010773A" w:rsidRPr="00F91BDD" w:rsidRDefault="0010773A">
      <w:pPr>
        <w:pStyle w:val="Paragraphedeliste"/>
        <w:numPr>
          <w:ilvl w:val="0"/>
          <w:numId w:val="76"/>
        </w:numPr>
        <w:spacing w:before="120" w:after="120" w:line="240" w:lineRule="auto"/>
        <w:contextualSpacing w:val="0"/>
        <w:rPr>
          <w:rFonts w:cstheme="minorHAnsi"/>
        </w:rPr>
      </w:pPr>
      <w:r w:rsidRPr="00F91BDD">
        <w:rPr>
          <w:rFonts w:cstheme="minorHAnsi"/>
          <w:b/>
          <w:bCs/>
        </w:rPr>
        <w:t>20 euros</w:t>
      </w:r>
      <w:r w:rsidRPr="00F91BDD">
        <w:rPr>
          <w:rFonts w:cstheme="minorHAnsi"/>
        </w:rPr>
        <w:t xml:space="preserve"> si le montant restant dû est inférieur ou égal à 150 euros ;</w:t>
      </w:r>
    </w:p>
    <w:p w14:paraId="3633B300" w14:textId="77777777" w:rsidR="0010773A" w:rsidRPr="00F91BDD" w:rsidRDefault="0010773A">
      <w:pPr>
        <w:pStyle w:val="Paragraphedeliste"/>
        <w:numPr>
          <w:ilvl w:val="0"/>
          <w:numId w:val="76"/>
        </w:numPr>
        <w:spacing w:before="120" w:after="120" w:line="240" w:lineRule="auto"/>
        <w:contextualSpacing w:val="0"/>
        <w:rPr>
          <w:rFonts w:cstheme="minorHAnsi"/>
        </w:rPr>
      </w:pPr>
      <w:r w:rsidRPr="00F91BDD">
        <w:rPr>
          <w:rFonts w:cstheme="minorHAnsi"/>
          <w:b/>
          <w:bCs/>
        </w:rPr>
        <w:t>30 euros</w:t>
      </w:r>
      <w:r w:rsidRPr="00F91BDD">
        <w:rPr>
          <w:rFonts w:cstheme="minorHAnsi"/>
        </w:rPr>
        <w:t xml:space="preserve"> augmentés de 10 % du montant dû sur la tranche comprise entre 150,01 et 500 euros si le montant restant dû est compris entre 150,01 et 500 euros ;</w:t>
      </w:r>
    </w:p>
    <w:p w14:paraId="7866C543" w14:textId="77777777" w:rsidR="0010773A" w:rsidRPr="00F91BDD" w:rsidRDefault="0010773A">
      <w:pPr>
        <w:pStyle w:val="Paragraphedeliste"/>
        <w:numPr>
          <w:ilvl w:val="0"/>
          <w:numId w:val="76"/>
        </w:numPr>
        <w:spacing w:before="120" w:after="120" w:line="240" w:lineRule="auto"/>
        <w:contextualSpacing w:val="0"/>
        <w:rPr>
          <w:rFonts w:cstheme="minorHAnsi"/>
        </w:rPr>
      </w:pPr>
      <w:r w:rsidRPr="00F91BDD">
        <w:rPr>
          <w:rFonts w:cstheme="minorHAnsi"/>
          <w:b/>
          <w:bCs/>
        </w:rPr>
        <w:t>65 euros</w:t>
      </w:r>
      <w:r w:rsidRPr="00F91BDD">
        <w:rPr>
          <w:rFonts w:cstheme="minorHAnsi"/>
        </w:rPr>
        <w:t xml:space="preserve"> augmentés de 5 % du montant dû sur la tranche supérieure à 500 euros avec un maximum de 2000 euros si le montant restant dû est supérieur à 500 euros.</w:t>
      </w:r>
    </w:p>
    <w:p w14:paraId="19AA995F" w14:textId="77777777" w:rsidR="0010773A" w:rsidRPr="00F91BDD" w:rsidRDefault="0010773A" w:rsidP="0010773A">
      <w:pPr>
        <w:pStyle w:val="Paragraphedeliste"/>
        <w:spacing w:before="120"/>
        <w:rPr>
          <w:rFonts w:cstheme="minorHAnsi"/>
        </w:rPr>
      </w:pPr>
      <w:r w:rsidRPr="00F91BDD">
        <w:rPr>
          <w:rFonts w:cstheme="minorHAnsi"/>
        </w:rPr>
        <w:t>Les montants précités sont destinés à couvrir de manière forfaitaire, d'une part, les intérêts de retard de la dette et, d'autre part, tous les coûts du recouvrement amiable de la dette impayée. Il ne peut donc en aucun cas être réclamé au consommateur des montants supérieurs à ces montants maximaux et aucune autre indemnité ne peut lui être réclamée.</w:t>
      </w:r>
    </w:p>
    <w:p w14:paraId="40CA9912" w14:textId="77777777" w:rsidR="0010773A" w:rsidRPr="00F91BDD" w:rsidRDefault="0010773A">
      <w:pPr>
        <w:pStyle w:val="Paragraphedeliste"/>
        <w:numPr>
          <w:ilvl w:val="0"/>
          <w:numId w:val="75"/>
        </w:numPr>
        <w:spacing w:before="120" w:after="120" w:line="240" w:lineRule="auto"/>
        <w:ind w:left="714" w:hanging="357"/>
        <w:contextualSpacing w:val="0"/>
        <w:rPr>
          <w:rFonts w:cstheme="minorHAnsi"/>
        </w:rPr>
      </w:pPr>
      <w:r w:rsidRPr="00F91BDD">
        <w:rPr>
          <w:rFonts w:cstheme="minorHAnsi"/>
        </w:rPr>
        <w:t>Le non-respect de ces règles par l'entreprise créancière procédant au recouvrement de ses créances auprès des consommateurs peut conduire aux sanctions suivantes :</w:t>
      </w:r>
    </w:p>
    <w:p w14:paraId="375F0CEC" w14:textId="77777777" w:rsidR="0010773A" w:rsidRPr="00F91BDD" w:rsidRDefault="0010773A">
      <w:pPr>
        <w:pStyle w:val="Paragraphedeliste"/>
        <w:numPr>
          <w:ilvl w:val="0"/>
          <w:numId w:val="71"/>
        </w:numPr>
        <w:spacing w:before="120" w:after="120" w:line="240" w:lineRule="auto"/>
        <w:contextualSpacing w:val="0"/>
        <w:rPr>
          <w:rFonts w:cstheme="minorHAnsi"/>
        </w:rPr>
      </w:pPr>
      <w:r w:rsidRPr="00F91BDD">
        <w:rPr>
          <w:rFonts w:cstheme="minorHAnsi"/>
        </w:rPr>
        <w:t xml:space="preserve">Le consommateur est dispensé de plein droit du paiement de la clause indemnitaire, sauf dans le cas où ce sont les mentions minimales de la mise en </w:t>
      </w:r>
      <w:r w:rsidRPr="00F91BDD">
        <w:rPr>
          <w:rFonts w:cstheme="minorHAnsi"/>
        </w:rPr>
        <w:lastRenderedPageBreak/>
        <w:t>demeure — autres que la mention du délai pendant lequel aucune clause indemnitaire n'est appliquée ! — qui n'ont pas été appliquées correctement (art. XIX.15) ;</w:t>
      </w:r>
    </w:p>
    <w:p w14:paraId="547F9B37" w14:textId="77777777" w:rsidR="0010773A" w:rsidRPr="0092043F" w:rsidRDefault="0010773A">
      <w:pPr>
        <w:pStyle w:val="Paragraphedeliste"/>
        <w:numPr>
          <w:ilvl w:val="0"/>
          <w:numId w:val="71"/>
        </w:numPr>
        <w:spacing w:before="120" w:after="120" w:line="240" w:lineRule="auto"/>
        <w:contextualSpacing w:val="0"/>
        <w:rPr>
          <w:rFonts w:cstheme="minorHAnsi"/>
        </w:rPr>
      </w:pPr>
      <w:r w:rsidRPr="00F91BDD">
        <w:rPr>
          <w:rFonts w:cstheme="minorHAnsi"/>
        </w:rPr>
        <w:t>Le juge peut ordonner que tout paiement obtenu en contravention aux règles qui précèdent est considéré comme valablement fait par le consommateur à l'égard du créancier et qu'il doit être remboursé au consommateur par celui qui en a reçu le paiement (art. XIX.14).</w:t>
      </w:r>
    </w:p>
    <w:p w14:paraId="24F5D562" w14:textId="77777777" w:rsidR="0010773A" w:rsidRPr="003A6DF6" w:rsidRDefault="0010773A" w:rsidP="00EF77AD">
      <w:pPr>
        <w:rPr>
          <w:rFonts w:cstheme="minorHAnsi"/>
        </w:rPr>
      </w:pPr>
    </w:p>
    <w:p w14:paraId="06DA6FEF" w14:textId="77777777" w:rsidR="00EF77AD" w:rsidRDefault="00EF77AD">
      <w:pPr>
        <w:pStyle w:val="Titre4"/>
        <w:numPr>
          <w:ilvl w:val="0"/>
          <w:numId w:val="74"/>
        </w:numPr>
      </w:pPr>
      <w:r>
        <w:t>Cette loi est-elle compatible avec L1124-40 du CDLD ?</w:t>
      </w:r>
    </w:p>
    <w:p w14:paraId="0504D581" w14:textId="77777777" w:rsidR="00EF77AD" w:rsidRPr="003A6DF6" w:rsidRDefault="00EF77AD" w:rsidP="00EF77AD">
      <w:pPr>
        <w:rPr>
          <w:rFonts w:cstheme="minorHAnsi"/>
        </w:rPr>
      </w:pPr>
      <w:r w:rsidRPr="003A6DF6">
        <w:rPr>
          <w:rFonts w:cstheme="minorHAnsi"/>
        </w:rPr>
        <w:t>Oui car leur champ d’application est différent.</w:t>
      </w:r>
    </w:p>
    <w:p w14:paraId="266E83F5" w14:textId="32CBB831" w:rsidR="00EF77AD" w:rsidRPr="003A6DF6" w:rsidRDefault="00EF77AD" w:rsidP="00EF77AD">
      <w:pPr>
        <w:rPr>
          <w:rFonts w:cstheme="minorHAnsi"/>
        </w:rPr>
      </w:pPr>
      <w:r w:rsidRPr="003A6DF6">
        <w:rPr>
          <w:rFonts w:cstheme="minorHAnsi"/>
        </w:rPr>
        <w:t>L’article L1124-40 du CDLD règle le recouvrement forcé des créances non fiscales des communes, reposant sur un titre exécutoire, c’est-à-dire la contrainte non fiscale.</w:t>
      </w:r>
    </w:p>
    <w:p w14:paraId="1F4892F3" w14:textId="5A34A234" w:rsidR="003A6DF6" w:rsidRPr="003A6DF6" w:rsidRDefault="00EF77AD" w:rsidP="008E1F0E">
      <w:r w:rsidRPr="003A6DF6">
        <w:rPr>
          <w:rFonts w:cstheme="minorHAnsi"/>
        </w:rPr>
        <w:t>Le livre XIX du CDE règle le recouvrement amiable des dettes des consommateurs (et donc les créances des pouvoirs locaux ne reposant pas sur un titre exécutoire).</w:t>
      </w:r>
    </w:p>
    <w:p w14:paraId="4BE911FB" w14:textId="0ED0B653" w:rsidR="002470D7" w:rsidRPr="005C4637" w:rsidRDefault="002470D7">
      <w:pPr>
        <w:pStyle w:val="Titre4"/>
        <w:numPr>
          <w:ilvl w:val="0"/>
          <w:numId w:val="74"/>
        </w:numPr>
      </w:pPr>
      <w:r w:rsidRPr="005C4637">
        <w:t>Le recouvrement amiable est-il obligatoire ?</w:t>
      </w:r>
    </w:p>
    <w:p w14:paraId="6BBFBF3F" w14:textId="7EB3A137" w:rsidR="00ED3A7A" w:rsidRPr="00F91BDD" w:rsidRDefault="002470D7" w:rsidP="00ED3A7A">
      <w:pPr>
        <w:spacing w:before="120"/>
        <w:rPr>
          <w:rFonts w:cstheme="minorHAnsi"/>
        </w:rPr>
      </w:pPr>
      <w:r w:rsidRPr="005C4637">
        <w:t>Non. La commune peut se limiter à la procédure de recouvrement forcé (art. L1124-40 CDLD : recommandé préalable à la contrainte non fiscale). Toutefois, un rappel gratuit et pédagogique est recommandé.</w:t>
      </w:r>
      <w:r w:rsidR="006A6458">
        <w:t xml:space="preserve"> Bien que</w:t>
      </w:r>
      <w:r w:rsidR="00ED3A7A" w:rsidRPr="00F91BDD">
        <w:rPr>
          <w:rFonts w:cstheme="minorHAnsi"/>
        </w:rPr>
        <w:t xml:space="preserve"> seul premier le rappel concernant des créances relevant d’une activité « économique » du pouvoir local devrait respecter toutes les conditions du nouveau titre XIX du CDE.</w:t>
      </w:r>
    </w:p>
    <w:p w14:paraId="3618B7C4" w14:textId="77777777" w:rsidR="00ED3A7A" w:rsidRPr="00F91BDD" w:rsidRDefault="00ED3A7A" w:rsidP="00ED3A7A">
      <w:pPr>
        <w:spacing w:before="120"/>
        <w:rPr>
          <w:rFonts w:cstheme="minorHAnsi"/>
        </w:rPr>
      </w:pPr>
      <w:r w:rsidRPr="00F91BDD">
        <w:rPr>
          <w:rFonts w:cstheme="minorHAnsi"/>
        </w:rPr>
        <w:t>Dans tous les cas, il semble opportun de faire un premier rappel gratuit pour toutes les créances non fiscales, qu’elles relèvent d’une activité « économique » ou de l’intérêt général et que leurs redevables soient ou non des consommateurs. Ce choix est néanmoins laissé à l’appréciation de chaque commune.</w:t>
      </w:r>
    </w:p>
    <w:p w14:paraId="6D4EB8FC" w14:textId="77777777" w:rsidR="00ED3A7A" w:rsidRPr="0092043F" w:rsidRDefault="00ED3A7A" w:rsidP="00ED3A7A">
      <w:pPr>
        <w:spacing w:before="120"/>
        <w:rPr>
          <w:rFonts w:cstheme="minorHAnsi"/>
        </w:rPr>
      </w:pPr>
      <w:r w:rsidRPr="00F91BDD">
        <w:rPr>
          <w:rFonts w:cstheme="minorHAnsi"/>
        </w:rPr>
        <w:t xml:space="preserve">Pour de plus amples informations, une foire aux questions est disponible sur notre site </w:t>
      </w:r>
      <w:hyperlink r:id="rId13" w:history="1">
        <w:r w:rsidRPr="0092043F">
          <w:rPr>
            <w:rStyle w:val="Lienhypertexte"/>
            <w:rFonts w:cstheme="minorHAnsi"/>
          </w:rPr>
          <w:t>https://interieur.wallonie.be/a-la-une/recouvrement-amiable-de-dettes-faq</w:t>
        </w:r>
      </w:hyperlink>
      <w:r w:rsidRPr="0092043F">
        <w:rPr>
          <w:rFonts w:cstheme="minorHAnsi"/>
        </w:rPr>
        <w:t xml:space="preserve"> </w:t>
      </w:r>
    </w:p>
    <w:p w14:paraId="4763AB97" w14:textId="306A5651" w:rsidR="002470D7" w:rsidRPr="005C4637" w:rsidRDefault="00ED3A7A" w:rsidP="00310E42">
      <w:pPr>
        <w:spacing w:before="120"/>
      </w:pPr>
      <w:r w:rsidRPr="00F91BDD">
        <w:rPr>
          <w:rFonts w:cstheme="minorHAnsi"/>
        </w:rPr>
        <w:t>Quant aux intérêts de retard, comme l’article L 1124-40 CDLD prévoit la mise en demeure par recommandé, il semble judicieux de faire débuter ceux-ci à dater de l’envoi de ce recommandé.</w:t>
      </w:r>
      <w:r w:rsidR="002470D7" w:rsidRPr="005C4637">
        <w:t>.</w:t>
      </w:r>
    </w:p>
    <w:p w14:paraId="55BA9ECA" w14:textId="12348794" w:rsidR="002470D7" w:rsidRPr="005C4637" w:rsidRDefault="002470D7">
      <w:pPr>
        <w:pStyle w:val="Titre4"/>
        <w:numPr>
          <w:ilvl w:val="0"/>
          <w:numId w:val="74"/>
        </w:numPr>
      </w:pPr>
      <w:r w:rsidRPr="005C4637">
        <w:t>Quels frais peuvent être réclamés en recouvrement forcé</w:t>
      </w:r>
      <w:r w:rsidR="00184C91" w:rsidRPr="00C91E76">
        <w:rPr>
          <w:rFonts w:eastAsiaTheme="minorHAnsi"/>
          <w:vertAlign w:val="superscript"/>
        </w:rPr>
        <w:footnoteReference w:id="39"/>
      </w:r>
      <w:r w:rsidRPr="005C4637">
        <w:t xml:space="preserve"> des redevances ?</w:t>
      </w:r>
    </w:p>
    <w:p w14:paraId="19A640E6" w14:textId="77777777" w:rsidR="00D050B8" w:rsidRDefault="00D050B8" w:rsidP="00D050B8">
      <w:r>
        <w:t>En vertu de l'article L1124-40 § 1er du CDLD, le directeur Financier doit obligatoirement envoyer un courrier recommandé au redevable préalablement à l'envoi de la contrainte non fiscale à un huissier de justice.</w:t>
      </w:r>
    </w:p>
    <w:p w14:paraId="1A147B84" w14:textId="77777777" w:rsidR="00D050B8" w:rsidRDefault="00D050B8" w:rsidP="00D050B8">
      <w:r>
        <w:lastRenderedPageBreak/>
        <w:t>Cette procédure ne peut être entamée que SI ET SEULEMENT SI la dette est liquide, certaine et exigible. Ce qui implique nécessairement que la dette soit une dette d’argent, que son délai de paiement soit échu et que la dette ne soit pas contestée par son débiteur.</w:t>
      </w:r>
    </w:p>
    <w:p w14:paraId="1ED34721" w14:textId="77777777" w:rsidR="00D050B8" w:rsidRDefault="00D050B8" w:rsidP="00D050B8">
      <w:r>
        <w:t>Le non-respect de cette formalité peut entrainer l'annulation de la procédure de recouvrement forcé basée sur la contrainte non fiscale.</w:t>
      </w:r>
    </w:p>
    <w:p w14:paraId="2A5C7E1A" w14:textId="77777777" w:rsidR="00D050B8" w:rsidRDefault="00D050B8" w:rsidP="00D050B8">
      <w:r>
        <w:t>L'article L1124-40 § 1er du CDLD indique que des frais administratifs peuvent être mis à charge du redevable et sont portés en compte sur la contrainte non fiscale en cas de non-paiement</w:t>
      </w:r>
    </w:p>
    <w:p w14:paraId="395E7F5E" w14:textId="77777777" w:rsidR="00D050B8" w:rsidRDefault="00D050B8" w:rsidP="00D050B8">
      <w:r>
        <w:t>Le texte n'impose pas de mettre les frais de recommandé à charge du redevable. Il s'agit d'une faculté laissée aux pouvoirs locaux. Il convient donc de mentionner dans le règlement redevance s'ils sont ou non mis à charge du redevable et de préciser leur montant.</w:t>
      </w:r>
    </w:p>
    <w:p w14:paraId="7948FD68" w14:textId="77777777" w:rsidR="00D050B8" w:rsidRDefault="00D050B8" w:rsidP="00D050B8">
      <w:r>
        <w:t xml:space="preserve">Le texte ne détermine pas le montant des frais mais il est vivement conseillé de ne pas appliquer un montant qui serait disproportionné au regard du montant de la créance réclamée. En cas de recours, ils pourraient être jugés abusifs et être requalifiés en clause pénale abusive. </w:t>
      </w:r>
    </w:p>
    <w:p w14:paraId="002E6AD5" w14:textId="77777777" w:rsidR="00D050B8" w:rsidRDefault="00D050B8" w:rsidP="00D050B8">
      <w:r>
        <w:t>En tout état de cause, le montant des frais du recommandé ne devrait pas dépasser 15,00 euros.</w:t>
      </w:r>
    </w:p>
    <w:p w14:paraId="0FC51E29" w14:textId="77777777" w:rsidR="00310E42" w:rsidRDefault="00D050B8" w:rsidP="003C1612">
      <w:r>
        <w:t>Une contrainte ne peut être visée et rendue exécutoire par le Collège communal que si la dette est exigible, liquide et certaine. Ainsi, c’est uniquement lorsque la dette ne répond pas à ces critères que le recouvrement de la redevance est poursuivi devant les juridictions civiles compétentes. Idéalement les règlements-redevances devraient veiller à prévoir les deux procédures.</w:t>
      </w:r>
    </w:p>
    <w:p w14:paraId="3E169198" w14:textId="77777777" w:rsidR="003C1612" w:rsidRDefault="00D050B8" w:rsidP="003C1612">
      <w:r>
        <w:t xml:space="preserve">En conclusion, si une commune souhaite récupérer les frais de la mise en demeure (par pli recommandé) prévue à l’article L1124-40 du CDLD, celle-ci devra les prévoir impérativement dans son règlement-redevance. </w:t>
      </w:r>
    </w:p>
    <w:p w14:paraId="5951C432" w14:textId="3857E5AD" w:rsidR="002470D7" w:rsidRDefault="002470D7" w:rsidP="35BD9115">
      <w:pPr>
        <w:pStyle w:val="Titre3"/>
      </w:pPr>
      <w:bookmarkStart w:id="831" w:name="_Toc225504284"/>
      <w:bookmarkStart w:id="832" w:name="_Toc225772373"/>
      <w:bookmarkStart w:id="833" w:name="_Toc233626242"/>
      <w:r w:rsidRPr="005C4637">
        <w:t>Réclamation contre les taxes communales et effets sur le recouvrement</w:t>
      </w:r>
      <w:bookmarkEnd w:id="831"/>
      <w:bookmarkEnd w:id="832"/>
      <w:bookmarkEnd w:id="833"/>
    </w:p>
    <w:p w14:paraId="031CEC83" w14:textId="4CC35C74" w:rsidR="00BA6088" w:rsidRDefault="00BA6088">
      <w:pPr>
        <w:pStyle w:val="Titre4"/>
        <w:numPr>
          <w:ilvl w:val="0"/>
          <w:numId w:val="79"/>
        </w:numPr>
      </w:pPr>
      <w:r>
        <w:t>Quelles bases légales ?</w:t>
      </w:r>
    </w:p>
    <w:p w14:paraId="1367F410" w14:textId="3FFA5F0B" w:rsidR="00BA6088" w:rsidRPr="00F91BDD" w:rsidRDefault="00BA6088" w:rsidP="00BA6088">
      <w:pPr>
        <w:spacing w:before="120"/>
        <w:textAlignment w:val="baseline"/>
        <w:rPr>
          <w:rFonts w:eastAsia="Calibri" w:cs="Calibri"/>
        </w:rPr>
      </w:pPr>
      <w:r w:rsidRPr="00F91BDD">
        <w:rPr>
          <w:rFonts w:eastAsia="Calibri" w:cs="Calibri"/>
        </w:rPr>
        <w:t>Les modalités relatives aux réclamations à l’encontre des taxes sont régies par les articles L3321-1 à -12 du CDLD, l’arrêté royal du 12 avril 1999 déterminant la procédure devant le gouverneur (aujourd’hui Collège provincial) ou devant le collège des bourgmestre et échevins (aujourd’hui Collège communal) en matière de réclamation contre une imposition provinciale ou communale et l’article 371 du CIR.</w:t>
      </w:r>
    </w:p>
    <w:p w14:paraId="160ABE0A" w14:textId="77777777" w:rsidR="00BA6088" w:rsidRPr="00F91BDD" w:rsidRDefault="00BA6088" w:rsidP="00BA6088">
      <w:pPr>
        <w:spacing w:before="120"/>
        <w:textAlignment w:val="baseline"/>
        <w:rPr>
          <w:rFonts w:eastAsia="Calibri" w:cs="Calibri"/>
        </w:rPr>
      </w:pPr>
      <w:r w:rsidRPr="00F91BDD">
        <w:rPr>
          <w:rFonts w:eastAsia="Calibri" w:cs="Calibri"/>
        </w:rPr>
        <w:t>Les articles L3321-12 et L3321-4, § 3, 9° du CDLD disposent que :</w:t>
      </w:r>
    </w:p>
    <w:p w14:paraId="35295043" w14:textId="77777777" w:rsidR="00BA6088" w:rsidRPr="00F91BDD" w:rsidRDefault="00BA6088">
      <w:pPr>
        <w:numPr>
          <w:ilvl w:val="0"/>
          <w:numId w:val="78"/>
        </w:numPr>
        <w:spacing w:before="120" w:after="120" w:line="240" w:lineRule="auto"/>
        <w:textAlignment w:val="baseline"/>
        <w:rPr>
          <w:rFonts w:eastAsia="Calibri" w:cs="Calibri"/>
        </w:rPr>
      </w:pPr>
      <w:r w:rsidRPr="00F91BDD">
        <w:rPr>
          <w:rFonts w:eastAsia="Calibri" w:cs="Calibri"/>
        </w:rPr>
        <w:t>Le titre VII, chapitre 7 du Code des impôts sur les revenus (« Voies de recours ») s’applique aux impositions locales à la condition qu’elles ne concernent pas spécialement les impôts sur les revenus ;</w:t>
      </w:r>
    </w:p>
    <w:p w14:paraId="0CF8F0E3" w14:textId="77777777" w:rsidR="00BA6088" w:rsidRPr="00F91BDD" w:rsidRDefault="00BA6088">
      <w:pPr>
        <w:numPr>
          <w:ilvl w:val="0"/>
          <w:numId w:val="78"/>
        </w:numPr>
        <w:spacing w:before="120" w:after="120" w:line="240" w:lineRule="auto"/>
        <w:textAlignment w:val="baseline"/>
        <w:rPr>
          <w:rFonts w:eastAsia="Calibri" w:cs="Calibri"/>
        </w:rPr>
      </w:pPr>
      <w:r w:rsidRPr="00F91BDD">
        <w:rPr>
          <w:rFonts w:eastAsia="Calibri" w:cs="Calibri"/>
        </w:rPr>
        <w:lastRenderedPageBreak/>
        <w:t xml:space="preserve">Les rôles mentionnent le délai dans lequel le redevable peut introduire une réclamation, la dénomination et l’adresse de l’instance compétente pour la recevoir. </w:t>
      </w:r>
    </w:p>
    <w:p w14:paraId="453DE013" w14:textId="77777777" w:rsidR="00BA6088" w:rsidRPr="00F91BDD" w:rsidRDefault="00BA6088" w:rsidP="00BA6088">
      <w:pPr>
        <w:spacing w:before="120"/>
        <w:textAlignment w:val="baseline"/>
        <w:rPr>
          <w:rFonts w:eastAsia="Calibri" w:cs="Calibri"/>
        </w:rPr>
      </w:pPr>
      <w:r w:rsidRPr="00F91BDD">
        <w:rPr>
          <w:rFonts w:eastAsia="Calibri" w:cs="Calibri"/>
        </w:rPr>
        <w:t>En outre, l'article L 3321-2 du CDLD prévoit que le titre II dudit code, relatif à l'établissement et au recouvrement des taxes communales et provinciales, contenant les dispositions relatives au recours administratif à introduire à leur encontre, ne s'applique pas aux taxes additionnelles aux impôts de l'autorité fédérale ainsi qu’aux taxes additionnelles perçues par la Région wallonne au profit des provinces et des communes.</w:t>
      </w:r>
    </w:p>
    <w:p w14:paraId="68288185" w14:textId="77777777" w:rsidR="001B0C27" w:rsidRPr="001B0C27" w:rsidRDefault="001B0C27" w:rsidP="002532A6"/>
    <w:p w14:paraId="30E099F1" w14:textId="77777777" w:rsidR="002470D7" w:rsidRPr="005C4637" w:rsidRDefault="002470D7">
      <w:pPr>
        <w:pStyle w:val="Titre4"/>
        <w:numPr>
          <w:ilvl w:val="0"/>
          <w:numId w:val="80"/>
        </w:numPr>
      </w:pPr>
      <w:r w:rsidRPr="005C4637">
        <w:t>Le recours administratif est-il un préalable obligatoire au recours judiciaire ?</w:t>
      </w:r>
    </w:p>
    <w:p w14:paraId="337E7BFB" w14:textId="2B32182C" w:rsidR="002470D7" w:rsidRPr="005C4637" w:rsidRDefault="002470D7" w:rsidP="002470D7">
      <w:r w:rsidRPr="005C4637">
        <w:t>Oui</w:t>
      </w:r>
      <w:r w:rsidR="00CF76B6" w:rsidRPr="00F91BDD">
        <w:rPr>
          <w:rStyle w:val="Appelnotedebasdep"/>
          <w:rFonts w:eastAsia="Calibri"/>
        </w:rPr>
        <w:footnoteReference w:id="40"/>
      </w:r>
      <w:r w:rsidRPr="005C4637">
        <w:t>. Une réclamation en bonne et due forme doit être introduite devant le Collège communal, même si les griefs portent uniquement sur la légalité du règlement-taxe.</w:t>
      </w:r>
    </w:p>
    <w:p w14:paraId="16672653" w14:textId="4F12A5C2" w:rsidR="002470D7" w:rsidRPr="005C4637" w:rsidRDefault="002470D7">
      <w:pPr>
        <w:pStyle w:val="Titre4"/>
        <w:numPr>
          <w:ilvl w:val="0"/>
          <w:numId w:val="80"/>
        </w:numPr>
      </w:pPr>
      <w:r w:rsidRPr="005C4637">
        <w:t>Qui peut introduire la réclamation et sous quelle forme ?</w:t>
      </w:r>
    </w:p>
    <w:p w14:paraId="0B19127A" w14:textId="4FFD3323" w:rsidR="00D8253E" w:rsidRPr="00F91BDD" w:rsidRDefault="00D8253E" w:rsidP="00D8253E">
      <w:pPr>
        <w:spacing w:before="120"/>
        <w:textAlignment w:val="baseline"/>
        <w:rPr>
          <w:rFonts w:eastAsia="Calibri" w:cs="Calibri"/>
        </w:rPr>
      </w:pPr>
      <w:r w:rsidRPr="00F91BDD">
        <w:rPr>
          <w:rFonts w:eastAsia="Calibri" w:cs="Calibri"/>
        </w:rPr>
        <w:t>Le redevable, ainsi que son conjoint sur les biens duquel l'imposition est mise en recouvrement, peuvent introduire une réclamation contre une taxe communale auprès de l’instance compétente pour la recevoir qui agit en tant qu’autorité administrative.</w:t>
      </w:r>
    </w:p>
    <w:p w14:paraId="5BE687BE" w14:textId="77777777" w:rsidR="00D8253E" w:rsidRPr="00F91BDD" w:rsidRDefault="00D8253E" w:rsidP="00D8253E">
      <w:pPr>
        <w:spacing w:before="120"/>
        <w:textAlignment w:val="baseline"/>
        <w:rPr>
          <w:rFonts w:eastAsia="Calibri" w:cs="Calibri"/>
          <w:spacing w:val="-1"/>
        </w:rPr>
      </w:pPr>
      <w:r w:rsidRPr="00F91BDD">
        <w:rPr>
          <w:rFonts w:eastAsia="Calibri" w:cs="Calibri"/>
          <w:spacing w:val="-1"/>
        </w:rPr>
        <w:t>La Cour Constitutionnelle a décidé</w:t>
      </w:r>
      <w:r w:rsidRPr="00F91BDD">
        <w:rPr>
          <w:rStyle w:val="Appelnotedebasdep"/>
          <w:rFonts w:eastAsia="Calibri" w:cs="Calibri"/>
          <w:spacing w:val="-1"/>
        </w:rPr>
        <w:footnoteReference w:id="41"/>
      </w:r>
      <w:r w:rsidRPr="00F91BDD">
        <w:rPr>
          <w:rFonts w:eastAsia="Calibri" w:cs="Calibri"/>
          <w:spacing w:val="-1"/>
        </w:rPr>
        <w:t xml:space="preserve"> qu'il doit être admis que le droit de réclamation en cause est désormais reconnu à toute personne qui peut être tenue au paiement de l'impôt, non seulement en matière d'impôts sur les revenus mais aussi en matière de taxes provinciales et communales. </w:t>
      </w:r>
    </w:p>
    <w:p w14:paraId="35F2716B" w14:textId="77777777" w:rsidR="00D8253E" w:rsidRPr="00F91BDD" w:rsidRDefault="00D8253E" w:rsidP="00D8253E">
      <w:pPr>
        <w:spacing w:before="120"/>
        <w:textAlignment w:val="baseline"/>
        <w:rPr>
          <w:rFonts w:eastAsia="Calibri" w:cs="Calibri"/>
          <w:spacing w:val="-1"/>
        </w:rPr>
      </w:pPr>
      <w:r w:rsidRPr="00F91BDD">
        <w:rPr>
          <w:rFonts w:eastAsia="Calibri" w:cs="Calibri"/>
          <w:spacing w:val="-1"/>
        </w:rPr>
        <w:t xml:space="preserve">Ainsi, les débiteurs </w:t>
      </w:r>
      <w:r w:rsidRPr="00F91BDD">
        <w:rPr>
          <w:rFonts w:eastAsia="Calibri" w:cs="Calibri"/>
        </w:rPr>
        <w:t>solidairement responsables et les codébiteurs peuvent aussi introduire une réclamation contre la taxe pour laquelle ils sont tenus solidairement.</w:t>
      </w:r>
    </w:p>
    <w:p w14:paraId="30F5F734" w14:textId="77777777" w:rsidR="00D8253E" w:rsidRDefault="00D8253E" w:rsidP="00D8253E">
      <w:pPr>
        <w:spacing w:before="120"/>
        <w:textAlignment w:val="baseline"/>
        <w:rPr>
          <w:rFonts w:eastAsia="Calibri" w:cs="Calibri"/>
        </w:rPr>
      </w:pPr>
      <w:r w:rsidRPr="00F91BDD">
        <w:rPr>
          <w:rFonts w:eastAsia="Calibri" w:cs="Calibri"/>
        </w:rPr>
        <w:t>La réclamation peut également être introduite par un mandataire, pour autant que la preuve du mandat soit fournie à l’Administration, sauf si ce mandataire est un avocat.</w:t>
      </w:r>
    </w:p>
    <w:p w14:paraId="4B8EF294" w14:textId="77777777" w:rsidR="00FF71B5" w:rsidRPr="00F91BDD" w:rsidRDefault="00FF71B5" w:rsidP="00FF71B5">
      <w:pPr>
        <w:spacing w:before="120"/>
        <w:textAlignment w:val="baseline"/>
        <w:rPr>
          <w:rFonts w:eastAsia="Calibri" w:cs="Calibri"/>
        </w:rPr>
      </w:pPr>
      <w:r w:rsidRPr="00F91BDD">
        <w:rPr>
          <w:rFonts w:eastAsia="Calibri" w:cs="Calibri"/>
        </w:rPr>
        <w:t>L’arrêté royal du 12 avril 1999 déterminant la procédure devant le gouverneur ou devant le collège des bourgmestre et échevins en matière de réclamation contre une imposition provinciale ou communale prévoit que la réclamation doit être datée et signée par le réclamant ou son représentant et mentionner :</w:t>
      </w:r>
    </w:p>
    <w:p w14:paraId="45FCFE0B" w14:textId="77777777" w:rsidR="00FF71B5" w:rsidRPr="00F91BDD" w:rsidRDefault="00FF71B5">
      <w:pPr>
        <w:numPr>
          <w:ilvl w:val="0"/>
          <w:numId w:val="77"/>
        </w:numPr>
        <w:spacing w:before="120" w:after="120" w:line="240" w:lineRule="auto"/>
        <w:textAlignment w:val="baseline"/>
        <w:rPr>
          <w:rFonts w:eastAsia="Calibri" w:cs="Calibri"/>
        </w:rPr>
      </w:pPr>
      <w:r w:rsidRPr="00F91BDD">
        <w:rPr>
          <w:rFonts w:eastAsia="Calibri" w:cs="Calibri"/>
        </w:rPr>
        <w:t>Les nom, qualité, adresse ou siège du redevable à charge duquel l'imposition est établie ;</w:t>
      </w:r>
    </w:p>
    <w:p w14:paraId="15AAC384" w14:textId="77777777" w:rsidR="00FF71B5" w:rsidRPr="00F91BDD" w:rsidRDefault="00FF71B5">
      <w:pPr>
        <w:numPr>
          <w:ilvl w:val="0"/>
          <w:numId w:val="77"/>
        </w:numPr>
        <w:spacing w:before="120" w:after="120" w:line="240" w:lineRule="auto"/>
        <w:textAlignment w:val="baseline"/>
        <w:rPr>
          <w:rFonts w:eastAsia="Calibri" w:cs="Calibri"/>
        </w:rPr>
      </w:pPr>
      <w:r w:rsidRPr="00F91BDD">
        <w:rPr>
          <w:rFonts w:eastAsia="Calibri" w:cs="Calibri"/>
        </w:rPr>
        <w:t>L'objet de la réclamation et un exposé des faits et moyens.</w:t>
      </w:r>
    </w:p>
    <w:p w14:paraId="531B586C" w14:textId="77777777" w:rsidR="00FF71B5" w:rsidRPr="00F91BDD" w:rsidRDefault="00FF71B5" w:rsidP="00FF71B5">
      <w:pPr>
        <w:spacing w:before="120"/>
        <w:textAlignment w:val="baseline"/>
        <w:rPr>
          <w:rFonts w:eastAsia="Calibri" w:cs="Calibri"/>
        </w:rPr>
      </w:pPr>
      <w:r w:rsidRPr="00F91BDD">
        <w:rPr>
          <w:rFonts w:eastAsia="Calibri" w:cs="Calibri"/>
        </w:rPr>
        <w:t xml:space="preserve">La réclamation doit être présentée par écrit et signée par le redevable ou son mandataire. </w:t>
      </w:r>
    </w:p>
    <w:p w14:paraId="5B1C0D49" w14:textId="77777777" w:rsidR="00FF71B5" w:rsidRPr="00F91BDD" w:rsidRDefault="00FF71B5" w:rsidP="00FF71B5">
      <w:pPr>
        <w:spacing w:before="120"/>
        <w:textAlignment w:val="baseline"/>
        <w:rPr>
          <w:rFonts w:eastAsia="Calibri" w:cs="Calibri"/>
        </w:rPr>
      </w:pPr>
      <w:r w:rsidRPr="00F91BDD">
        <w:rPr>
          <w:rFonts w:eastAsia="Calibri" w:cs="Calibri"/>
        </w:rPr>
        <w:lastRenderedPageBreak/>
        <w:t>La Cour de cassation</w:t>
      </w:r>
      <w:r w:rsidRPr="00F91BDD">
        <w:rPr>
          <w:rStyle w:val="Appelnotedebasdep"/>
          <w:rFonts w:eastAsia="Calibri" w:cs="Calibri"/>
        </w:rPr>
        <w:footnoteReference w:id="42"/>
      </w:r>
      <w:r w:rsidRPr="00F91BDD">
        <w:rPr>
          <w:rFonts w:eastAsia="Calibri" w:cs="Calibri"/>
        </w:rPr>
        <w:t xml:space="preserve"> a précisé que la réclamation écrite est un acte de procédure devant contenir les éléments faisant apparaître sa validité. Afin d’être valable, la réclamation doit être signée. En effet, la signature constitue un élément essentiel de la réclamation.</w:t>
      </w:r>
    </w:p>
    <w:p w14:paraId="5E36927E" w14:textId="77777777" w:rsidR="00FF71B5" w:rsidRPr="00F91BDD" w:rsidRDefault="00FF71B5" w:rsidP="00FF71B5">
      <w:pPr>
        <w:spacing w:before="120"/>
        <w:textAlignment w:val="baseline"/>
        <w:rPr>
          <w:rFonts w:eastAsia="Calibri" w:cs="Calibri"/>
        </w:rPr>
      </w:pPr>
      <w:r w:rsidRPr="00F91BDD">
        <w:rPr>
          <w:rFonts w:eastAsia="Calibri" w:cs="Calibri"/>
        </w:rPr>
        <w:t>A cet égard, j’attire l’attention que cette irrégularité ne peut être corrigée après l'expiration du délai de réclamation, lequel est d'ordre public. Autrement dit, cette irrégularité ne peut être corrigée que par la signature de la réclamation endéans le délai de réclamation ou par l'introduction d'une réclamation nouvelle et signée dans le délai de réclamation.</w:t>
      </w:r>
    </w:p>
    <w:p w14:paraId="6E9ED7F8" w14:textId="77777777" w:rsidR="00FF71B5" w:rsidRPr="00F91BDD" w:rsidRDefault="00FF71B5" w:rsidP="00FF71B5">
      <w:pPr>
        <w:spacing w:before="120"/>
        <w:textAlignment w:val="baseline"/>
        <w:rPr>
          <w:rFonts w:eastAsia="Calibri" w:cs="Calibri"/>
        </w:rPr>
      </w:pPr>
      <w:r w:rsidRPr="00F91BDD">
        <w:rPr>
          <w:rFonts w:eastAsia="Calibri" w:cs="Calibri"/>
        </w:rPr>
        <w:t xml:space="preserve">La réclamation doit être motivée c’est-à-dire contenir les arguments de droit et de fait invoqués par le redevable à l’appui de ses prétentions. </w:t>
      </w:r>
    </w:p>
    <w:p w14:paraId="427E5BD1" w14:textId="29545910" w:rsidR="00D8253E" w:rsidRPr="00B076C2" w:rsidRDefault="00FF71B5" w:rsidP="00B076C2">
      <w:pPr>
        <w:spacing w:before="120"/>
        <w:textAlignment w:val="baseline"/>
        <w:rPr>
          <w:rFonts w:eastAsia="Calibri" w:cs="Calibri"/>
        </w:rPr>
      </w:pPr>
      <w:r w:rsidRPr="00F91BDD">
        <w:rPr>
          <w:rFonts w:eastAsia="Calibri" w:cs="Calibri"/>
        </w:rPr>
        <w:t>Une réclamation non motivée est irrecevable</w:t>
      </w:r>
      <w:r w:rsidRPr="00F91BDD">
        <w:rPr>
          <w:rStyle w:val="Appelnotedebasdep"/>
          <w:rFonts w:eastAsia="Calibri" w:cs="Calibri"/>
        </w:rPr>
        <w:footnoteReference w:id="43"/>
      </w:r>
    </w:p>
    <w:p w14:paraId="49777D26" w14:textId="7695D5BD" w:rsidR="002470D7" w:rsidRPr="005C4637" w:rsidRDefault="002470D7">
      <w:pPr>
        <w:pStyle w:val="Titre4"/>
        <w:numPr>
          <w:ilvl w:val="0"/>
          <w:numId w:val="80"/>
        </w:numPr>
      </w:pPr>
      <w:r w:rsidRPr="005C4637">
        <w:t>Quel est le délai ?</w:t>
      </w:r>
    </w:p>
    <w:p w14:paraId="08C2F7B7" w14:textId="77777777" w:rsidR="00F64A30" w:rsidRPr="00F91BDD" w:rsidRDefault="00F64A30" w:rsidP="00F64A30">
      <w:pPr>
        <w:spacing w:before="120"/>
        <w:textAlignment w:val="baseline"/>
        <w:rPr>
          <w:rFonts w:ascii="Verdana" w:eastAsia="Calibri" w:hAnsi="Verdana" w:cs="Calibri"/>
          <w:sz w:val="20"/>
          <w:szCs w:val="20"/>
          <w:shd w:val="clear" w:color="auto" w:fill="FFFFFF"/>
        </w:rPr>
      </w:pPr>
      <w:r w:rsidRPr="00F91BDD">
        <w:rPr>
          <w:rFonts w:eastAsia="Calibri" w:cs="Calibri"/>
        </w:rPr>
        <w:t>Conformément à l’article 371 alinéa 1er du CIR, depuis le 1</w:t>
      </w:r>
      <w:r w:rsidRPr="00F91BDD">
        <w:rPr>
          <w:rFonts w:eastAsia="Calibri" w:cs="Calibri"/>
          <w:vertAlign w:val="superscript"/>
        </w:rPr>
        <w:t>er</w:t>
      </w:r>
      <w:r w:rsidRPr="00F91BDD">
        <w:rPr>
          <w:rFonts w:eastAsia="Calibri" w:cs="Calibri"/>
        </w:rPr>
        <w:t xml:space="preserve"> janvier 2023, la réclamation doit introduite, sous peine de déchéance, dans un délai d’un an</w:t>
      </w:r>
      <w:r w:rsidRPr="00F91BDD">
        <w:rPr>
          <w:rStyle w:val="Appelnotedebasdep"/>
          <w:rFonts w:eastAsia="Calibri" w:cs="Calibri"/>
        </w:rPr>
        <w:footnoteReference w:id="44"/>
      </w:r>
      <w:r w:rsidRPr="00F91BDD">
        <w:rPr>
          <w:rFonts w:eastAsia="Calibri" w:cs="Calibri"/>
        </w:rPr>
        <w:t xml:space="preserve"> à compter du troisième jour ouvrable qui suit la date d'envoi de l'avertissement-extrait de rôle mentionnant le délai de réclamation, telle qu'elle figure sur ledit avertissement-extrait de rôle, </w:t>
      </w:r>
      <w:r w:rsidRPr="00F91BDD">
        <w:rPr>
          <w:rFonts w:ascii="Verdana" w:eastAsia="Calibri" w:hAnsi="Verdana" w:cs="Calibri"/>
          <w:sz w:val="20"/>
          <w:szCs w:val="20"/>
          <w:shd w:val="clear" w:color="auto" w:fill="FFFFFF"/>
        </w:rPr>
        <w:t>ou qui suit la date de l'avis de cotisation ou de la perception des impôts perçus autrement que par rôle.</w:t>
      </w:r>
    </w:p>
    <w:p w14:paraId="3AA5EDFD" w14:textId="77777777" w:rsidR="00F64A30" w:rsidRPr="000C41EF" w:rsidRDefault="00F64A30" w:rsidP="00F64A30">
      <w:pPr>
        <w:spacing w:before="120"/>
        <w:textAlignment w:val="baseline"/>
        <w:rPr>
          <w:rFonts w:eastAsia="Calibri" w:cstheme="minorHAnsi"/>
          <w:shd w:val="clear" w:color="auto" w:fill="FFFFFF"/>
        </w:rPr>
      </w:pPr>
      <w:r w:rsidRPr="000C41EF">
        <w:rPr>
          <w:rFonts w:eastAsia="Calibri" w:cstheme="minorHAnsi"/>
          <w:shd w:val="clear" w:color="auto" w:fill="FFFFFF"/>
        </w:rPr>
        <w:t>Dans un arrêt du 23 janvier 2020 (F.18.0037.N), la Cour de cassation a estimé que « </w:t>
      </w:r>
      <w:r w:rsidRPr="000C41EF">
        <w:rPr>
          <w:rFonts w:eastAsia="Calibri" w:cstheme="minorHAnsi"/>
          <w:i/>
          <w:iCs/>
          <w:shd w:val="clear" w:color="auto" w:fill="FFFFFF"/>
        </w:rPr>
        <w:t>La date d'envoi est sans preuve contraire la date d'envoi indiquée sur l'avertissement-extrait de rôle. La simple affirmation par le contribuable qu'un avertissement-extrait de rôle n'a pas été envoyé ne signifie pas que l'administration qui prétend avoir envoyé un AER à l'adresse correcte du contribuable et dans la forme appropriée doive également fournir la preuve que l'avis a été effectivement envoyé</w:t>
      </w:r>
      <w:r w:rsidRPr="000C41EF">
        <w:rPr>
          <w:rFonts w:eastAsia="Calibri" w:cstheme="minorHAnsi"/>
          <w:shd w:val="clear" w:color="auto" w:fill="FFFFFF"/>
        </w:rPr>
        <w:t> ».</w:t>
      </w:r>
    </w:p>
    <w:p w14:paraId="0AA7D9D5" w14:textId="77777777" w:rsidR="00F64A30" w:rsidRPr="000C41EF" w:rsidRDefault="00F64A30" w:rsidP="00F64A30">
      <w:pPr>
        <w:spacing w:before="120"/>
        <w:textAlignment w:val="baseline"/>
        <w:rPr>
          <w:rFonts w:eastAsia="Calibri" w:cstheme="minorHAnsi"/>
        </w:rPr>
      </w:pPr>
      <w:bookmarkStart w:id="834" w:name="_Hlk102393965"/>
      <w:r w:rsidRPr="000C41EF">
        <w:rPr>
          <w:rFonts w:eastAsia="Calibri" w:cstheme="minorHAnsi"/>
          <w:shd w:val="clear" w:color="auto" w:fill="FFFFFF"/>
        </w:rPr>
        <w:t>Outre le fait de l’irrecevabilité de la réclamation introduite hors délai, le contribuable se voit aussi privé de la possibilité de porter son litige devant les</w:t>
      </w:r>
      <w:r w:rsidRPr="000C41EF">
        <w:rPr>
          <w:rFonts w:cstheme="minorHAnsi"/>
        </w:rPr>
        <w:t xml:space="preserve"> </w:t>
      </w:r>
      <w:r w:rsidRPr="000C41EF">
        <w:rPr>
          <w:rFonts w:eastAsia="Calibri" w:cstheme="minorHAnsi"/>
          <w:shd w:val="clear" w:color="auto" w:fill="FFFFFF"/>
        </w:rPr>
        <w:t>cours et tribunaux, pourtant seuls compétents pour connaître des griefs de légalité du règlement-taxe sur lequel repose la taxation.</w:t>
      </w:r>
    </w:p>
    <w:bookmarkEnd w:id="834"/>
    <w:p w14:paraId="645C6877" w14:textId="77777777" w:rsidR="00F64A30" w:rsidRPr="00F91BDD" w:rsidRDefault="00F64A30" w:rsidP="00F64A30">
      <w:pPr>
        <w:spacing w:before="120"/>
        <w:textAlignment w:val="baseline"/>
        <w:rPr>
          <w:rFonts w:eastAsia="Calibri" w:cs="Calibri"/>
        </w:rPr>
      </w:pPr>
      <w:r w:rsidRPr="00F91BDD">
        <w:rPr>
          <w:rFonts w:eastAsia="Calibri" w:cs="Calibri"/>
        </w:rPr>
        <w:t xml:space="preserve">Que la réclamation soit introduite par lettre recommandée </w:t>
      </w:r>
      <w:bookmarkStart w:id="835" w:name="_Hlk102394000"/>
      <w:r w:rsidRPr="00F91BDD">
        <w:rPr>
          <w:rFonts w:eastAsia="Calibri" w:cs="Calibri"/>
        </w:rPr>
        <w:t>ou par lettre simple</w:t>
      </w:r>
      <w:r w:rsidRPr="00F91BDD">
        <w:rPr>
          <w:rStyle w:val="Appelnotedebasdep"/>
          <w:rFonts w:eastAsia="Calibri" w:cs="Calibri"/>
        </w:rPr>
        <w:footnoteReference w:id="45"/>
      </w:r>
      <w:bookmarkEnd w:id="835"/>
      <w:r w:rsidRPr="00F91BDD">
        <w:rPr>
          <w:rFonts w:eastAsia="Calibri" w:cs="Calibri"/>
        </w:rPr>
        <w:t xml:space="preserve">la date </w:t>
      </w:r>
      <w:bookmarkStart w:id="837" w:name="_Hlk99374886"/>
      <w:r w:rsidRPr="00F91BDD">
        <w:rPr>
          <w:rFonts w:eastAsia="Calibri" w:cs="Calibri"/>
        </w:rPr>
        <w:t xml:space="preserve">du cachet de la poste figurant sur la preuve d'envoi </w:t>
      </w:r>
      <w:bookmarkStart w:id="838" w:name="_Hlk102394061"/>
      <w:r w:rsidRPr="00F91BDD">
        <w:rPr>
          <w:rFonts w:eastAsia="Calibri" w:cs="Calibri"/>
        </w:rPr>
        <w:t xml:space="preserve">du recommandé ou sur l’enveloppe de l’envoi simple </w:t>
      </w:r>
      <w:bookmarkEnd w:id="838"/>
      <w:r w:rsidRPr="00F91BDD">
        <w:rPr>
          <w:rFonts w:eastAsia="Calibri" w:cs="Calibri"/>
        </w:rPr>
        <w:t>vaut comme date d'introduction.</w:t>
      </w:r>
    </w:p>
    <w:bookmarkEnd w:id="837"/>
    <w:p w14:paraId="48207DE3" w14:textId="77777777" w:rsidR="00F64A30" w:rsidRPr="00F91BDD" w:rsidRDefault="00F64A30" w:rsidP="00F64A30">
      <w:pPr>
        <w:spacing w:before="120"/>
        <w:textAlignment w:val="baseline"/>
        <w:rPr>
          <w:rFonts w:eastAsia="Calibri" w:cs="Calibri"/>
        </w:rPr>
      </w:pPr>
      <w:r w:rsidRPr="00F91BDD">
        <w:rPr>
          <w:rFonts w:eastAsia="Calibri" w:cs="Calibri"/>
        </w:rPr>
        <w:t>Si la réclamation est remise à l'autorité compétente ou à l'organe qu'elle désigne spécialement à cet effet contre accusé de réception, c’est la date figurant sur le dit accusé qui sera prise en compte.</w:t>
      </w:r>
    </w:p>
    <w:p w14:paraId="218A5372" w14:textId="77777777" w:rsidR="00F64A30" w:rsidRPr="00F91BDD" w:rsidRDefault="00F64A30" w:rsidP="00F64A30">
      <w:pPr>
        <w:spacing w:before="120"/>
        <w:textAlignment w:val="baseline"/>
        <w:rPr>
          <w:rFonts w:eastAsia="Calibri" w:cs="Calibri"/>
        </w:rPr>
      </w:pPr>
      <w:r w:rsidRPr="00F91BDD">
        <w:rPr>
          <w:rFonts w:eastAsia="Calibri" w:cs="Calibri"/>
        </w:rPr>
        <w:lastRenderedPageBreak/>
        <w:t>En ce qui concerne le conjoint séparé de fait, le délai de réclamation commence à courir le jour où le receveur l’informe, par un avis de cotisation, de son intention de mettre en recouvrement la dette d’impôt établie au nom de l’autre conjoint séparé de fait.</w:t>
      </w:r>
    </w:p>
    <w:p w14:paraId="52AFF80E" w14:textId="77777777" w:rsidR="00F64A30" w:rsidRPr="00F91BDD" w:rsidRDefault="00F64A30" w:rsidP="00F64A30">
      <w:pPr>
        <w:spacing w:before="120"/>
        <w:textAlignment w:val="baseline"/>
        <w:rPr>
          <w:rFonts w:eastAsia="Calibri" w:cs="Calibri"/>
        </w:rPr>
      </w:pPr>
      <w:r w:rsidRPr="00F91BDD">
        <w:rPr>
          <w:rFonts w:eastAsia="Calibri" w:cs="Calibri"/>
        </w:rPr>
        <w:t>Le redevable peut également introduire une demande de dégrèvement d’office lorsqu’il estime que la « surtaxe » résulte :</w:t>
      </w:r>
    </w:p>
    <w:p w14:paraId="43CC2167" w14:textId="77777777" w:rsidR="00F64A30" w:rsidRPr="00F91BDD" w:rsidRDefault="00F64A30">
      <w:pPr>
        <w:numPr>
          <w:ilvl w:val="0"/>
          <w:numId w:val="78"/>
        </w:numPr>
        <w:spacing w:before="120" w:after="120" w:line="240" w:lineRule="auto"/>
        <w:textAlignment w:val="baseline"/>
        <w:rPr>
          <w:rFonts w:eastAsia="Calibri" w:cs="Calibri"/>
        </w:rPr>
      </w:pPr>
      <w:r w:rsidRPr="00F91BDD">
        <w:rPr>
          <w:rFonts w:eastAsia="Calibri" w:cs="Calibri"/>
        </w:rPr>
        <w:t>D'une erreur matérielle ;</w:t>
      </w:r>
    </w:p>
    <w:p w14:paraId="092A50FA" w14:textId="77777777" w:rsidR="00F64A30" w:rsidRPr="00F91BDD" w:rsidRDefault="00F64A30">
      <w:pPr>
        <w:numPr>
          <w:ilvl w:val="0"/>
          <w:numId w:val="78"/>
        </w:numPr>
        <w:spacing w:before="120" w:after="120" w:line="240" w:lineRule="auto"/>
        <w:textAlignment w:val="baseline"/>
        <w:rPr>
          <w:rFonts w:eastAsia="Calibri" w:cs="Calibri"/>
        </w:rPr>
      </w:pPr>
      <w:r w:rsidRPr="00F91BDD">
        <w:rPr>
          <w:rFonts w:eastAsia="Calibri" w:cs="Calibri"/>
        </w:rPr>
        <w:t>D’un double emploi ;</w:t>
      </w:r>
    </w:p>
    <w:p w14:paraId="37713128" w14:textId="77777777" w:rsidR="00F64A30" w:rsidRPr="00752721" w:rsidRDefault="00F64A30">
      <w:pPr>
        <w:numPr>
          <w:ilvl w:val="0"/>
          <w:numId w:val="78"/>
        </w:numPr>
        <w:spacing w:before="120" w:after="120" w:line="240" w:lineRule="auto"/>
        <w:textAlignment w:val="baseline"/>
        <w:rPr>
          <w:rFonts w:eastAsia="Calibri" w:cs="Calibri"/>
        </w:rPr>
      </w:pPr>
      <w:r w:rsidRPr="00F91BDD">
        <w:rPr>
          <w:rFonts w:eastAsia="Calibri" w:cs="Calibri"/>
        </w:rPr>
        <w:t>De « faits nouveaux », dont la production ou l'allégation tardive par le redevable est justifiée par de justes motifs.</w:t>
      </w:r>
    </w:p>
    <w:p w14:paraId="0C779710" w14:textId="77777777" w:rsidR="00F64A30" w:rsidRPr="00752721" w:rsidRDefault="00F64A30" w:rsidP="00F64A30">
      <w:pPr>
        <w:spacing w:before="120"/>
        <w:textAlignment w:val="baseline"/>
        <w:rPr>
          <w:rFonts w:eastAsia="Calibri" w:cs="Calibri"/>
        </w:rPr>
      </w:pPr>
      <w:r w:rsidRPr="00F91BDD">
        <w:rPr>
          <w:rFonts w:eastAsia="Calibri" w:cs="Calibri"/>
        </w:rPr>
        <w:t>Pour rappel, l'erreur matérielle visée à l’article 376, § 1</w:t>
      </w:r>
      <w:r w:rsidRPr="00F91BDD">
        <w:rPr>
          <w:rFonts w:eastAsia="Calibri" w:cs="Calibri"/>
          <w:vertAlign w:val="superscript"/>
        </w:rPr>
        <w:t>er</w:t>
      </w:r>
      <w:r w:rsidRPr="00F91BDD">
        <w:rPr>
          <w:rFonts w:eastAsia="Calibri" w:cs="Calibri"/>
        </w:rPr>
        <w:t xml:space="preserve"> du code des impôts sur les revenus consiste en une erreur de fait c'est-à dire une erreur commise par inadvertance qui a pour conséquence que la cotisation manque de base légale</w:t>
      </w:r>
      <w:r w:rsidRPr="00F91BDD">
        <w:rPr>
          <w:rStyle w:val="Appelnotedebasdep"/>
          <w:rFonts w:eastAsia="Calibri" w:cs="Calibri"/>
        </w:rPr>
        <w:footnoteReference w:id="46"/>
      </w:r>
      <w:r w:rsidRPr="00F91BDD">
        <w:rPr>
          <w:rFonts w:eastAsia="Calibri" w:cs="Calibri"/>
        </w:rPr>
        <w:t>. Elle est étrangère à toute intervention de l'intelligence ou de la volonté du contribuable ou du fonctionnaire taxateur ainsi qu'à toute appréciation de celui-ci. Elle consiste en erreurs de calcul, erreurs de plume ou autres erreurs grossières, étrangère à toute appréciation juridique de l'imposabilité du redevable ou de la détermination des bases imposables</w:t>
      </w:r>
      <w:r w:rsidRPr="00F91BDD">
        <w:rPr>
          <w:rStyle w:val="Appelnotedebasdep"/>
          <w:rFonts w:eastAsia="Calibri" w:cs="Calibri"/>
        </w:rPr>
        <w:footnoteReference w:id="47"/>
      </w:r>
      <w:r w:rsidRPr="00F91BDD">
        <w:rPr>
          <w:rFonts w:eastAsia="Calibri" w:cs="Calibri"/>
        </w:rPr>
        <w:t xml:space="preserve">. </w:t>
      </w:r>
    </w:p>
    <w:p w14:paraId="62EAF7E2" w14:textId="77777777" w:rsidR="00F64A30" w:rsidRPr="00752721" w:rsidRDefault="00F64A30" w:rsidP="00F64A30">
      <w:pPr>
        <w:spacing w:before="120"/>
        <w:textAlignment w:val="baseline"/>
        <w:rPr>
          <w:rFonts w:eastAsia="Calibri" w:cs="Calibri"/>
        </w:rPr>
      </w:pPr>
      <w:r w:rsidRPr="00F91BDD">
        <w:rPr>
          <w:rFonts w:eastAsia="Calibri" w:cs="Calibri"/>
        </w:rPr>
        <w:t>Ainsi, l’erreur matérielle au sens de la loi est une erreur dont l’origine réside dans une négligen</w:t>
      </w:r>
      <w:r>
        <w:rPr>
          <w:rFonts w:eastAsia="Calibri" w:cs="Calibri"/>
        </w:rPr>
        <w:t>c</w:t>
      </w:r>
      <w:r w:rsidRPr="00F91BDD">
        <w:rPr>
          <w:rFonts w:eastAsia="Calibri" w:cs="Calibri"/>
        </w:rPr>
        <w:t>e, une distraction ou une inattention du fonctionnaire taxateur ou du contribuable</w:t>
      </w:r>
      <w:r w:rsidRPr="00F91BDD">
        <w:rPr>
          <w:rStyle w:val="Appelnotedebasdep"/>
          <w:rFonts w:eastAsia="Calibri" w:cs="Calibri"/>
        </w:rPr>
        <w:footnoteReference w:id="48"/>
      </w:r>
      <w:r w:rsidRPr="00F91BDD">
        <w:rPr>
          <w:rFonts w:eastAsia="Calibri" w:cs="Calibri"/>
        </w:rPr>
        <w:t xml:space="preserve">. </w:t>
      </w:r>
    </w:p>
    <w:p w14:paraId="6B348658" w14:textId="77777777" w:rsidR="00F64A30" w:rsidRPr="00752721" w:rsidRDefault="00F64A30" w:rsidP="00F64A30">
      <w:pPr>
        <w:spacing w:before="120"/>
        <w:textAlignment w:val="baseline"/>
        <w:rPr>
          <w:rFonts w:eastAsia="Calibri" w:cs="Calibri"/>
        </w:rPr>
      </w:pPr>
      <w:r w:rsidRPr="00F91BDD">
        <w:rPr>
          <w:rFonts w:eastAsia="Calibri" w:cs="Calibri"/>
        </w:rPr>
        <w:t>L’erreur matérielle ne doit donc pas être confondue avec l’erreur de droit qui suppose une interprétation ou une appréciation incorrecte — volontairement ou par ignorance — de la loi fis</w:t>
      </w:r>
      <w:r>
        <w:rPr>
          <w:rFonts w:eastAsia="Calibri" w:cs="Calibri"/>
        </w:rPr>
        <w:t>c</w:t>
      </w:r>
      <w:r w:rsidRPr="00F91BDD">
        <w:rPr>
          <w:rFonts w:eastAsia="Calibri" w:cs="Calibri"/>
        </w:rPr>
        <w:t>ale</w:t>
      </w:r>
      <w:r w:rsidRPr="00F91BDD">
        <w:rPr>
          <w:rStyle w:val="Appelnotedebasdep"/>
          <w:rFonts w:eastAsia="Calibri" w:cs="Calibri"/>
        </w:rPr>
        <w:footnoteReference w:id="49"/>
      </w:r>
      <w:r w:rsidRPr="00F91BDD">
        <w:rPr>
          <w:rFonts w:eastAsia="Calibri" w:cs="Calibri"/>
        </w:rPr>
        <w:t xml:space="preserve">. </w:t>
      </w:r>
    </w:p>
    <w:p w14:paraId="5912D7BA" w14:textId="77777777" w:rsidR="00F64A30" w:rsidRPr="00752721" w:rsidRDefault="00F64A30" w:rsidP="00F64A30">
      <w:pPr>
        <w:spacing w:before="120"/>
        <w:textAlignment w:val="baseline"/>
        <w:rPr>
          <w:rFonts w:eastAsia="Calibri" w:cs="Calibri"/>
        </w:rPr>
      </w:pPr>
      <w:r w:rsidRPr="00F91BDD">
        <w:rPr>
          <w:rFonts w:eastAsia="Calibri" w:cs="Calibri"/>
        </w:rPr>
        <w:t>L’erreur de droit est de nature intellectuelle car elle suppose un raisonnement, une interprétation ou une simple appréciation soit d’éléments de fait, soit d'une disposition légale</w:t>
      </w:r>
      <w:r w:rsidRPr="00F91BDD">
        <w:rPr>
          <w:rStyle w:val="Appelnotedebasdep"/>
          <w:rFonts w:eastAsia="Calibri" w:cs="Calibri"/>
        </w:rPr>
        <w:footnoteReference w:id="50"/>
      </w:r>
      <w:r w:rsidRPr="00F91BDD">
        <w:rPr>
          <w:rFonts w:eastAsia="Calibri" w:cs="Calibri"/>
        </w:rPr>
        <w:t>. Elle est née d’une fausse opinion du contribuable ou du fonctionnaire instructeur au sujet du principe ou du calcul de l'impôt</w:t>
      </w:r>
      <w:r w:rsidRPr="00F91BDD">
        <w:rPr>
          <w:rStyle w:val="Appelnotedebasdep"/>
          <w:rFonts w:eastAsia="Calibri" w:cs="Calibri"/>
        </w:rPr>
        <w:footnoteReference w:id="51"/>
      </w:r>
      <w:r w:rsidRPr="00F91BDD">
        <w:rPr>
          <w:rFonts w:eastAsia="Calibri" w:cs="Calibri"/>
        </w:rPr>
        <w:t>.</w:t>
      </w:r>
    </w:p>
    <w:p w14:paraId="42EADADA" w14:textId="77777777" w:rsidR="00F64A30" w:rsidRPr="00F91BDD" w:rsidRDefault="00F64A30" w:rsidP="00F64A30">
      <w:pPr>
        <w:spacing w:before="120"/>
        <w:textAlignment w:val="baseline"/>
        <w:rPr>
          <w:rFonts w:eastAsia="Calibri" w:cs="Calibri"/>
        </w:rPr>
      </w:pPr>
      <w:r w:rsidRPr="00F91BDD">
        <w:rPr>
          <w:rFonts w:eastAsia="Calibri" w:cs="Calibri"/>
        </w:rPr>
        <w:t>Cette « surtaxe » doit être signalée par le redevable dans les cinq ans à partir du 1</w:t>
      </w:r>
      <w:r w:rsidRPr="00F91BDD">
        <w:rPr>
          <w:rFonts w:eastAsia="Calibri" w:cs="Calibri"/>
          <w:vertAlign w:val="superscript"/>
        </w:rPr>
        <w:t>er</w:t>
      </w:r>
      <w:r w:rsidRPr="00F91BDD">
        <w:rPr>
          <w:rFonts w:eastAsia="Calibri" w:cs="Calibri"/>
        </w:rPr>
        <w:t xml:space="preserve"> janvier de l'année au cours de laquelle l'impôt a été établi.</w:t>
      </w:r>
    </w:p>
    <w:p w14:paraId="46DAC6B2" w14:textId="77777777" w:rsidR="00F64A30" w:rsidRPr="00752721" w:rsidRDefault="00F64A30" w:rsidP="00F64A30">
      <w:pPr>
        <w:spacing w:before="120"/>
        <w:textAlignment w:val="baseline"/>
        <w:rPr>
          <w:rFonts w:eastAsia="Calibri" w:cs="Calibri"/>
        </w:rPr>
      </w:pPr>
      <w:r w:rsidRPr="00F91BDD">
        <w:rPr>
          <w:rFonts w:eastAsia="Calibri" w:cs="Calibri"/>
        </w:rPr>
        <w:lastRenderedPageBreak/>
        <w:t>Cette « surtaxe » doit être signalée par le redevable dans les cinq ans à partir du 1</w:t>
      </w:r>
      <w:r w:rsidRPr="00F91BDD">
        <w:rPr>
          <w:rFonts w:eastAsia="Calibri" w:cs="Calibri"/>
          <w:vertAlign w:val="superscript"/>
        </w:rPr>
        <w:t>er</w:t>
      </w:r>
      <w:r w:rsidRPr="00F91BDD">
        <w:rPr>
          <w:rFonts w:eastAsia="Calibri" w:cs="Calibri"/>
        </w:rPr>
        <w:t xml:space="preserve"> janvier de l'année au cours de laquelle l'impôt a été établi.</w:t>
      </w:r>
    </w:p>
    <w:p w14:paraId="48813F98" w14:textId="164C9057" w:rsidR="001B4820" w:rsidRDefault="001B4820">
      <w:pPr>
        <w:pStyle w:val="Titre4"/>
        <w:numPr>
          <w:ilvl w:val="0"/>
          <w:numId w:val="80"/>
        </w:numPr>
      </w:pPr>
      <w:r>
        <w:t>Auprès de qui ?</w:t>
      </w:r>
    </w:p>
    <w:p w14:paraId="17905905" w14:textId="780F570D" w:rsidR="00600B1E" w:rsidRPr="00600B1E" w:rsidRDefault="00A247DA" w:rsidP="00600B1E">
      <w:r w:rsidRPr="00F91BDD">
        <w:rPr>
          <w:rFonts w:eastAsia="Calibri" w:cstheme="minorHAnsi"/>
        </w:rPr>
        <w:t>L’article L3321-9 du CDLD stipule que le redevable peut introduire une réclamation contre une taxe communale auprès du collège communal, qui agit en tant qu’autorité administrative</w:t>
      </w:r>
      <w:r>
        <w:rPr>
          <w:rFonts w:eastAsia="Calibri" w:cstheme="minorHAnsi"/>
        </w:rPr>
        <w:t>.</w:t>
      </w:r>
    </w:p>
    <w:p w14:paraId="3F612D9A" w14:textId="1609209B" w:rsidR="00A247DA" w:rsidRDefault="00597145">
      <w:pPr>
        <w:pStyle w:val="Paragraphedeliste"/>
        <w:numPr>
          <w:ilvl w:val="0"/>
          <w:numId w:val="80"/>
        </w:numPr>
      </w:pPr>
      <w:r>
        <w:t>Quelles sont les limites du pouvoir en tant qu’autorité administrative ?</w:t>
      </w:r>
    </w:p>
    <w:p w14:paraId="7A214448" w14:textId="77777777" w:rsidR="0029234D" w:rsidRPr="00F91BDD" w:rsidRDefault="0029234D" w:rsidP="0029234D">
      <w:pPr>
        <w:spacing w:before="120"/>
        <w:textAlignment w:val="baseline"/>
        <w:rPr>
          <w:rFonts w:eastAsia="Tahoma" w:cstheme="minorHAnsi"/>
          <w:spacing w:val="4"/>
        </w:rPr>
      </w:pPr>
      <w:bookmarkStart w:id="841" w:name="_Hlk102394193"/>
      <w:r w:rsidRPr="00F91BDD">
        <w:rPr>
          <w:rFonts w:eastAsia="Tahoma" w:cstheme="minorHAnsi"/>
          <w:spacing w:val="4"/>
        </w:rPr>
        <w:t>De ce statut d’autorité administrative du collège, il en découle que :</w:t>
      </w:r>
    </w:p>
    <w:p w14:paraId="6945781A" w14:textId="77777777" w:rsidR="0029234D" w:rsidRPr="00F91BDD" w:rsidRDefault="0029234D">
      <w:pPr>
        <w:pStyle w:val="Paragraphedeliste"/>
        <w:numPr>
          <w:ilvl w:val="0"/>
          <w:numId w:val="75"/>
        </w:numPr>
        <w:spacing w:before="120" w:after="120" w:line="240" w:lineRule="auto"/>
        <w:contextualSpacing w:val="0"/>
        <w:textAlignment w:val="baseline"/>
        <w:rPr>
          <w:rFonts w:eastAsia="Calibri" w:cstheme="minorHAnsi"/>
        </w:rPr>
      </w:pPr>
      <w:r w:rsidRPr="00F91BDD">
        <w:rPr>
          <w:rFonts w:eastAsia="Tahoma"/>
          <w:spacing w:val="4"/>
        </w:rPr>
        <w:t>Le Collège devait uniquement vérifier si l'imposition individuelle est conforme aux lois, aux règlements fiscaux communaux, ensuite aux dispositions du CDLD et finale</w:t>
      </w:r>
      <w:r w:rsidRPr="00F91BDD">
        <w:rPr>
          <w:rFonts w:eastAsia="Tahoma"/>
          <w:spacing w:val="4"/>
        </w:rPr>
        <w:softHyphen/>
        <w:t>ment à toutes les autres dispositions normatives que l'administration locale doit respecter</w:t>
      </w:r>
      <w:r w:rsidRPr="00F91BDD">
        <w:rPr>
          <w:rStyle w:val="Appelnotedebasdep"/>
          <w:rFonts w:eastAsia="Tahoma"/>
          <w:spacing w:val="4"/>
        </w:rPr>
        <w:footnoteReference w:id="52"/>
      </w:r>
      <w:r w:rsidRPr="00F91BDD">
        <w:rPr>
          <w:rFonts w:eastAsia="Tahoma"/>
          <w:spacing w:val="4"/>
        </w:rPr>
        <w:t> ;</w:t>
      </w:r>
    </w:p>
    <w:p w14:paraId="291D5BEE" w14:textId="77777777" w:rsidR="0029234D" w:rsidRPr="00F91BDD" w:rsidRDefault="0029234D">
      <w:pPr>
        <w:pStyle w:val="Paragraphedeliste"/>
        <w:numPr>
          <w:ilvl w:val="0"/>
          <w:numId w:val="75"/>
        </w:numPr>
        <w:spacing w:before="120" w:after="120" w:line="240" w:lineRule="auto"/>
        <w:contextualSpacing w:val="0"/>
        <w:textAlignment w:val="baseline"/>
        <w:rPr>
          <w:rFonts w:eastAsia="Calibri" w:cstheme="minorHAnsi"/>
        </w:rPr>
      </w:pPr>
      <w:r w:rsidRPr="00F91BDD">
        <w:rPr>
          <w:rFonts w:eastAsia="Tahoma" w:cstheme="minorHAnsi"/>
          <w:spacing w:val="4"/>
        </w:rPr>
        <w:t>Le Collège devait vérifier l'exactitude du montant réclamé au contribuable ;</w:t>
      </w:r>
    </w:p>
    <w:p w14:paraId="665C952C" w14:textId="77777777" w:rsidR="0029234D" w:rsidRPr="00752721" w:rsidRDefault="0029234D">
      <w:pPr>
        <w:pStyle w:val="Paragraphedeliste"/>
        <w:numPr>
          <w:ilvl w:val="0"/>
          <w:numId w:val="75"/>
        </w:numPr>
        <w:spacing w:before="120" w:after="120" w:line="240" w:lineRule="auto"/>
        <w:contextualSpacing w:val="0"/>
        <w:textAlignment w:val="baseline"/>
        <w:rPr>
          <w:rFonts w:eastAsia="Calibri" w:cstheme="minorHAnsi"/>
        </w:rPr>
      </w:pPr>
      <w:r w:rsidRPr="00F91BDD">
        <w:rPr>
          <w:rFonts w:eastAsia="Calibri" w:cstheme="minorHAnsi"/>
        </w:rPr>
        <w:t>Le Collège ne peut par contre pas contrôler la conformité du règlement-taxe communal ou provincial lui-même au regard de toutes lois, décrets, ordonnances, règlements provinciaux et communaux.</w:t>
      </w:r>
      <w:bookmarkEnd w:id="841"/>
    </w:p>
    <w:p w14:paraId="6B1B406E" w14:textId="77777777" w:rsidR="00597145" w:rsidRDefault="00597145" w:rsidP="001F3DBB"/>
    <w:p w14:paraId="66C7A307" w14:textId="59F8EE98" w:rsidR="00597145" w:rsidRDefault="0029234D">
      <w:pPr>
        <w:pStyle w:val="Paragraphedeliste"/>
        <w:numPr>
          <w:ilvl w:val="0"/>
          <w:numId w:val="80"/>
        </w:numPr>
      </w:pPr>
      <w:r>
        <w:t>Quelles sont les modalités relatives à l’accusé de réception ?</w:t>
      </w:r>
    </w:p>
    <w:p w14:paraId="11155EB6" w14:textId="77777777" w:rsidR="007B4381" w:rsidRDefault="007B4381" w:rsidP="007B4381">
      <w:r>
        <w:t>L'autorité compétente ou l'organe qu'elle désigne spécialement à cet effet accuse réception par écrit dans les huit jours de l'envoi de la réclamation.</w:t>
      </w:r>
    </w:p>
    <w:p w14:paraId="7BDF146D" w14:textId="77777777" w:rsidR="007B4381" w:rsidRDefault="007B4381" w:rsidP="007B4381">
      <w:r>
        <w:t>Cet accusé de réception doit reprendre la date de réception de la réclamation. Cette date correspond à celle à laquelle l’instance compétente reçoit la réclamation.</w:t>
      </w:r>
    </w:p>
    <w:p w14:paraId="381F8F29" w14:textId="5957165D" w:rsidR="007B4381" w:rsidRDefault="00067808" w:rsidP="007B4381">
      <w:r>
        <w:t xml:space="preserve">La </w:t>
      </w:r>
      <w:r w:rsidR="007B4381">
        <w:t>date de réception de la réclamation constitue le point de départ du délai d’attente de six ou neuf (procédure d’imposition d’office) mois avant l’intentement d’une action devant les tribunaux de première instance</w:t>
      </w:r>
      <w:r w:rsidR="00EC1565" w:rsidRPr="00F91BDD">
        <w:rPr>
          <w:rStyle w:val="Appelnotedebasdep"/>
          <w:rFonts w:eastAsia="Calibri" w:cs="Calibri"/>
        </w:rPr>
        <w:footnoteReference w:id="53"/>
      </w:r>
      <w:r w:rsidR="00EC1565">
        <w:t>.</w:t>
      </w:r>
      <w:r w:rsidR="007B4381">
        <w:t xml:space="preserve"> </w:t>
      </w:r>
    </w:p>
    <w:p w14:paraId="11717C5D" w14:textId="3B4A0C4F" w:rsidR="0029234D" w:rsidRPr="00600B1E" w:rsidRDefault="007B4381" w:rsidP="007B4381">
      <w:r>
        <w:t>De même, si la décision n’a pas été notifiée dans les dix-huit mois suivant l'introduction de la réclamation, l'intérêt de retard prévu au § 1er n'est pas dû sur la partie de la cotisation qui excède le montant déterminé conformément à l'article 410, pendant la période commençant le premier du mois qui suit celui de l'expiration dudit délai de dix-huit mois et se terminant à la fin du mois pendant lequel la décision du directeur est notifiée</w:t>
      </w:r>
      <w:r w:rsidR="00523ABD" w:rsidRPr="00F91BDD">
        <w:rPr>
          <w:rStyle w:val="Appelnotedebasdep"/>
          <w:rFonts w:eastAsia="Calibri" w:cs="Calibri"/>
        </w:rPr>
        <w:footnoteReference w:id="54"/>
      </w:r>
      <w:r w:rsidR="00523ABD">
        <w:t>.</w:t>
      </w:r>
    </w:p>
    <w:p w14:paraId="7943D766" w14:textId="6DE307D7" w:rsidR="00067808" w:rsidRDefault="00067808">
      <w:pPr>
        <w:pStyle w:val="Titre4"/>
        <w:numPr>
          <w:ilvl w:val="0"/>
          <w:numId w:val="80"/>
        </w:numPr>
      </w:pPr>
      <w:r>
        <w:t>Quelle est la procédure ?</w:t>
      </w:r>
    </w:p>
    <w:p w14:paraId="42BEB1E2" w14:textId="77777777" w:rsidR="004013F3" w:rsidRDefault="004013F3" w:rsidP="004013F3">
      <w:r>
        <w:t>La procédure applicable à cette réclamation est déterminée par le gouvernement.</w:t>
      </w:r>
    </w:p>
    <w:p w14:paraId="5BEE3F62" w14:textId="28BB01A5" w:rsidR="00067808" w:rsidRPr="00067808" w:rsidRDefault="004013F3" w:rsidP="00D82A08">
      <w:r>
        <w:lastRenderedPageBreak/>
        <w:t>Les règles de procédure à suivre dans le cadre de ce contentieux fiscal sont régies par l’arrêté royal du 12 avril 1999 déterminant la procédure devant le gouverneur ou devant le collège des bourgmestre et échevins en matière de réclamation contre une imposition provinciale ou communale.</w:t>
      </w:r>
    </w:p>
    <w:p w14:paraId="10A30C1C" w14:textId="77376A1A" w:rsidR="004013F3" w:rsidRDefault="00AD1909">
      <w:pPr>
        <w:pStyle w:val="Titre4"/>
        <w:numPr>
          <w:ilvl w:val="0"/>
          <w:numId w:val="80"/>
        </w:numPr>
      </w:pPr>
      <w:r>
        <w:t>Et après ?</w:t>
      </w:r>
    </w:p>
    <w:p w14:paraId="3E2092A9" w14:textId="77777777" w:rsidR="00062F27" w:rsidRPr="00F91BDD" w:rsidRDefault="00062F27" w:rsidP="00062F27">
      <w:pPr>
        <w:spacing w:before="120"/>
        <w:textAlignment w:val="baseline"/>
        <w:rPr>
          <w:rFonts w:eastAsia="Calibri" w:cs="Calibri"/>
        </w:rPr>
      </w:pPr>
      <w:r w:rsidRPr="00F91BDD">
        <w:rPr>
          <w:rFonts w:eastAsia="Calibri" w:cs="Calibri"/>
        </w:rPr>
        <w:t>L’article L3321-10 du CDLD prévoit que la décision prise par le collège communal peut faire l’objet d’un recours devant le Tribunal de première instance dans le ressort duquel la taxe a été établie.</w:t>
      </w:r>
    </w:p>
    <w:p w14:paraId="02A736A3" w14:textId="77777777" w:rsidR="00062F27" w:rsidRPr="00F91BDD" w:rsidRDefault="00062F27" w:rsidP="00062F27">
      <w:pPr>
        <w:spacing w:before="120"/>
        <w:textAlignment w:val="baseline"/>
        <w:rPr>
          <w:rFonts w:eastAsia="Calibri" w:cs="Calibri"/>
        </w:rPr>
      </w:pPr>
      <w:r w:rsidRPr="00F91BDD">
        <w:rPr>
          <w:rFonts w:eastAsia="Calibri" w:cs="Calibri"/>
        </w:rPr>
        <w:t>Dans cette hypothèse, l’action doit être introduite, à peine de déchéance, au plus tard dans un délai de trois mois à partir de la notification de la décision relative au recours administratif.</w:t>
      </w:r>
    </w:p>
    <w:p w14:paraId="63E7CB80" w14:textId="77777777" w:rsidR="00062F27" w:rsidRPr="00F91BDD" w:rsidRDefault="00062F27" w:rsidP="00062F27">
      <w:pPr>
        <w:spacing w:before="120"/>
        <w:textAlignment w:val="baseline"/>
        <w:rPr>
          <w:rFonts w:eastAsia="Calibri" w:cs="Calibri"/>
        </w:rPr>
      </w:pPr>
      <w:r w:rsidRPr="00F91BDD">
        <w:rPr>
          <w:rFonts w:eastAsia="Calibri" w:cs="Calibri"/>
        </w:rPr>
        <w:t>A cet égard, j’insiste pour que la décision que l’autorité compétente aura notifiée par pli recommandé au réclamant ainsi que, le cas échéant, à son représentant mentionne notamment :</w:t>
      </w:r>
    </w:p>
    <w:p w14:paraId="4E76E7DC" w14:textId="77777777" w:rsidR="00062F27" w:rsidRPr="00F91BDD" w:rsidRDefault="00062F27">
      <w:pPr>
        <w:numPr>
          <w:ilvl w:val="0"/>
          <w:numId w:val="78"/>
        </w:numPr>
        <w:spacing w:before="120" w:after="120" w:line="240" w:lineRule="auto"/>
        <w:ind w:left="714" w:hanging="357"/>
        <w:textAlignment w:val="baseline"/>
        <w:rPr>
          <w:rFonts w:eastAsia="Calibri" w:cs="Calibri"/>
        </w:rPr>
      </w:pPr>
      <w:r w:rsidRPr="00F91BDD">
        <w:rPr>
          <w:rFonts w:eastAsia="Calibri" w:cs="Calibri"/>
        </w:rPr>
        <w:t>Les voies éventuelles de recours ;</w:t>
      </w:r>
    </w:p>
    <w:p w14:paraId="42A9C527" w14:textId="77777777" w:rsidR="00062F27" w:rsidRPr="00F91BDD" w:rsidRDefault="00062F27">
      <w:pPr>
        <w:numPr>
          <w:ilvl w:val="0"/>
          <w:numId w:val="78"/>
        </w:numPr>
        <w:spacing w:before="120" w:after="120" w:line="240" w:lineRule="auto"/>
        <w:ind w:left="714" w:hanging="357"/>
        <w:textAlignment w:val="baseline"/>
        <w:rPr>
          <w:rFonts w:eastAsia="Calibri" w:cs="Calibri"/>
        </w:rPr>
      </w:pPr>
      <w:r w:rsidRPr="00F91BDD">
        <w:rPr>
          <w:rFonts w:eastAsia="Calibri" w:cs="Calibri"/>
        </w:rPr>
        <w:t>Les instances compétentes pour en connaître ;</w:t>
      </w:r>
    </w:p>
    <w:p w14:paraId="05FD4808" w14:textId="77777777" w:rsidR="00062F27" w:rsidRPr="00F91BDD" w:rsidRDefault="00062F27">
      <w:pPr>
        <w:numPr>
          <w:ilvl w:val="0"/>
          <w:numId w:val="78"/>
        </w:numPr>
        <w:spacing w:before="120" w:after="120" w:line="240" w:lineRule="auto"/>
        <w:ind w:left="714" w:hanging="357"/>
        <w:textAlignment w:val="baseline"/>
        <w:rPr>
          <w:rFonts w:eastAsia="Calibri" w:cs="Calibri"/>
        </w:rPr>
      </w:pPr>
      <w:r w:rsidRPr="00F91BDD">
        <w:rPr>
          <w:rFonts w:eastAsia="Calibri" w:cs="Calibri"/>
        </w:rPr>
        <w:t>Les formes et délais à respecter.</w:t>
      </w:r>
    </w:p>
    <w:p w14:paraId="60C10CBB" w14:textId="77777777" w:rsidR="00062F27" w:rsidRPr="00F91BDD" w:rsidRDefault="00062F27" w:rsidP="00062F27">
      <w:pPr>
        <w:spacing w:before="120"/>
        <w:textAlignment w:val="baseline"/>
        <w:rPr>
          <w:rFonts w:eastAsia="Calibri" w:cs="Calibri"/>
        </w:rPr>
      </w:pPr>
      <w:bookmarkStart w:id="842" w:name="_Hlk102394279"/>
      <w:r w:rsidRPr="00F91BDD">
        <w:rPr>
          <w:rFonts w:eastAsia="Calibri" w:cs="Calibri"/>
        </w:rPr>
        <w:t>L'introduction de l'action judiciaire entraîne le dessaisissement du collège communal, celui-ci ne pouvant plus statuer sur la réclamation. Il s'agit d'une règle spécifique au contentieux fiscal qui écarte toute application de la théorie du retrait des actes administratifs. En effet, en vertu de cette règle fiscale de dessaisissement, la décision du collège communal qui se prononcerait sur une réclamation après l'introduction d'un recours judiciaire serait sans aucune valeur juridique.</w:t>
      </w:r>
      <w:r w:rsidRPr="00F91BDD">
        <w:rPr>
          <w:rStyle w:val="Appelnotedebasdep"/>
          <w:rFonts w:eastAsia="Calibri" w:cs="Calibri"/>
        </w:rPr>
        <w:footnoteReference w:id="55"/>
      </w:r>
    </w:p>
    <w:bookmarkEnd w:id="842"/>
    <w:p w14:paraId="69125A1E" w14:textId="77777777" w:rsidR="00062F27" w:rsidRPr="00F91BDD" w:rsidRDefault="00062F27" w:rsidP="00062F27">
      <w:pPr>
        <w:spacing w:before="120"/>
        <w:textAlignment w:val="baseline"/>
        <w:rPr>
          <w:rFonts w:eastAsia="Calibri" w:cs="Calibri"/>
        </w:rPr>
      </w:pPr>
      <w:r w:rsidRPr="00F91BDD">
        <w:rPr>
          <w:rFonts w:eastAsia="Calibri" w:cs="Calibri"/>
        </w:rPr>
        <w:t>Le recours administratif organisé par ou en vertu de la loi, au sens de l’article 1385undecies du Code judiciaire, est, en matière de taxes communales, la réclamation formée contre la taxe enrôlée au nom du redevable devant le collège communal et que seul un tel recours constitue le préalable qui rend admissible l’action portée devant le tribunal de première instance</w:t>
      </w:r>
      <w:r w:rsidRPr="00F91BDD">
        <w:rPr>
          <w:rStyle w:val="Appelnotedebasdep"/>
          <w:rFonts w:eastAsia="Calibri" w:cs="Calibri"/>
        </w:rPr>
        <w:footnoteReference w:id="56"/>
      </w:r>
      <w:r w:rsidRPr="00F91BDD">
        <w:rPr>
          <w:rFonts w:eastAsia="Calibri" w:cs="Calibri"/>
        </w:rPr>
        <w:t>.</w:t>
      </w:r>
    </w:p>
    <w:p w14:paraId="0018183B" w14:textId="77777777" w:rsidR="00062F27" w:rsidRPr="00F91BDD" w:rsidRDefault="00062F27" w:rsidP="00062F27">
      <w:pPr>
        <w:spacing w:before="120"/>
        <w:textAlignment w:val="baseline"/>
        <w:rPr>
          <w:rFonts w:eastAsia="Calibri" w:cs="Calibri"/>
        </w:rPr>
      </w:pPr>
      <w:r w:rsidRPr="00F91BDD">
        <w:rPr>
          <w:rFonts w:eastAsia="Calibri" w:cs="Calibri"/>
        </w:rPr>
        <w:t>L’alinéa 2 de l’article L3321-10 du CDLD stipule qu’ « </w:t>
      </w:r>
      <w:r w:rsidRPr="00F91BDD">
        <w:rPr>
          <w:rFonts w:eastAsia="Calibri" w:cs="Calibri"/>
          <w:i/>
          <w:iCs/>
        </w:rPr>
        <w:t>à défaut de décision, la réclamation est réputée fondée. Les articles 1385decies et 1385undecies du Code judiciaire sont applicables</w:t>
      </w:r>
      <w:r w:rsidRPr="00F91BDD">
        <w:rPr>
          <w:rFonts w:eastAsia="Calibri" w:cs="Calibri"/>
        </w:rPr>
        <w:t> ».</w:t>
      </w:r>
    </w:p>
    <w:p w14:paraId="37662F0E" w14:textId="77777777" w:rsidR="00062F27" w:rsidRPr="00F91BDD" w:rsidRDefault="00062F27" w:rsidP="00062F27">
      <w:pPr>
        <w:spacing w:before="120"/>
        <w:textAlignment w:val="baseline"/>
        <w:rPr>
          <w:rFonts w:eastAsia="Calibri" w:cs="Calibri"/>
        </w:rPr>
      </w:pPr>
      <w:r w:rsidRPr="00F91BDD">
        <w:rPr>
          <w:rFonts w:eastAsia="Calibri" w:cs="Calibri"/>
        </w:rPr>
        <w:t xml:space="preserve">Dans cette hypothèse, l’action peut être introduite au plus tôt six mois après la date de réception du recours administratif au cas où ce recours n'a pas fait l'objet d'une décision. Ce délai de six mois est prolongé de trois mois lorsque l'imposition contestée a été établie d'office par l'administration. </w:t>
      </w:r>
    </w:p>
    <w:p w14:paraId="6627F896" w14:textId="77777777" w:rsidR="00062F27" w:rsidRPr="00F91BDD" w:rsidRDefault="00062F27" w:rsidP="00062F27">
      <w:pPr>
        <w:spacing w:before="120"/>
        <w:textAlignment w:val="baseline"/>
        <w:rPr>
          <w:rFonts w:eastAsia="Calibri" w:cs="Calibri"/>
        </w:rPr>
      </w:pPr>
      <w:r w:rsidRPr="00F91BDD">
        <w:rPr>
          <w:rFonts w:eastAsia="Calibri" w:cs="Calibri"/>
        </w:rPr>
        <w:lastRenderedPageBreak/>
        <w:t xml:space="preserve">D’une part, cela signifie qu’aussi longtemps que le redevable n'a pas porté le litige devant le juge compétent, le Collège communal peut statuer même en dehors du délai de six mois. </w:t>
      </w:r>
    </w:p>
    <w:p w14:paraId="26788B6E" w14:textId="77777777" w:rsidR="00062F27" w:rsidRPr="00F91BDD" w:rsidRDefault="00062F27" w:rsidP="00062F27">
      <w:pPr>
        <w:spacing w:before="120"/>
        <w:textAlignment w:val="baseline"/>
        <w:rPr>
          <w:rFonts w:eastAsia="Calibri" w:cs="Calibri"/>
        </w:rPr>
      </w:pPr>
      <w:r w:rsidRPr="00F91BDD">
        <w:rPr>
          <w:rFonts w:eastAsia="Calibri" w:cs="Calibri"/>
        </w:rPr>
        <w:t>D’autre part, la Cour constitutionnelle</w:t>
      </w:r>
      <w:r w:rsidRPr="00F91BDD">
        <w:rPr>
          <w:rStyle w:val="Appelnotedebasdep"/>
          <w:rFonts w:eastAsia="Calibri" w:cs="Calibri"/>
        </w:rPr>
        <w:footnoteReference w:id="57"/>
      </w:r>
      <w:r w:rsidRPr="00F91BDD">
        <w:rPr>
          <w:rFonts w:eastAsia="Calibri" w:cs="Calibri"/>
        </w:rPr>
        <w:t xml:space="preserve"> a précisé que même si en matière d’impositions communales et provinciales, le législateur a maintenu la présomption de fondement de la réclamation (au niveau administratif), le même législateur en organisant les conditions d’un recours auprès du tribunal de première instance par le renvoi aux dispositions du Code judiciaire, n’a pas voulu priver le juge de son pouvoir d’appréciation en lui imposant le seul entérinement d’une présomption que le législateur aurait lui-même préalablement fixée.  </w:t>
      </w:r>
    </w:p>
    <w:p w14:paraId="12A7C417" w14:textId="2016D293" w:rsidR="00AD1909" w:rsidRPr="00D82A08" w:rsidRDefault="00062F27" w:rsidP="00D82A08">
      <w:pPr>
        <w:spacing w:before="120"/>
        <w:textAlignment w:val="baseline"/>
        <w:rPr>
          <w:rFonts w:eastAsia="Calibri" w:cs="Calibri"/>
        </w:rPr>
      </w:pPr>
      <w:r w:rsidRPr="00F91BDD">
        <w:rPr>
          <w:rFonts w:eastAsia="Calibri" w:cs="Calibri"/>
        </w:rPr>
        <w:t>Autrement dit, cette présomption que la réclamation est réputée fondée (au niveau administratif) ne lie pas le juge.</w:t>
      </w:r>
      <w:r>
        <w:rPr>
          <w:rFonts w:eastAsia="Calibri" w:cs="Calibri"/>
        </w:rPr>
        <w:t xml:space="preserve"> </w:t>
      </w:r>
    </w:p>
    <w:p w14:paraId="591A2112" w14:textId="479C133D" w:rsidR="002470D7" w:rsidRPr="005C4637" w:rsidRDefault="002470D7">
      <w:pPr>
        <w:pStyle w:val="Titre4"/>
        <w:numPr>
          <w:ilvl w:val="0"/>
          <w:numId w:val="80"/>
        </w:numPr>
      </w:pPr>
      <w:r w:rsidRPr="005C4637">
        <w:t>Quelles conséquences sur le recouvrement ?</w:t>
      </w:r>
    </w:p>
    <w:p w14:paraId="01EBA89F" w14:textId="77777777" w:rsidR="00862F1E" w:rsidRDefault="00862F1E" w:rsidP="00862F1E">
      <w:r>
        <w:t>Lorsqu'une taxe est contestée au moyen d'une réclamation, elle ne peut plus faire l'objet de mesure d'exécution qu'à concurrence du montant incontestablement dû. Cet incontestablement dû correspond au montant immédiatement exigible et pouvant être recouvré malgré l’introduction d’une réclamation.</w:t>
      </w:r>
    </w:p>
    <w:p w14:paraId="48B08546" w14:textId="77777777" w:rsidR="00862F1E" w:rsidRDefault="00862F1E" w:rsidP="00862F1E">
      <w:r>
        <w:t>En matière de taxes communales, l'incontestablement dû est souvent égal à zéro. Cela signifie que la caisse communale ne peut enregistrer la recette (sauf cas de paiement volontaire du redevable) tant que le litige n'est pas tranché (tant au niveau administratif que judiciaire).</w:t>
      </w:r>
    </w:p>
    <w:p w14:paraId="36F59A09" w14:textId="77777777" w:rsidR="00862F1E" w:rsidRDefault="00862F1E" w:rsidP="00862F1E">
      <w:r>
        <w:t xml:space="preserve">Ceci ne concerne que les taxes enrôlées car la perception de la taxe constitue un préalable incontournable pour pouvoir réclamer contre une taxe perçue au comptant. En effet, dans cette hypothèse, le délai de réclamation ne commence à courir qu'à compter de cette date (de la perception). </w:t>
      </w:r>
    </w:p>
    <w:p w14:paraId="07232051" w14:textId="77777777" w:rsidR="00862F1E" w:rsidRDefault="00862F1E" w:rsidP="00862F1E">
      <w:r>
        <w:t xml:space="preserve">Pour rappel, au sens de l'article 371 du Code des Impôts sur les revenus (toujours d’application après le CRAF), le mot "perception" signifie l'action de l'administration consistant dans la prise en recette de l'impôt admis à titre de paiement régulier et pour le montant admis par l'administration. </w:t>
      </w:r>
    </w:p>
    <w:p w14:paraId="699B7D1E" w14:textId="77777777" w:rsidR="00862F1E" w:rsidRDefault="00862F1E" w:rsidP="00862F1E">
      <w:r>
        <w:t>Cette matière est désormais régie par les articles 60 et 61 du CRAF (lesquels sont applicables aux taxes communales en vertu de l’article L 3321-12 du CDLD.</w:t>
      </w:r>
    </w:p>
    <w:p w14:paraId="0D1BE2DC" w14:textId="2F2555A5" w:rsidR="00862F1E" w:rsidRDefault="00862F1E" w:rsidP="00862F1E">
      <w:r>
        <w:t>En vertu de l’article 60 du CRAF, les créances fiscales contestées par un recours administratif ou judiciaire peuvent faire l’objet de saisies conservatoires en vue de garantir le recouvrement. Ces mesures conservatoires se font sur la base d’un extrait du rôle mentionnant la date d’exécutoire de ce dernier ou d’une copie d’un avis de perception et recouvrement.</w:t>
      </w:r>
    </w:p>
    <w:p w14:paraId="2F624738" w14:textId="58D9ED42" w:rsidR="001F3DBB" w:rsidRPr="005C4637" w:rsidRDefault="00862F1E" w:rsidP="00862F1E">
      <w:r>
        <w:t xml:space="preserve">L’article 61 du CRAF, quant à lui, prévoit la possibilité d’effectuer des saisies exécution pour les créances contestées mais considérées comme liquides et certaines. Il s’agit des montants </w:t>
      </w:r>
      <w:r>
        <w:lastRenderedPageBreak/>
        <w:t>déclarés ou issus d’une imposition d’office et dont le montant ne dépasse pas le montant de la dernière taxe définitivement due.</w:t>
      </w:r>
      <w:r w:rsidR="001F3DBB">
        <w:t xml:space="preserve"> </w:t>
      </w:r>
      <w:r>
        <w:t xml:space="preserve"> </w:t>
      </w:r>
    </w:p>
    <w:p w14:paraId="203B9F74" w14:textId="0AD00124" w:rsidR="002470D7" w:rsidRPr="005C4637" w:rsidRDefault="002470D7" w:rsidP="35BD9115">
      <w:pPr>
        <w:pStyle w:val="Titre3"/>
      </w:pPr>
      <w:bookmarkStart w:id="843" w:name="_Toc225504285"/>
      <w:bookmarkStart w:id="844" w:name="_Toc225772374"/>
      <w:bookmarkStart w:id="845" w:name="_Toc233626243"/>
      <w:r w:rsidRPr="005C4637">
        <w:t>Réclamation contre les redevances communales</w:t>
      </w:r>
      <w:bookmarkEnd w:id="843"/>
      <w:bookmarkEnd w:id="844"/>
      <w:bookmarkEnd w:id="845"/>
    </w:p>
    <w:p w14:paraId="2A60D998" w14:textId="77777777" w:rsidR="002470D7" w:rsidRPr="005C4637" w:rsidRDefault="002470D7" w:rsidP="006B6B1E">
      <w:pPr>
        <w:pStyle w:val="Titre4"/>
        <w:ind w:left="360"/>
      </w:pPr>
      <w:r w:rsidRPr="005C4637">
        <w:t>La loi organise-t-elle une procédure de réclamation pour les redevances ?</w:t>
      </w:r>
    </w:p>
    <w:p w14:paraId="60885563" w14:textId="77777777" w:rsidR="002470D7" w:rsidRPr="005C4637" w:rsidRDefault="002470D7" w:rsidP="002470D7">
      <w:r w:rsidRPr="005C4637">
        <w:t>Non. Il appartient au Conseil communal de prévoir la procédure dans chaque règlement‑redevance (délais, destinataire, accusé de réception, délai de décision, notification).</w:t>
      </w:r>
    </w:p>
    <w:p w14:paraId="6940A781" w14:textId="15C2EAD7" w:rsidR="002470D7" w:rsidRPr="005C4637" w:rsidRDefault="002470D7" w:rsidP="35BD9115">
      <w:pPr>
        <w:pStyle w:val="Titre3"/>
      </w:pPr>
      <w:bookmarkStart w:id="846" w:name="_Toc225504286"/>
      <w:bookmarkStart w:id="847" w:name="_Toc225772375"/>
      <w:bookmarkStart w:id="848" w:name="_Toc233626244"/>
      <w:r w:rsidRPr="005C4637">
        <w:t>Formalité de déclaration du contribuable</w:t>
      </w:r>
      <w:bookmarkEnd w:id="846"/>
      <w:bookmarkEnd w:id="847"/>
      <w:bookmarkEnd w:id="848"/>
    </w:p>
    <w:p w14:paraId="7066F952" w14:textId="77777777" w:rsidR="002470D7" w:rsidRPr="005C4637" w:rsidRDefault="002470D7" w:rsidP="006B6B1E">
      <w:pPr>
        <w:pStyle w:val="Titre4"/>
        <w:ind w:left="360"/>
      </w:pPr>
      <w:r w:rsidRPr="005C4637">
        <w:t>Que doit prévoir un règlement-taxe en cas d’obligation de déclaration ?</w:t>
      </w:r>
    </w:p>
    <w:p w14:paraId="3414D419" w14:textId="692362FB" w:rsidR="00AF4063" w:rsidRPr="00F91BDD" w:rsidRDefault="002470D7" w:rsidP="00AF4063">
      <w:pPr>
        <w:spacing w:before="120"/>
        <w:textAlignment w:val="baseline"/>
        <w:rPr>
          <w:rFonts w:cs="Calibri Light"/>
        </w:rPr>
      </w:pPr>
      <w:r w:rsidRPr="005C4637">
        <w:t>Il doit non seulement imposer la déclaration, mais fixer le délai de retour à l’administration communale. À défaut, la taxation d’office (art. L3321-6 CDLD) est irrégulière et le règlement peut être annulé</w:t>
      </w:r>
      <w:r w:rsidR="00AF4063">
        <w:t xml:space="preserve">. En effet, </w:t>
      </w:r>
      <w:r w:rsidR="00AF4063" w:rsidRPr="00F91BDD">
        <w:rPr>
          <w:rFonts w:cs="Calibri Light"/>
        </w:rPr>
        <w:t>Le Conseil d'Etat a rendu un arrêt très important en matière de fiscalité locale (Conseil d’Etat (XVe ch.) 13 avril 2021 Arrêt n°250.321 – ville de Verviers - taxe sur les emplacements de parking mis gratuitement à disposition desservant des immeubles affectés à une activité commerciale). Il a annulé un règlement-taxe dans son entièreté en considérant que celui-ci devait prévoir le délai dans lequel la déclaration doit être retournée à l’administration communale. Pour fonder sa décision, il se base sur l’article L3321-6 du Code de la démocratie locale et de la décentralisation en vertu duquel deux conditions doivent être remplies pour que les communes puissent faire usage de la taxation d’office, à savoir que le règlement-taxe doit non seulement prévoir une obligation de déclaration mais également préciser le délai dans lequel cette déclaration doit être retournée à l’administration communale.</w:t>
      </w:r>
    </w:p>
    <w:p w14:paraId="1E1994FB" w14:textId="77777777" w:rsidR="00AF4063" w:rsidRPr="00F91BDD" w:rsidRDefault="00AF4063" w:rsidP="00AF4063">
      <w:pPr>
        <w:spacing w:before="120"/>
        <w:textAlignment w:val="baseline"/>
        <w:rPr>
          <w:rFonts w:cs="Calibri Light"/>
        </w:rPr>
      </w:pPr>
      <w:r w:rsidRPr="00F91BDD">
        <w:rPr>
          <w:rFonts w:cs="Calibri Light"/>
        </w:rPr>
        <w:t>Dans son arrêt, le Conseil d'Etat constate que si dans le règlement-taxe attaqué un délai est fixé pour la notification de la déclaration par le contribuable en cas d’absence de réception du formulaire de déclaration, aucun délai n’est prévu par ce règlement-taxe pour le contribuable qui a reçu un formulaire de déclaration. Or le Conseil d'Etat considère « qu’afin d’assurer le respect de l’article L3321-6, alinéa 1er, précité, le conseil communal doit fixer lui-même un délai et, à tout le moins, un délai minimal permettant aux contribuables de répondre au courrier de l’administration communale lui notifiant le formulaire de déclaration.</w:t>
      </w:r>
    </w:p>
    <w:p w14:paraId="5675291D" w14:textId="77777777" w:rsidR="00AF4063" w:rsidRPr="00504DF2" w:rsidRDefault="00AF4063" w:rsidP="00AF4063">
      <w:pPr>
        <w:spacing w:before="120"/>
        <w:textAlignment w:val="baseline"/>
        <w:rPr>
          <w:rFonts w:cs="Calibri Light"/>
        </w:rPr>
      </w:pPr>
      <w:r w:rsidRPr="00F91BDD">
        <w:rPr>
          <w:rFonts w:cs="Calibri Light"/>
        </w:rPr>
        <w:t>Il s’agit d’une obligation légale imposée par le législateur wallon à l’autorité locale afin de s’assurer que tous les contribuables qui ont reçu un formulaire de déclaration puissent disposer, pour le compléter et le retourner, d’un délai raisonnable qui doit être fixé par une assemblée délibérante démocratiquement élue. En se limitant à renvoyer à un formulaire adressé par l’administration communale qui fixera un délai « au cas par cas », le Conseil d'Etat considère que le règlement-taxe ne respecte pas l’article L3321-6 alinéa 1</w:t>
      </w:r>
      <w:r w:rsidRPr="00F91BDD">
        <w:rPr>
          <w:rFonts w:cs="Calibri Light"/>
          <w:vertAlign w:val="superscript"/>
        </w:rPr>
        <w:t>er</w:t>
      </w:r>
      <w:r w:rsidRPr="00F91BDD">
        <w:rPr>
          <w:rFonts w:cs="Calibri Light"/>
        </w:rPr>
        <w:t xml:space="preserve"> du CDLD et est donc illégal.</w:t>
      </w:r>
    </w:p>
    <w:p w14:paraId="1FEB9A9B" w14:textId="77777777" w:rsidR="00CA7AED" w:rsidRDefault="00CA7AED" w:rsidP="00CA7AED">
      <w:r>
        <w:lastRenderedPageBreak/>
        <w:t xml:space="preserve">Dans son arrêt du 29 novembre 2024 (Arrêt F.21.0006.N) la Cour de cassation aborde le principe d’égalité devant l’impôt et l’indissociabilité des règlements-taxes </w:t>
      </w:r>
    </w:p>
    <w:p w14:paraId="2C96FE95" w14:textId="20C701EB" w:rsidR="00CA7AED" w:rsidRDefault="00CA7AED">
      <w:pPr>
        <w:pStyle w:val="Paragraphedeliste"/>
        <w:numPr>
          <w:ilvl w:val="0"/>
          <w:numId w:val="130"/>
        </w:numPr>
      </w:pPr>
      <w:r>
        <w:t>En ce qui concerne le principe d’égalité :</w:t>
      </w:r>
    </w:p>
    <w:p w14:paraId="37B15E8A" w14:textId="77777777" w:rsidR="00CA7AED" w:rsidRDefault="00CA7AED" w:rsidP="00CA7AED">
      <w:r>
        <w:t>Cet arrêt concerne une taxe communale comportant une exonération dont la légalité est mise en cause.</w:t>
      </w:r>
    </w:p>
    <w:p w14:paraId="2A84A7C1" w14:textId="77777777" w:rsidR="00CA7AED" w:rsidRDefault="00CA7AED" w:rsidP="00CA7AED">
      <w:r>
        <w:t>La Cour affirme qu’un contribuable qui n’est pas concerné par l’exonération litigieuse n’a pas intérêt à agir sur cette seule base et ne peut donc invoquer une violation du principe d’égalité.</w:t>
      </w:r>
    </w:p>
    <w:p w14:paraId="3E2465DD" w14:textId="77777777" w:rsidR="00CA7AED" w:rsidRDefault="00CA7AED" w:rsidP="00CA7AED">
      <w:r>
        <w:t>La Cour privilégie donc une approche individualisée du contrôle de l’égalité fiscale.</w:t>
      </w:r>
    </w:p>
    <w:p w14:paraId="1564A575" w14:textId="3BEF5A12" w:rsidR="00CA7AED" w:rsidRDefault="00CA7AED">
      <w:pPr>
        <w:pStyle w:val="Paragraphedeliste"/>
        <w:numPr>
          <w:ilvl w:val="0"/>
          <w:numId w:val="130"/>
        </w:numPr>
      </w:pPr>
      <w:r>
        <w:t xml:space="preserve">En ce qui concerne l’indissociabilité du règlement-taxe : </w:t>
      </w:r>
    </w:p>
    <w:p w14:paraId="512C28A2" w14:textId="77777777" w:rsidR="00CA7AED" w:rsidRDefault="00CA7AED" w:rsidP="00CA7AED">
      <w:r>
        <w:t>La Cour examine la question de savoir si l’illégalité d’une exonération entraîne automatiquement l’annulation de l’ensemble du règlement-taxe.</w:t>
      </w:r>
    </w:p>
    <w:p w14:paraId="261FB25C" w14:textId="77777777" w:rsidR="00CA7AED" w:rsidRDefault="00CA7AED" w:rsidP="00CA7AED">
      <w:r>
        <w:t xml:space="preserve">La Cour de cassation adopte une lecture restrictive du principe d’indissociabilité en décidant que : </w:t>
      </w:r>
    </w:p>
    <w:p w14:paraId="290A2F4B" w14:textId="77777777" w:rsidR="00CA7AED" w:rsidRDefault="00CA7AED" w:rsidP="00CA7AED">
      <w:pPr>
        <w:ind w:left="709" w:hanging="283"/>
      </w:pPr>
      <w:r>
        <w:t>•</w:t>
      </w:r>
      <w:r>
        <w:tab/>
        <w:t>l’illégalité d’une disposition n’entraîne l’invalidité totale du règlement que si cette disposition est essentielle et indissociable de l’équilibre général de la taxe ;</w:t>
      </w:r>
    </w:p>
    <w:p w14:paraId="06C508BF" w14:textId="77777777" w:rsidR="00CA7AED" w:rsidRDefault="00CA7AED" w:rsidP="00CA7AED">
      <w:pPr>
        <w:ind w:left="709" w:hanging="283"/>
      </w:pPr>
      <w:r>
        <w:t>•</w:t>
      </w:r>
      <w:r>
        <w:tab/>
        <w:t>si le règlement reste cohérent sans l’exonération, seule la disposition fautive est écartée.</w:t>
      </w:r>
    </w:p>
    <w:p w14:paraId="4FED3937" w14:textId="77777777" w:rsidR="00CA7AED" w:rsidRPr="005C4637" w:rsidRDefault="00CA7AED" w:rsidP="00CA7AED">
      <w:r>
        <w:t>Cette position marque une atténuation de la jurisprudence antérieure, plus sévère, et vise à éviter que le juge « réécrive » la norme fiscale.</w:t>
      </w:r>
    </w:p>
    <w:p w14:paraId="3977A97D" w14:textId="67B725C2" w:rsidR="002470D7" w:rsidRPr="005C4637" w:rsidRDefault="002470D7" w:rsidP="002470D7"/>
    <w:p w14:paraId="3EADED10" w14:textId="73E71B26" w:rsidR="002470D7" w:rsidRPr="005C4637" w:rsidRDefault="002470D7" w:rsidP="35BD9115">
      <w:pPr>
        <w:pStyle w:val="Titre3"/>
      </w:pPr>
      <w:bookmarkStart w:id="849" w:name="_Toc2050502584"/>
      <w:bookmarkStart w:id="850" w:name="_Toc225504287"/>
      <w:bookmarkStart w:id="851" w:name="_Toc225772376"/>
      <w:bookmarkStart w:id="852" w:name="_Toc233626245"/>
      <w:r w:rsidRPr="005C4637">
        <w:t>Procédure de taxation d’office</w:t>
      </w:r>
      <w:r w:rsidRPr="77A793B0">
        <w:rPr>
          <w:rStyle w:val="Appelnotedebasdep"/>
        </w:rPr>
        <w:footnoteReference w:id="58"/>
      </w:r>
      <w:bookmarkEnd w:id="849"/>
      <w:bookmarkEnd w:id="850"/>
      <w:bookmarkEnd w:id="851"/>
      <w:bookmarkEnd w:id="852"/>
    </w:p>
    <w:p w14:paraId="316C51AF" w14:textId="77777777" w:rsidR="002470D7" w:rsidRPr="005C4637" w:rsidRDefault="002470D7" w:rsidP="006B6B1E">
      <w:pPr>
        <w:pStyle w:val="Titre4"/>
        <w:ind w:left="360"/>
      </w:pPr>
      <w:r w:rsidRPr="005C4637">
        <w:t>Quand recourir à la taxation d’office et selon quelles modalités ?</w:t>
      </w:r>
    </w:p>
    <w:p w14:paraId="12EE4524" w14:textId="0D99270E" w:rsidR="002470D7" w:rsidRDefault="3A69B2A5" w:rsidP="77A793B0">
      <w:pPr>
        <w:rPr>
          <w:rFonts w:ascii="Cambria" w:eastAsia="MS Mincho" w:hAnsi="Cambria" w:cs="Arial"/>
          <w:lang w:val="fr"/>
        </w:rPr>
      </w:pPr>
      <w:r w:rsidRPr="77A793B0">
        <w:rPr>
          <w:rFonts w:ascii="Cambria" w:eastAsia="MS Mincho" w:hAnsi="Cambria" w:cs="Arial"/>
          <w:lang w:val="fr"/>
        </w:rPr>
        <w:t xml:space="preserve"> Lorsque le règlement de taxation prévoit une obligation de déclaration, l’autorité habilitée à arrêter le rôle </w:t>
      </w:r>
      <w:r w:rsidRPr="77A793B0">
        <w:rPr>
          <w:rFonts w:ascii="Cambria" w:eastAsia="MS Mincho" w:hAnsi="Cambria" w:cs="Arial"/>
          <w:u w:val="single"/>
          <w:lang w:val="fr"/>
        </w:rPr>
        <w:t>doit</w:t>
      </w:r>
      <w:r w:rsidRPr="77A793B0">
        <w:rPr>
          <w:rFonts w:ascii="Cambria" w:eastAsia="MS Mincho" w:hAnsi="Cambria" w:cs="Arial"/>
          <w:lang w:val="fr"/>
        </w:rPr>
        <w:t>, sous peine de nullité de l’imposition, recourir à la taxation d’office dans les cas suivants :</w:t>
      </w:r>
    </w:p>
    <w:p w14:paraId="5150C14A" w14:textId="5AE61EFA" w:rsidR="3A69B2A5" w:rsidRDefault="3A69B2A5">
      <w:pPr>
        <w:numPr>
          <w:ilvl w:val="0"/>
          <w:numId w:val="85"/>
        </w:numPr>
        <w:rPr>
          <w:rFonts w:ascii="Cambria" w:eastAsia="MS Mincho" w:hAnsi="Cambria" w:cs="Arial"/>
          <w:lang w:val="fr"/>
        </w:rPr>
      </w:pPr>
      <w:r w:rsidRPr="77A793B0">
        <w:rPr>
          <w:rFonts w:ascii="Cambria" w:eastAsia="MS Mincho" w:hAnsi="Cambria" w:cs="Arial"/>
          <w:lang w:val="fr"/>
        </w:rPr>
        <w:t>La non-déclaration dans les délais prévus par le règlement ;</w:t>
      </w:r>
    </w:p>
    <w:p w14:paraId="0A919763" w14:textId="5BAAA435" w:rsidR="3A69B2A5" w:rsidRDefault="3A69B2A5">
      <w:pPr>
        <w:numPr>
          <w:ilvl w:val="0"/>
          <w:numId w:val="85"/>
        </w:numPr>
        <w:rPr>
          <w:rFonts w:ascii="Cambria" w:eastAsia="MS Mincho" w:hAnsi="Cambria" w:cs="Arial"/>
          <w:lang w:val="fr"/>
        </w:rPr>
      </w:pPr>
      <w:r w:rsidRPr="77A793B0">
        <w:rPr>
          <w:rFonts w:ascii="Cambria" w:eastAsia="MS Mincho" w:hAnsi="Cambria" w:cs="Arial"/>
          <w:lang w:val="fr"/>
        </w:rPr>
        <w:t>Ou la remise d’une déclaration incorrecte, incomplète ou imprécise de la part du redevable.</w:t>
      </w:r>
    </w:p>
    <w:p w14:paraId="7B11712B" w14:textId="08DFAFB0" w:rsidR="3A69B2A5" w:rsidRDefault="3A69B2A5" w:rsidP="002978A4">
      <w:pPr>
        <w:rPr>
          <w:rFonts w:ascii="Cambria" w:eastAsia="MS Mincho" w:hAnsi="Cambria" w:cs="Arial"/>
          <w:lang w:val="fr"/>
        </w:rPr>
      </w:pPr>
      <w:r w:rsidRPr="77A793B0">
        <w:rPr>
          <w:rFonts w:ascii="Cambria" w:eastAsia="MS Mincho" w:hAnsi="Cambria" w:cs="Arial"/>
          <w:lang w:val="fr"/>
        </w:rPr>
        <w:t>Ces infractions doivent être constatées par des fonctionnaires assermentés et spécialement désignés à cet effet par l’autorité habilitée à arrêter les rôles.</w:t>
      </w:r>
    </w:p>
    <w:p w14:paraId="3848610D" w14:textId="3C43AC47" w:rsidR="3A69B2A5" w:rsidRDefault="3A69B2A5">
      <w:pPr>
        <w:rPr>
          <w:rFonts w:ascii="Cambria" w:eastAsia="MS Mincho" w:hAnsi="Cambria" w:cs="Arial"/>
          <w:lang w:val="fr"/>
        </w:rPr>
      </w:pPr>
      <w:r w:rsidRPr="77A793B0">
        <w:rPr>
          <w:rFonts w:ascii="Cambria" w:eastAsia="MS Mincho" w:hAnsi="Cambria" w:cs="Arial"/>
          <w:lang w:val="fr"/>
        </w:rPr>
        <w:lastRenderedPageBreak/>
        <w:t>La jurisprudence concordante de la Cour de cassation</w:t>
      </w:r>
      <w:r w:rsidRPr="77A793B0">
        <w:rPr>
          <w:rStyle w:val="Appelnotedebasdep"/>
          <w:rFonts w:ascii="Cambria" w:eastAsia="MS Mincho" w:hAnsi="Cambria" w:cs="Arial"/>
          <w:lang w:val="fr"/>
        </w:rPr>
        <w:footnoteReference w:id="59"/>
      </w:r>
      <w:r w:rsidR="120236B9" w:rsidRPr="77A793B0">
        <w:rPr>
          <w:rStyle w:val="Appelnotedebasdep"/>
          <w:rFonts w:ascii="Cambria" w:eastAsia="MS Mincho" w:hAnsi="Cambria" w:cs="Arial"/>
          <w:lang w:val="fr"/>
        </w:rPr>
        <w:t xml:space="preserve"> </w:t>
      </w:r>
      <w:r w:rsidRPr="77A793B0">
        <w:rPr>
          <w:rFonts w:ascii="Cambria" w:eastAsia="MS Mincho" w:hAnsi="Cambria" w:cs="Arial"/>
          <w:lang w:val="fr"/>
        </w:rPr>
        <w:t>fait apparaître que :</w:t>
      </w:r>
    </w:p>
    <w:p w14:paraId="41B28CA2" w14:textId="4D9C47B8" w:rsidR="3A69B2A5" w:rsidRDefault="3A69B2A5">
      <w:pPr>
        <w:numPr>
          <w:ilvl w:val="0"/>
          <w:numId w:val="84"/>
        </w:numPr>
        <w:rPr>
          <w:rFonts w:ascii="Cambria" w:eastAsia="MS Mincho" w:hAnsi="Cambria" w:cs="Arial"/>
          <w:lang w:val="fr"/>
        </w:rPr>
      </w:pPr>
      <w:r w:rsidRPr="77A793B0">
        <w:rPr>
          <w:rFonts w:ascii="Cambria" w:eastAsia="MS Mincho" w:hAnsi="Cambria" w:cs="Arial"/>
          <w:lang w:val="fr"/>
        </w:rPr>
        <w:t xml:space="preserve">Cette procédure est </w:t>
      </w:r>
      <w:r w:rsidRPr="77A793B0">
        <w:rPr>
          <w:rFonts w:ascii="Cambria" w:eastAsia="MS Mincho" w:hAnsi="Cambria" w:cs="Arial"/>
          <w:u w:val="single"/>
          <w:lang w:val="fr"/>
        </w:rPr>
        <w:t>obligatoire</w:t>
      </w:r>
      <w:r w:rsidRPr="77A793B0">
        <w:rPr>
          <w:rFonts w:ascii="Cambria" w:eastAsia="MS Mincho" w:hAnsi="Cambria" w:cs="Arial"/>
          <w:lang w:val="fr"/>
        </w:rPr>
        <w:t xml:space="preserve"> en ce sens que l’autorité habilitée à arrêter le rôle ne peut pas renoncer à cette procédure ; </w:t>
      </w:r>
    </w:p>
    <w:p w14:paraId="475BC04F" w14:textId="6E176445" w:rsidR="3A69B2A5" w:rsidRDefault="3A69B2A5">
      <w:pPr>
        <w:numPr>
          <w:ilvl w:val="0"/>
          <w:numId w:val="84"/>
        </w:numPr>
        <w:rPr>
          <w:rFonts w:ascii="Cambria" w:eastAsia="MS Mincho" w:hAnsi="Cambria" w:cs="Arial"/>
          <w:lang w:val="fr"/>
        </w:rPr>
      </w:pPr>
      <w:r w:rsidRPr="77A793B0">
        <w:rPr>
          <w:rFonts w:ascii="Cambria" w:eastAsia="MS Mincho" w:hAnsi="Cambria" w:cs="Arial"/>
          <w:lang w:val="fr"/>
        </w:rPr>
        <w:t>Lorsqu’une déclaration est rentrée tardivement, l’autorité habilitée à arrêter le rôle peut procéder, sans recourir à la procédure d’imposition d’office, à la taxation si celle-ci est uniquement et exclusivement basée sur le(s) montant(s) et autres éléments mentionnés (par exemple : le taux, la revendication d’une exonération, etc.) par le redevable dans la déclaration qu’il n’a pas introduite en temps utile.</w:t>
      </w:r>
    </w:p>
    <w:p w14:paraId="31A2A28D" w14:textId="45228195" w:rsidR="3A69B2A5" w:rsidRDefault="3A69B2A5" w:rsidP="002978A4">
      <w:pPr>
        <w:rPr>
          <w:rFonts w:ascii="Cambria" w:eastAsia="MS Mincho" w:hAnsi="Cambria" w:cs="Arial"/>
          <w:lang w:val="fr"/>
        </w:rPr>
      </w:pPr>
      <w:r w:rsidRPr="77A793B0">
        <w:rPr>
          <w:rFonts w:ascii="Cambria" w:eastAsia="MS Mincho" w:hAnsi="Cambria" w:cs="Arial"/>
          <w:lang w:val="fr"/>
        </w:rPr>
        <w:t xml:space="preserve">Autrement dit, si l’autorité habilitée à arrêter le rôle ne peut pas établir la taxe sur la base du montant et des éléments fournis par le redevable dans une déclaration qu’il n’a pas introduite en temps utile, elle est tenue, sous peine de nullité de l’imposition établie, de recourir à la procédure de taxation d’office.    </w:t>
      </w:r>
    </w:p>
    <w:p w14:paraId="5C6DC27D" w14:textId="3F226866" w:rsidR="3A69B2A5" w:rsidRDefault="3A69B2A5">
      <w:pPr>
        <w:rPr>
          <w:rFonts w:ascii="Cambria" w:eastAsia="MS Mincho" w:hAnsi="Cambria" w:cs="Arial"/>
          <w:lang w:val="fr"/>
        </w:rPr>
      </w:pPr>
      <w:r w:rsidRPr="77A793B0">
        <w:rPr>
          <w:rFonts w:ascii="Cambria" w:eastAsia="MS Mincho" w:hAnsi="Cambria" w:cs="Arial"/>
          <w:lang w:val="fr"/>
        </w:rPr>
        <w:t>La procédure de taxation d’office implique que l'autorité habilitée à arrêter le rôle doit aviser le redevable par lettre recommandée à la poste :</w:t>
      </w:r>
    </w:p>
    <w:p w14:paraId="09B14E01" w14:textId="60FB6BDD" w:rsidR="3A69B2A5" w:rsidRDefault="3A69B2A5">
      <w:pPr>
        <w:numPr>
          <w:ilvl w:val="0"/>
          <w:numId w:val="83"/>
        </w:numPr>
        <w:rPr>
          <w:rFonts w:ascii="Cambria" w:eastAsia="MS Mincho" w:hAnsi="Cambria" w:cs="Arial"/>
          <w:lang w:val="fr"/>
        </w:rPr>
      </w:pPr>
      <w:r w:rsidRPr="77A793B0">
        <w:rPr>
          <w:rFonts w:ascii="Cambria" w:eastAsia="MS Mincho" w:hAnsi="Cambria" w:cs="Arial"/>
          <w:lang w:val="fr"/>
        </w:rPr>
        <w:t>Des motifs du recours à cette procédure à savoir soit la non-déclaration dans les délais prévus par le règlement soit la remise d’une déclaration incorrecte, incomplète ou imprécise) ;</w:t>
      </w:r>
    </w:p>
    <w:p w14:paraId="005F2A25" w14:textId="6B045B2A" w:rsidR="3A69B2A5" w:rsidRDefault="3A69B2A5">
      <w:pPr>
        <w:numPr>
          <w:ilvl w:val="0"/>
          <w:numId w:val="83"/>
        </w:numPr>
        <w:rPr>
          <w:rFonts w:ascii="Cambria" w:eastAsia="MS Mincho" w:hAnsi="Cambria" w:cs="Arial"/>
          <w:lang w:val="fr"/>
        </w:rPr>
      </w:pPr>
      <w:r w:rsidRPr="77A793B0">
        <w:rPr>
          <w:rFonts w:ascii="Cambria" w:eastAsia="MS Mincho" w:hAnsi="Cambria" w:cs="Arial"/>
          <w:lang w:val="fr"/>
        </w:rPr>
        <w:t>Les éléments sur lesquels la taxation est basée ;</w:t>
      </w:r>
    </w:p>
    <w:p w14:paraId="4A1F4392" w14:textId="723F64DD" w:rsidR="3A69B2A5" w:rsidRDefault="3A69B2A5">
      <w:pPr>
        <w:numPr>
          <w:ilvl w:val="0"/>
          <w:numId w:val="83"/>
        </w:numPr>
        <w:rPr>
          <w:rFonts w:ascii="Cambria" w:eastAsia="MS Mincho" w:hAnsi="Cambria" w:cs="Arial"/>
          <w:lang w:val="fr"/>
        </w:rPr>
      </w:pPr>
      <w:r w:rsidRPr="77A793B0">
        <w:rPr>
          <w:rFonts w:ascii="Cambria" w:eastAsia="MS Mincho" w:hAnsi="Cambria" w:cs="Arial"/>
          <w:lang w:val="fr"/>
        </w:rPr>
        <w:t>Le mode de détermination de ces éléments ;</w:t>
      </w:r>
    </w:p>
    <w:p w14:paraId="464F8A30" w14:textId="06292736" w:rsidR="3A69B2A5" w:rsidRDefault="3A69B2A5">
      <w:pPr>
        <w:numPr>
          <w:ilvl w:val="0"/>
          <w:numId w:val="83"/>
        </w:numPr>
        <w:rPr>
          <w:rFonts w:ascii="Cambria" w:eastAsia="MS Mincho" w:hAnsi="Cambria" w:cs="Arial"/>
          <w:lang w:val="fr"/>
        </w:rPr>
      </w:pPr>
      <w:r w:rsidRPr="77A793B0">
        <w:rPr>
          <w:rFonts w:ascii="Cambria" w:eastAsia="MS Mincho" w:hAnsi="Cambria" w:cs="Arial"/>
          <w:lang w:val="fr"/>
        </w:rPr>
        <w:t>Le montant de la taxe.</w:t>
      </w:r>
    </w:p>
    <w:p w14:paraId="47816EE1" w14:textId="514AA323" w:rsidR="3A69B2A5" w:rsidRDefault="3A69B2A5" w:rsidP="002978A4">
      <w:pPr>
        <w:rPr>
          <w:rFonts w:ascii="Cambria" w:eastAsia="MS Mincho" w:hAnsi="Cambria" w:cs="Arial"/>
          <w:lang w:val="fr"/>
        </w:rPr>
      </w:pPr>
      <w:r w:rsidRPr="77A793B0">
        <w:rPr>
          <w:rFonts w:ascii="Cambria" w:eastAsia="MS Mincho" w:hAnsi="Cambria" w:cs="Arial"/>
          <w:lang w:val="fr"/>
        </w:rPr>
        <w:t>Le redevable dispose d'un délai de trente jours à compter de la date d'envoi de la notification pour faire valoir ses observations par écrit.</w:t>
      </w:r>
    </w:p>
    <w:p w14:paraId="7E0F2ED6" w14:textId="38F32905" w:rsidR="3A69B2A5" w:rsidRDefault="3A69B2A5">
      <w:pPr>
        <w:rPr>
          <w:rFonts w:ascii="Cambria" w:eastAsia="MS Mincho" w:hAnsi="Cambria" w:cs="Arial"/>
          <w:lang w:val="fr"/>
        </w:rPr>
      </w:pPr>
      <w:r w:rsidRPr="77A793B0">
        <w:rPr>
          <w:rFonts w:ascii="Cambria" w:eastAsia="MS Mincho" w:hAnsi="Cambria" w:cs="Arial"/>
          <w:lang w:val="fr"/>
        </w:rPr>
        <w:t>Préalablement à l’établissement de la cotisation, je conseille à l'autorité habilitée à arrêter le rôle de vérifier notamment sur la base des observations formulées par le redevable :</w:t>
      </w:r>
    </w:p>
    <w:p w14:paraId="201BE3F1" w14:textId="4A68F418" w:rsidR="3A69B2A5" w:rsidRDefault="3A69B2A5">
      <w:pPr>
        <w:numPr>
          <w:ilvl w:val="0"/>
          <w:numId w:val="82"/>
        </w:numPr>
        <w:rPr>
          <w:rFonts w:ascii="Cambria" w:eastAsia="MS Mincho" w:hAnsi="Cambria" w:cs="Arial"/>
          <w:lang w:val="fr-FR"/>
        </w:rPr>
      </w:pPr>
      <w:r w:rsidRPr="77A793B0">
        <w:rPr>
          <w:rFonts w:ascii="Cambria" w:eastAsia="MS Mincho" w:hAnsi="Cambria" w:cs="Arial"/>
          <w:lang w:val="fr-FR"/>
        </w:rPr>
        <w:t>si ce n’est pas à tort que la procédure d’office a été utilisée ;</w:t>
      </w:r>
    </w:p>
    <w:p w14:paraId="45F0C5F6" w14:textId="46777302" w:rsidR="3A69B2A5" w:rsidRDefault="3A69B2A5">
      <w:pPr>
        <w:numPr>
          <w:ilvl w:val="0"/>
          <w:numId w:val="82"/>
        </w:numPr>
        <w:rPr>
          <w:rFonts w:ascii="Cambria" w:eastAsia="MS Mincho" w:hAnsi="Cambria" w:cs="Arial"/>
          <w:lang w:val="fr-FR"/>
        </w:rPr>
      </w:pPr>
      <w:r w:rsidRPr="77A793B0">
        <w:rPr>
          <w:rFonts w:ascii="Cambria" w:eastAsia="MS Mincho" w:hAnsi="Cambria" w:cs="Arial"/>
          <w:lang w:val="fr-FR"/>
        </w:rPr>
        <w:t>si la détermination du montant qui est soumis à la taxe n’est pas entachée d’une erreur.</w:t>
      </w:r>
    </w:p>
    <w:p w14:paraId="2598DB83" w14:textId="04E00B87" w:rsidR="3A69B2A5" w:rsidRDefault="3A69B2A5" w:rsidP="002978A4">
      <w:pPr>
        <w:rPr>
          <w:rFonts w:ascii="Cambria" w:eastAsia="MS Mincho" w:hAnsi="Cambria" w:cs="Arial"/>
        </w:rPr>
      </w:pPr>
      <w:r w:rsidRPr="77A793B0">
        <w:rPr>
          <w:rFonts w:ascii="Cambria" w:eastAsia="MS Mincho" w:hAnsi="Cambria" w:cs="Arial"/>
        </w:rPr>
        <w:t>De même, j’encourage l'autorité habilitée à arrêter le rôle à faire connaître, même si cela n’est pas prévu dans le CDLD, au redevable, par écrit, au plus tard le jour de l'établissement de la cotisation, les observations que celui-ci a formulées, et dont elle n'a pas tenu compte, en indiquant les motifs qui justifient sa décision.</w:t>
      </w:r>
    </w:p>
    <w:p w14:paraId="30EFFBA6" w14:textId="3E2E35CE" w:rsidR="3A69B2A5" w:rsidRDefault="3A69B2A5">
      <w:pPr>
        <w:rPr>
          <w:rFonts w:ascii="Cambria" w:eastAsia="MS Mincho" w:hAnsi="Cambria" w:cs="Arial"/>
        </w:rPr>
      </w:pPr>
      <w:r w:rsidRPr="77A793B0">
        <w:rPr>
          <w:rFonts w:ascii="Cambria" w:eastAsia="MS Mincho" w:hAnsi="Cambria" w:cs="Arial"/>
        </w:rPr>
        <w:lastRenderedPageBreak/>
        <w:t>La taxation d’office ne peut être enrôlée valablement que pendant une période de trois ans à compter du 1</w:t>
      </w:r>
      <w:r w:rsidRPr="77A793B0">
        <w:rPr>
          <w:rFonts w:ascii="Cambria" w:eastAsia="MS Mincho" w:hAnsi="Cambria" w:cs="Arial"/>
          <w:vertAlign w:val="superscript"/>
        </w:rPr>
        <w:t>er</w:t>
      </w:r>
      <w:r w:rsidRPr="77A793B0">
        <w:rPr>
          <w:rFonts w:ascii="Cambria" w:eastAsia="MS Mincho" w:hAnsi="Cambria" w:cs="Arial"/>
        </w:rPr>
        <w:t xml:space="preserve"> janvier de l’exercice d’imposition. Ce délai est prolongé de deux ans en cas d’infraction au règlement de taxation commise dans une intention frauduleuse ou à dessein de nuire.</w:t>
      </w:r>
    </w:p>
    <w:p w14:paraId="45BB3282" w14:textId="5538A907" w:rsidR="3A69B2A5" w:rsidRDefault="3A69B2A5">
      <w:pPr>
        <w:rPr>
          <w:rFonts w:ascii="Cambria" w:eastAsia="MS Mincho" w:hAnsi="Cambria" w:cs="Arial"/>
        </w:rPr>
      </w:pPr>
      <w:r w:rsidRPr="77A793B0">
        <w:rPr>
          <w:rFonts w:ascii="Cambria" w:eastAsia="MS Mincho" w:hAnsi="Cambria" w:cs="Arial"/>
        </w:rPr>
        <w:t>Pour rappel, le règlement de taxation doit prévoir que les taxes enrôlées d’office sont majorées de tel montant qu’il fixe et qui ne peut dépasser le double de la taxe qui est due. Le montant de cette majoration est également enrôlé.</w:t>
      </w:r>
    </w:p>
    <w:p w14:paraId="407671CC" w14:textId="73381F27" w:rsidR="3A69B2A5" w:rsidRDefault="3A69B2A5">
      <w:pPr>
        <w:rPr>
          <w:rFonts w:ascii="Cambria" w:eastAsia="MS Mincho" w:hAnsi="Cambria" w:cs="Arial"/>
          <w:lang w:val="fr"/>
        </w:rPr>
      </w:pPr>
      <w:r w:rsidRPr="77A793B0">
        <w:rPr>
          <w:rFonts w:ascii="Cambria" w:eastAsia="MS Mincho" w:hAnsi="Cambria" w:cs="Arial"/>
          <w:lang w:val="fr"/>
        </w:rPr>
        <w:t xml:space="preserve">Comme vous pouvez le constater, pour éviter la nullité des cotisations enrôlées via la procédure de taxation d’office, </w:t>
      </w:r>
      <w:r w:rsidR="0B047071" w:rsidRPr="77A793B0">
        <w:rPr>
          <w:rFonts w:ascii="Cambria" w:eastAsia="MS Mincho" w:hAnsi="Cambria" w:cs="Arial"/>
          <w:lang w:val="fr"/>
        </w:rPr>
        <w:t>Il est conseillé</w:t>
      </w:r>
      <w:r w:rsidRPr="77A793B0">
        <w:rPr>
          <w:rFonts w:ascii="Cambria" w:eastAsia="MS Mincho" w:hAnsi="Cambria" w:cs="Arial"/>
          <w:lang w:val="fr"/>
        </w:rPr>
        <w:t xml:space="preserve"> à suivre de manière stricte les règles prévues aux articles L3321-6 et suivants du CDLD. </w:t>
      </w:r>
    </w:p>
    <w:p w14:paraId="795DFB29" w14:textId="68558353" w:rsidR="002470D7" w:rsidRPr="005C4637" w:rsidRDefault="002470D7" w:rsidP="35BD9115">
      <w:pPr>
        <w:pStyle w:val="Titre3"/>
      </w:pPr>
      <w:bookmarkStart w:id="853" w:name="_Toc225504288"/>
      <w:bookmarkStart w:id="854" w:name="_Toc225772377"/>
      <w:bookmarkStart w:id="855" w:name="_Toc233626246"/>
      <w:r w:rsidRPr="005C4637">
        <w:t>Articles 355 à 357 du CIR (nouvelles et subsidiaires)</w:t>
      </w:r>
      <w:bookmarkEnd w:id="853"/>
      <w:bookmarkEnd w:id="854"/>
      <w:bookmarkEnd w:id="855"/>
    </w:p>
    <w:p w14:paraId="25794C02" w14:textId="77777777" w:rsidR="002470D7" w:rsidRPr="005C4637" w:rsidRDefault="002470D7">
      <w:pPr>
        <w:pStyle w:val="Titre4"/>
        <w:numPr>
          <w:ilvl w:val="0"/>
          <w:numId w:val="95"/>
        </w:numPr>
      </w:pPr>
      <w:r w:rsidRPr="005C4637">
        <w:t>Quand établir une nouvelle cotisation (art. 355 CIR) ?</w:t>
      </w:r>
    </w:p>
    <w:p w14:paraId="14F8A955" w14:textId="14C1E877" w:rsidR="002470D7" w:rsidRPr="005C4637" w:rsidRDefault="2AEFFE7C" w:rsidP="002470D7">
      <w:r>
        <w:t>L'article 355 du Code des impôts sur les revenus prévoit que l'autorité compétente dispose d'un délai de trois mois à partir de la date à laquelle la décision du Collège communal n'est plus susceptible de recours en justice.</w:t>
      </w:r>
    </w:p>
    <w:p w14:paraId="048FEB76" w14:textId="5FB4A067" w:rsidR="002470D7" w:rsidRPr="005C4637" w:rsidRDefault="2AEFFE7C" w:rsidP="77A793B0">
      <w:r>
        <w:t>J’attire votre attention sur le fait que l'autorité compétente pour établir la nouvelle cotisation ne peut cependant établir une imposition sur la base des articles L3321-12 du CDLD et 355 du Code des impôts sur les revenus, lorsqu'elle celle-ci a commis une illégalité dans la procédure dans l'unique but d'éviter la forclusion.</w:t>
      </w:r>
    </w:p>
    <w:p w14:paraId="705DC7E5" w14:textId="44C0FF04" w:rsidR="002470D7" w:rsidRPr="005C4637" w:rsidRDefault="2AEFFE7C" w:rsidP="77A793B0">
      <w:r>
        <w:t>Ce serait ainsi le cas, si cette autorité compétente enrôlait fin décembre 2025 une taxation d’office concernant un exercice d’imposition 2023 (transmise au redevable par lettre recommandée à la poste le 4 décembre 2025) sans attendre que le redevable ait pu faire valoir ses observations par écrit dans le délai de trente jours à compter de la date d'envoi de la notification comme cela est prévu à l’article L3321-6 du CDLD.</w:t>
      </w:r>
    </w:p>
    <w:p w14:paraId="0A10BF4A" w14:textId="366F4B4D" w:rsidR="002470D7" w:rsidRPr="005C4637" w:rsidRDefault="2AEFFE7C" w:rsidP="77A793B0">
      <w:r>
        <w:t>Comme le souligne la Cour de cassation</w:t>
      </w:r>
      <w:r w:rsidR="002470D7" w:rsidRPr="77A793B0">
        <w:rPr>
          <w:rStyle w:val="Appelnotedebasdep"/>
        </w:rPr>
        <w:footnoteReference w:id="60"/>
      </w:r>
      <w:r>
        <w:t>, dans le cas envisagé, l’autorité compétente violerait volontairement une règle légale dans le seul but d'éviter la prescription et de disposer ainsi, après l'annulation éventuelle de la cotisation irrégulière, d'un délai supplémentaire d'imposition à savoir, le délai de l'article 355 du Code des impôts sur les revenus. Par conséquent, cette illégalité commise intentionnellement constituerait un obstacle à l'application dudit article.</w:t>
      </w:r>
    </w:p>
    <w:p w14:paraId="3965A2CC" w14:textId="477BFED4" w:rsidR="002470D7" w:rsidRPr="005C4637" w:rsidRDefault="002470D7" w:rsidP="002470D7"/>
    <w:p w14:paraId="0B233D2F" w14:textId="04CB0667" w:rsidR="002470D7" w:rsidRPr="005C4637" w:rsidRDefault="002470D7">
      <w:pPr>
        <w:pStyle w:val="Titre4"/>
        <w:numPr>
          <w:ilvl w:val="0"/>
          <w:numId w:val="96"/>
        </w:numPr>
      </w:pPr>
      <w:r w:rsidRPr="005C4637">
        <w:t>Qu’est-ce qu’une cotisation subsidiaire (art. 356 CIR) ?</w:t>
      </w:r>
    </w:p>
    <w:p w14:paraId="368BB817" w14:textId="7AEBF470" w:rsidR="002470D7" w:rsidRDefault="329CCE07">
      <w:r>
        <w:t xml:space="preserve"> Lorsqu’une décision du Collège communal fait l’objet d’un recours en justice, et que le juge prononce la nullité totale ou partielle de l’imposition pour une cause autre que la prescription, la cause reste inscrite au rôle pendant six mois à dater de la décision judiciaire. </w:t>
      </w:r>
      <w:r>
        <w:lastRenderedPageBreak/>
        <w:t>Pendant ce délai de six mois qui suspend les délais d’opposition, d’appel ou de cassation, l’autorité compétente peut soumettre à l’appréciation du juge par voie de conclusions, une cotisation subsidiaire à charge du même redevable et en raison de tout ou partie des mêmes éléments d’imposition que la cotisation primitive.</w:t>
      </w:r>
    </w:p>
    <w:p w14:paraId="0513C4DB" w14:textId="4756F524" w:rsidR="329CCE07" w:rsidRDefault="329CCE07" w:rsidP="77A793B0">
      <w:r>
        <w:t>La Cour constitutionnelle</w:t>
      </w:r>
      <w:r w:rsidRPr="77A793B0">
        <w:rPr>
          <w:rStyle w:val="Appelnotedebasdep"/>
        </w:rPr>
        <w:footnoteReference w:id="61"/>
      </w:r>
      <w:r>
        <w:t xml:space="preserve"> a précisé que si l’autorité compétente fait usage de la possibilité d’établir une cotisation subsidiaire au cours du litige initial, elle doit le faire dans un délai déterminé, à savoir avant la clôture des débats. Étant donné que, dans cette hypothèse, l’affaire reste pendante devant le juge, qui doit prendre en considération le principe général selon lequel une décision définitive doit être prise dans un délai raisonnable, il est justifié que la disposition en cause ne prévoie aucun délai de forclusion pour l’autorité compétente.</w:t>
      </w:r>
    </w:p>
    <w:p w14:paraId="2255C985" w14:textId="7284B36B" w:rsidR="329CCE07" w:rsidRDefault="329CCE07" w:rsidP="77A793B0">
      <w:r>
        <w:t>J’attire votre attention sur le fait que l’article 356 du code des impôts sur les revenus ne peut s'appliquer que lorsqu'une décision directoriale a effectivement été rendue. Il est donc important pour le Collège communal de prendre sa décision dans les 6 mois de la réception de la réclamation (ou dans les 9 mois si imposition d’office).</w:t>
      </w:r>
    </w:p>
    <w:p w14:paraId="7995FD90" w14:textId="791F44E3" w:rsidR="77A793B0" w:rsidRDefault="329CCE07" w:rsidP="77A793B0">
      <w:r>
        <w:t xml:space="preserve">Par conséquent, dans l'hypothèse où le contribuable introduit une action en justice du fait de l'absence de décision du Collège communal, conformément à l'article 1385 undecies, alinéa 2, du Code judiciaire, l’autorité compétente ne peut pas introduire une cotisation subsidiaire. </w:t>
      </w:r>
    </w:p>
    <w:p w14:paraId="28497A76" w14:textId="3F605DFF" w:rsidR="002470D7" w:rsidRPr="005C4637" w:rsidRDefault="002470D7">
      <w:pPr>
        <w:pStyle w:val="Titre4"/>
        <w:numPr>
          <w:ilvl w:val="0"/>
          <w:numId w:val="96"/>
        </w:numPr>
      </w:pPr>
      <w:r w:rsidRPr="005C4637">
        <w:t>Qui est assimilé au ‘même redevable’ (art. 357 CIR) ?</w:t>
      </w:r>
    </w:p>
    <w:p w14:paraId="3E362B27" w14:textId="490D5C55" w:rsidR="002470D7" w:rsidRDefault="1C2F52AF">
      <w:r>
        <w:t xml:space="preserve"> Les héritiers du redevable ;</w:t>
      </w:r>
    </w:p>
    <w:p w14:paraId="3BDE6854" w14:textId="1B6413A9" w:rsidR="1C2F52AF" w:rsidRDefault="1C2F52AF" w:rsidP="77A793B0">
      <w:r>
        <w:t>Son conjoint ;</w:t>
      </w:r>
    </w:p>
    <w:p w14:paraId="6A6A9299" w14:textId="571C132D" w:rsidR="1C2F52AF" w:rsidRDefault="1C2F52AF" w:rsidP="77A793B0">
      <w:r>
        <w:t>Selon le cas, la société qui a procédé à une fusion, scission, opération assimilée une fusion ou autre dissolution sans partage total de l'avoir social, et la société absorbante ou bénéficiaire ou les sociétés bénéficiaires de l'opération ;</w:t>
      </w:r>
    </w:p>
    <w:p w14:paraId="4C17BB01" w14:textId="7FA2D0F6" w:rsidR="1C2F52AF" w:rsidRDefault="1C2F52AF" w:rsidP="77A793B0">
      <w:r>
        <w:t>Les membres de la famille, de la société, de l'association ou de la communauté dont le chef, le directeur, les actionnaires ou les associés ont été primitivement imposés et réciproquement ;</w:t>
      </w:r>
    </w:p>
    <w:p w14:paraId="4B8E223E" w14:textId="612EEBA3" w:rsidR="1C2F52AF" w:rsidRDefault="1C2F52AF" w:rsidP="77A793B0">
      <w:r>
        <w:t xml:space="preserve">Le liquidateur de la personne morale dont la liquidation a été clôturée, en cette qualité, ou, à défaut, les personnes considérées comme liquidateurs en vertu de la partie 1re, livre 2, titre 8 du Code des sociétés et des associations, au cours de la période prévue par l'article 2:143, du même Code. </w:t>
      </w:r>
    </w:p>
    <w:p w14:paraId="0A87AD52" w14:textId="15FF76EA" w:rsidR="1C2F52AF" w:rsidRDefault="1C2F52AF" w:rsidP="77A793B0">
      <w:r>
        <w:t>Au niveau du Code des impôts sur les revenus, un cohabitant légal est assimilé à un conjoint.</w:t>
      </w:r>
    </w:p>
    <w:p w14:paraId="046DB6D2" w14:textId="7459CD55" w:rsidR="1C2F52AF" w:rsidRDefault="1C2F52AF" w:rsidP="77A793B0">
      <w:r>
        <w:t xml:space="preserve">J’attire votre attention en ce qui concerne le 3), que la loi du 17 mars 2019 adaptant certaines dispositions fiscales fédérales au nouveau Code des sociétés et des associations ne se réfère plus pour la définition des fusions et autres réorganisations de sociétés à la définition du Code </w:t>
      </w:r>
      <w:r>
        <w:lastRenderedPageBreak/>
        <w:t xml:space="preserve">des sociétés belge. La définition des fusions et autres réorganisations de sociétés est reprise à l’article 2, § 1er, alinéa 1er, 6°/1 du Code des impôts sur les revenus. </w:t>
      </w:r>
    </w:p>
    <w:p w14:paraId="3FBA8B31" w14:textId="2B5184D4" w:rsidR="1C2F52AF" w:rsidRDefault="1C2F52AF" w:rsidP="77A793B0">
      <w:r>
        <w:t>A cet égard, les travaux préparatoires de la loi du 17 mars 2019 précisent qu’il était souhaitable que les définitions et les règles de procédure relatives aux fusions, scissions et autres formes de réorganisation ne renvoient plus à la description de ces opérations dans le Code des sociétés belge ou des dispositions de droit étranger analogues mais soient remplacées par des définitions autonomes qui correspondent à la terminologie de la directive fiscale européenne sur les fusions 2009/133/CE, telle que le cas échéant adaptée par la législation belge actuelle.</w:t>
      </w:r>
    </w:p>
    <w:p w14:paraId="25A3FD92" w14:textId="5CCD863E" w:rsidR="1C2F52AF" w:rsidRDefault="1C2F52AF" w:rsidP="77A793B0">
      <w:r>
        <w:t>En ce qui concerne le 4), les travaux préparatoires de la loi du 17 mars 2019</w:t>
      </w:r>
      <w:r w:rsidRPr="77A793B0">
        <w:rPr>
          <w:rStyle w:val="Appelnotedebasdep"/>
        </w:rPr>
        <w:footnoteReference w:id="62"/>
      </w:r>
      <w:r w:rsidRPr="77A793B0">
        <w:rPr>
          <w:rStyle w:val="Appelnotedebasdep"/>
        </w:rPr>
        <w:t xml:space="preserve"> </w:t>
      </w:r>
      <w:r>
        <w:t>relèvent que pour tenir compte des incertitudes qui pourront subsister quant à la personnalité juridique ou l’analogie avec une forme juridique dotée de la personnalité juridique en droit belge, l’article 357, 4° du code des impôts sur les revenus assimile désormais au « même redevable », pour les réimpositions permises par les articles 355 et 356 du code des impôts sur les revenus, une société et ses actionnaires ou associés et réciproquement. Ainsi, si l’administration a erronément établi l’impôt au nom des actionnaires ou associés alors qu’elle aurait dû le faire au nom de la société, elle sera en droit d’établir la cotisation de remplacement au nom de celle-ci, et vice versa.</w:t>
      </w:r>
    </w:p>
    <w:p w14:paraId="21DE4D92" w14:textId="6C45DFC7" w:rsidR="1C2F52AF" w:rsidRDefault="1C2F52AF" w:rsidP="77A793B0">
      <w:r>
        <w:t>Enfin, le liquidateur d’une personne morale dont la liquidation a été clôturée est assimilé au « même redevable » au sens des articles 355 et 356 du code des impôts sur les revenus au cours de la période prévue par l'article 2/143, du Code des sociétés et des associations.</w:t>
      </w:r>
    </w:p>
    <w:p w14:paraId="18C2818E" w14:textId="67C3F21E" w:rsidR="1C2F52AF" w:rsidRDefault="1C2F52AF" w:rsidP="77A793B0">
      <w:r>
        <w:t xml:space="preserve">Outre le liquidateur, l’article 357, 5° du code des impôts sur les revenus assimile également au redevable à défaut de liquidateur, les personnes considérées comme liquidateurs en vertu de la partie 1re, livre 2, titre 8 du Code des sociétés et des associations, au cours de la période prévue par l'article 2/143, du même Code. </w:t>
      </w:r>
    </w:p>
    <w:p w14:paraId="76CF53E9" w14:textId="0246C506" w:rsidR="1C2F52AF" w:rsidRDefault="1C2F52AF" w:rsidP="77A793B0">
      <w:r>
        <w:t>Pour déterminer si l’article 2/143 du Code des sociétés et des associations s’applique (à savoir la prescription des actions contre le(s) liquidateur(s) dans un délai de cinq ans), l’administration est replacée, du fait de l’annulation de la cotisation, au moment de l’établissement de la cotisation d’origine. C’est donc cette date qui détermine si la cotisation nouvelle ou subsidiaire peut être établie au nom du liquidateur dans les cinq ans conformément à l’article 357, 5° du code des impôts sur les revenus</w:t>
      </w:r>
      <w:r w:rsidRPr="77A793B0">
        <w:rPr>
          <w:rStyle w:val="Appelnotedebasdep"/>
        </w:rPr>
        <w:footnoteReference w:id="63"/>
      </w:r>
      <w:r>
        <w:t>.</w:t>
      </w:r>
    </w:p>
    <w:p w14:paraId="61A2C0E9" w14:textId="75B30134" w:rsidR="002470D7" w:rsidRPr="005C4637" w:rsidRDefault="002470D7" w:rsidP="35BD9115">
      <w:pPr>
        <w:pStyle w:val="Titre3"/>
      </w:pPr>
      <w:bookmarkStart w:id="856" w:name="_Toc225504289"/>
      <w:bookmarkStart w:id="857" w:name="_Toc225772378"/>
      <w:bookmarkStart w:id="858" w:name="_Toc233626247"/>
      <w:r w:rsidRPr="005C4637">
        <w:lastRenderedPageBreak/>
        <w:t>Intérêts de retard et moratoires (taxes communales)</w:t>
      </w:r>
      <w:bookmarkEnd w:id="856"/>
      <w:bookmarkEnd w:id="857"/>
      <w:bookmarkEnd w:id="858"/>
    </w:p>
    <w:p w14:paraId="0A040DAB" w14:textId="075C4A93" w:rsidR="636C1488" w:rsidRDefault="636C1488">
      <w:pPr>
        <w:pStyle w:val="Titre4"/>
        <w:numPr>
          <w:ilvl w:val="0"/>
          <w:numId w:val="53"/>
        </w:numPr>
      </w:pPr>
      <w:r>
        <w:t>Quelle bases légales</w:t>
      </w:r>
      <w:r w:rsidR="00CA7AED">
        <w:t xml:space="preserve"> </w:t>
      </w:r>
      <w:r>
        <w:t>?</w:t>
      </w:r>
    </w:p>
    <w:p w14:paraId="0F6A9D69" w14:textId="266529E8" w:rsidR="636C1488" w:rsidRDefault="636C1488">
      <w:r>
        <w:t>Les articles 414 à 416 (intérêt de retard) et 418 et 419 (intérêt moratoire) du code des impôts sur les revenus sont applicables au paiement et au remboursement des taxes communales.</w:t>
      </w:r>
    </w:p>
    <w:p w14:paraId="3BCF96EB" w14:textId="77777777" w:rsidR="002470D7" w:rsidRPr="005C4637" w:rsidRDefault="002470D7">
      <w:pPr>
        <w:pStyle w:val="Titre4"/>
        <w:numPr>
          <w:ilvl w:val="0"/>
          <w:numId w:val="13"/>
        </w:numPr>
      </w:pPr>
      <w:r w:rsidRPr="005C4637">
        <w:t>À quel taux s’appliquent les intérêts de retard et moratoires ?</w:t>
      </w:r>
    </w:p>
    <w:p w14:paraId="2F10762F" w14:textId="209BF53C" w:rsidR="21B2FD55" w:rsidRDefault="7C410467">
      <w:r>
        <w:t xml:space="preserve"> A défaut de paiement dans les délais, les sommes dues au titre de taxe sont productives au profit de la commune d’un intérêt de retard, calculé selon une certaine procédure mais sans que celui-ci ne puisse être inférieur à 4 %, ni supérieur à 10 %.</w:t>
      </w:r>
    </w:p>
    <w:p w14:paraId="17C38530" w14:textId="007466F7" w:rsidR="21B2FD55" w:rsidRDefault="7C410467" w:rsidP="77A793B0">
      <w:r>
        <w:t xml:space="preserve">Quant à l’intérêt moratoire (c’est-à-dire celui que la commune devra prendre en compte en cas de remboursement de taxes, d’intérêts de retard et d’accroissements d’impôts), il sera égal au taux d’intérêt de retard, diminué de 2 points de pourcentage. </w:t>
      </w:r>
    </w:p>
    <w:p w14:paraId="574A70F7" w14:textId="7E1AF8BD" w:rsidR="21B2FD55" w:rsidRDefault="7C410467" w:rsidP="77A793B0">
      <w:r>
        <w:t>L’article 70 du CRAF abroge l’article 417 du code des impôts sur les revenus. Désormais, l’exonération des intérêts de retard ne peut être accordée que dans des cas spéciaux et doit être décidée par le Collège communal. Le directeur financier doit dès lors réclamer le paiement des intérêts sauf si le Collège communal adopte une décision motivée au cas par cas.</w:t>
      </w:r>
    </w:p>
    <w:p w14:paraId="6BACBC8B" w14:textId="2BB4A877" w:rsidR="21B2FD55" w:rsidRDefault="21B2FD55"/>
    <w:p w14:paraId="3CC0DF56" w14:textId="48AEDE65" w:rsidR="002470D7" w:rsidRPr="005C4637" w:rsidRDefault="002470D7" w:rsidP="35BD9115">
      <w:pPr>
        <w:pStyle w:val="Titre3"/>
      </w:pPr>
      <w:bookmarkStart w:id="859" w:name="_Toc225504290"/>
      <w:bookmarkStart w:id="860" w:name="_Toc225772379"/>
      <w:bookmarkStart w:id="861" w:name="_Toc233626248"/>
      <w:r w:rsidRPr="005C4637">
        <w:t>Fixation du prix de l’eau (communes distributrices)</w:t>
      </w:r>
      <w:bookmarkEnd w:id="859"/>
      <w:bookmarkEnd w:id="860"/>
      <w:bookmarkEnd w:id="861"/>
    </w:p>
    <w:p w14:paraId="4E44C3E7" w14:textId="77777777" w:rsidR="002470D7" w:rsidRPr="005C4637" w:rsidRDefault="002470D7">
      <w:pPr>
        <w:pStyle w:val="Titre4"/>
        <w:numPr>
          <w:ilvl w:val="0"/>
          <w:numId w:val="87"/>
        </w:numPr>
      </w:pPr>
      <w:r w:rsidRPr="005C4637">
        <w:t>Quelle procédure et quelle tutelle pour fixer le prix de l’eau ?</w:t>
      </w:r>
    </w:p>
    <w:p w14:paraId="73282E08" w14:textId="7273EE0E" w:rsidR="002470D7" w:rsidRPr="004F393B" w:rsidRDefault="44E39311" w:rsidP="7CCD35C2">
      <w:pPr>
        <w:spacing w:before="120" w:after="120"/>
        <w:rPr>
          <w:lang w:val="fr"/>
        </w:rPr>
      </w:pPr>
      <w:r w:rsidRPr="7CCD35C2">
        <w:rPr>
          <w:rFonts w:ascii="Calibri" w:eastAsia="Calibri" w:hAnsi="Calibri" w:cs="Calibri"/>
          <w:sz w:val="24"/>
          <w:szCs w:val="24"/>
          <w:lang w:val="fr"/>
        </w:rPr>
        <w:t xml:space="preserve"> </w:t>
      </w:r>
      <w:r w:rsidRPr="004F393B">
        <w:rPr>
          <w:lang w:val="fr"/>
        </w:rPr>
        <w:t>La fixation du prix de l'eau doit faire l'objet d'une décision du Conseil communal et doit être soumise à la tutelle spéciale d'approbation.</w:t>
      </w:r>
    </w:p>
    <w:p w14:paraId="11CF4F0A" w14:textId="3B595999" w:rsidR="002470D7" w:rsidRPr="004F393B" w:rsidRDefault="669A999D" w:rsidP="004F393B">
      <w:pPr>
        <w:spacing w:before="120" w:after="120"/>
        <w:rPr>
          <w:lang w:val="fr-FR"/>
        </w:rPr>
      </w:pPr>
      <w:r w:rsidRPr="004F393B">
        <w:rPr>
          <w:lang w:val="fr-FR"/>
        </w:rPr>
        <w:t>Si la fixation du prix de l'eau faisait apparaître un non-respect de la formule de tarification uniforme, inscrite à l'article D.228 du Code de l'eau (respect du CVD), cela constituerait une infraction de 3ème catégorie, passible d'une lourde sanction administrative en vertu de l'article D.404 du même Code</w:t>
      </w:r>
    </w:p>
    <w:p w14:paraId="51BA6886" w14:textId="132D2569" w:rsidR="002470D7" w:rsidRPr="004F393B" w:rsidRDefault="669A999D" w:rsidP="7CCD35C2">
      <w:pPr>
        <w:spacing w:before="120" w:after="120"/>
        <w:rPr>
          <w:lang w:val="fr"/>
        </w:rPr>
      </w:pPr>
      <w:r w:rsidRPr="004F393B">
        <w:rPr>
          <w:lang w:val="fr"/>
        </w:rPr>
        <w:t>Dans un souci d’optimisation du temps, les autorités communales ne doivent faire parvenir la délibération à l’autorité de tutelle qu’à partir du moment où elles ont reçu l’autorisation d’augmenter le prix de l’eau.</w:t>
      </w:r>
    </w:p>
    <w:p w14:paraId="7DCD8CF1" w14:textId="043E3782" w:rsidR="002470D7" w:rsidRPr="004F393B" w:rsidRDefault="669A999D" w:rsidP="7CCD35C2">
      <w:pPr>
        <w:spacing w:before="120" w:after="120"/>
        <w:rPr>
          <w:lang w:val="fr"/>
        </w:rPr>
      </w:pPr>
      <w:r w:rsidRPr="004F393B">
        <w:rPr>
          <w:lang w:val="fr"/>
        </w:rPr>
        <w:t>Enfin, il est souhaitable que la commune précise dans le préambule dudit règlement que la modification du prix de l'eau proposée a reçu l'avis favorable – expresse (en y mentionnant alors la date de cet avis) ou tacite – du Ministre régional de l’Économie.</w:t>
      </w:r>
    </w:p>
    <w:p w14:paraId="3BF72805" w14:textId="03F9678C" w:rsidR="002470D7" w:rsidRPr="004F393B" w:rsidRDefault="0068136C" w:rsidP="7CCD35C2">
      <w:pPr>
        <w:spacing w:before="120" w:after="120"/>
        <w:rPr>
          <w:lang w:val="fr"/>
        </w:rPr>
      </w:pPr>
      <w:r>
        <w:rPr>
          <w:noProof/>
        </w:rPr>
        <w:drawing>
          <wp:anchor distT="0" distB="0" distL="114300" distR="114300" simplePos="0" relativeHeight="251658267" behindDoc="0" locked="0" layoutInCell="1" allowOverlap="1" wp14:anchorId="73A65978" wp14:editId="1206215B">
            <wp:simplePos x="0" y="0"/>
            <wp:positionH relativeFrom="margin">
              <wp:align>center</wp:align>
            </wp:positionH>
            <wp:positionV relativeFrom="paragraph">
              <wp:posOffset>241300</wp:posOffset>
            </wp:positionV>
            <wp:extent cx="5980430" cy="3124200"/>
            <wp:effectExtent l="0" t="0" r="1270" b="0"/>
            <wp:wrapNone/>
            <wp:docPr id="2" name="Image 2" descr="Une image contenant texte, capture d’écran, diagram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pture d’écran, diagramme, Police&#10;&#10;Le contenu généré par l’IA peut être incorrect."/>
                    <pic:cNvPicPr>
                      <a:picLocks noChangeAspect="1" noChangeArrowheads="1"/>
                    </pic:cNvPicPr>
                  </pic:nvPicPr>
                  <pic:blipFill rotWithShape="1">
                    <a:blip r:embed="rId14" cstate="print"/>
                    <a:srcRect t="5648"/>
                    <a:stretch/>
                  </pic:blipFill>
                  <pic:spPr bwMode="auto">
                    <a:xfrm>
                      <a:off x="0" y="0"/>
                      <a:ext cx="5980430" cy="3124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669A999D" w:rsidRPr="004F393B">
        <w:rPr>
          <w:lang w:val="fr"/>
        </w:rPr>
        <w:t xml:space="preserve">Le schéma ci-dessous vous explique la procédure à mettre en œuvre. </w:t>
      </w:r>
    </w:p>
    <w:p w14:paraId="3732E6BF" w14:textId="35227053" w:rsidR="002470D7" w:rsidRPr="005C4637" w:rsidRDefault="002470D7" w:rsidP="7CCD35C2">
      <w:pPr>
        <w:spacing w:before="120" w:after="120"/>
        <w:rPr>
          <w:rFonts w:ascii="Calibri" w:eastAsia="Calibri" w:hAnsi="Calibri" w:cs="Calibri"/>
          <w:sz w:val="24"/>
          <w:szCs w:val="24"/>
          <w:lang w:val="fr"/>
        </w:rPr>
      </w:pPr>
    </w:p>
    <w:p w14:paraId="74B67FDD" w14:textId="43FA6BF9" w:rsidR="002470D7" w:rsidRPr="005C4637" w:rsidRDefault="002470D7" w:rsidP="001B36D8">
      <w:pPr>
        <w:spacing w:after="0"/>
      </w:pPr>
    </w:p>
    <w:p w14:paraId="6FA58838" w14:textId="1A1BB5CC" w:rsidR="00BB02CE" w:rsidRDefault="00BB02CE" w:rsidP="002470D7"/>
    <w:p w14:paraId="4CF6F1A3" w14:textId="77777777" w:rsidR="00FA3E88" w:rsidRDefault="00FA3E88" w:rsidP="002470D7"/>
    <w:p w14:paraId="44C12F3D" w14:textId="77777777" w:rsidR="00FA3E88" w:rsidRDefault="00FA3E88" w:rsidP="002470D7"/>
    <w:p w14:paraId="607E316C" w14:textId="77777777" w:rsidR="00FA3E88" w:rsidRDefault="00FA3E88" w:rsidP="002470D7"/>
    <w:p w14:paraId="43722333" w14:textId="77777777" w:rsidR="00FA3E88" w:rsidRDefault="00FA3E88" w:rsidP="002470D7"/>
    <w:p w14:paraId="5161CC92" w14:textId="77777777" w:rsidR="00FA3E88" w:rsidRDefault="00FA3E88" w:rsidP="002470D7"/>
    <w:p w14:paraId="6C65A08E" w14:textId="77777777" w:rsidR="00FA3E88" w:rsidRDefault="00FA3E88" w:rsidP="002470D7"/>
    <w:p w14:paraId="0C05D0E5" w14:textId="77777777" w:rsidR="00FA3E88" w:rsidRDefault="00FA3E88" w:rsidP="002470D7"/>
    <w:p w14:paraId="61B3CD20" w14:textId="77777777" w:rsidR="00FA3E88" w:rsidRDefault="00FA3E88" w:rsidP="002470D7"/>
    <w:p w14:paraId="38496746" w14:textId="4A9A534B" w:rsidR="7FCBB0A2" w:rsidRDefault="7FCBB0A2">
      <w:r>
        <w:t>En vertu de l’article D.4 § 3 du Code de l’eau, le Conseil communal est obligatoirement tenu de transmettre sa délibération ainsi que toutes les informations utiles au Comité de contrôle de l’eau de la Région wallonne. Ce dernier a pour mission de s’assurer que l’évolution du prix de l’eau respecte la politique de l’eau de la Région</w:t>
      </w:r>
      <w:r w:rsidRPr="7CCD35C2">
        <w:rPr>
          <w:rStyle w:val="Appelnotedebasdep"/>
        </w:rPr>
        <w:footnoteReference w:id="64"/>
      </w:r>
      <w:r>
        <w:t>. Conformément à l’article D.4 §3 du Code de l’eau, le Comité dispose d’un délai de 30 jours pour rendre son avis. Si ce dernier n’est pas rendu dans le délai imparti, il est considéré comme favorable.</w:t>
      </w:r>
    </w:p>
    <w:p w14:paraId="3B5B0167" w14:textId="7AB80AA2" w:rsidR="7FCBB0A2" w:rsidRDefault="7FCBB0A2" w:rsidP="7CCD35C2">
      <w:r>
        <w:t>Le dossier est ensuite transmis pour instruction à la Direction des Projets thématiques du SPW Économie, Emploi et Recherche. Avant de prendre position, le SPW Économie, Emploi et Recherche est tenu, afin de respecter le prescrit de l’article 2 de la loi du 22 janvier 1945 sur la réglementation économique des prix</w:t>
      </w:r>
      <w:r w:rsidRPr="7CCD35C2">
        <w:rPr>
          <w:rStyle w:val="Appelnotedebasdep"/>
        </w:rPr>
        <w:footnoteReference w:id="65"/>
      </w:r>
      <w:r>
        <w:t xml:space="preserve">, de demander l’avis de la Commission pour la Régulation des prix. </w:t>
      </w:r>
    </w:p>
    <w:p w14:paraId="2949E796" w14:textId="4EA9C6BD" w:rsidR="7FCBB0A2" w:rsidRDefault="7FCBB0A2" w:rsidP="7CCD35C2">
      <w:r>
        <w:t>Suite à l’avis rendu par le Comité, l’administration expose le dossier et propose au Ministre régional de l’Économie d’autoriser ou non l’augmentation du prix. Celui-ci demeure libre de se conformer ou non aux avis du Comité de contrôle et de la Commission de Régulation des prix. En cas de divergence d’appréciation, Monsieur le Ministre est tenu de motiver sa décision. L’examen du dossier ne peut pas dépasser un délai de 60 jours à dater de la complétude du dossier. Si la décision du Ministre n’est pas rendue dans le délai imparti, la société gérant la distribution de l’eau est habilitée à appliquer la hausse de prix demandée.</w:t>
      </w:r>
    </w:p>
    <w:p w14:paraId="3C50F6C9" w14:textId="4B082C55" w:rsidR="002470D7" w:rsidRPr="005C4637" w:rsidRDefault="002470D7">
      <w:pPr>
        <w:pStyle w:val="Titre4"/>
        <w:numPr>
          <w:ilvl w:val="0"/>
          <w:numId w:val="87"/>
        </w:numPr>
      </w:pPr>
      <w:r w:rsidRPr="005C4637">
        <w:t>Quelles bonnes pratiques de rédaction ?</w:t>
      </w:r>
    </w:p>
    <w:p w14:paraId="09185E5B" w14:textId="77777777" w:rsidR="002470D7" w:rsidRPr="005C4637" w:rsidRDefault="002470D7" w:rsidP="002470D7">
      <w:r w:rsidRPr="005C4637">
        <w:t>Préciser dans le préambule que la modification proposée a reçu l’avis favorable (exprès/tacite) du Ministre régional de l’Économie et n’adresser la délibération à la tutelle qu’après autorisation d’augmenter le prix.</w:t>
      </w:r>
    </w:p>
    <w:p w14:paraId="06E87AAA" w14:textId="307AFE08" w:rsidR="002470D7" w:rsidRPr="005C4637" w:rsidRDefault="002470D7" w:rsidP="35BD9115">
      <w:pPr>
        <w:pStyle w:val="Titre3"/>
      </w:pPr>
      <w:bookmarkStart w:id="862" w:name="_Toc225504291"/>
      <w:bookmarkStart w:id="863" w:name="_Toc225772380"/>
      <w:bookmarkStart w:id="864" w:name="_Toc233626249"/>
      <w:r w:rsidRPr="005C4637">
        <w:lastRenderedPageBreak/>
        <w:t>Précompte immobilier : droit à l’information</w:t>
      </w:r>
      <w:bookmarkEnd w:id="862"/>
      <w:bookmarkEnd w:id="863"/>
      <w:bookmarkEnd w:id="864"/>
    </w:p>
    <w:p w14:paraId="1FB688AD" w14:textId="77777777" w:rsidR="002470D7" w:rsidRPr="005C4637" w:rsidRDefault="002470D7" w:rsidP="00012074">
      <w:pPr>
        <w:pStyle w:val="Titre4"/>
        <w:ind w:left="360"/>
      </w:pPr>
      <w:r w:rsidRPr="005C4637">
        <w:t>La commune a-t-elle droit à des informations sur les attributions de centimes additionnels ?</w:t>
      </w:r>
    </w:p>
    <w:p w14:paraId="2D8DA395" w14:textId="341A1306" w:rsidR="002470D7" w:rsidRDefault="002470D7">
      <w:r>
        <w:t xml:space="preserve">Oui. </w:t>
      </w:r>
      <w:r w:rsidR="2B6BAA87">
        <w:t xml:space="preserve"> L’arrêt n°231.194 du Conseil d'État du 12 mai 2015 mérite une attention particulière car il intéresse spécialement les pouvoirs locaux. La Haute juridiction a répondu favorablement à une demande qu’ils revendiquaient de longue date.</w:t>
      </w:r>
    </w:p>
    <w:p w14:paraId="307BB317" w14:textId="615229BC" w:rsidR="2B6BAA87" w:rsidRDefault="2B6BAA87" w:rsidP="7CCD35C2">
      <w:r>
        <w:t>Le Conseil d'État a en effet considéré que ce n’est pas parce que l’administration fédérale est légalement chargée de la perception et du recouvrement des centimes additionnels pour le compte des communes que celles-ci ne sont pas en droit de réclamer des informations ou obtenir des explications quant à la manière dont cette mission légale s’exerce.</w:t>
      </w:r>
    </w:p>
    <w:p w14:paraId="69F83AD9" w14:textId="27A005BE" w:rsidR="2B6BAA87" w:rsidRDefault="2B6BAA87" w:rsidP="7CCD35C2">
      <w:r>
        <w:t>Ainsi, dans cet arrêt, le Conseil d'État a annulé la décision implicite de l’État belge rejetant la demande de communication d’une copie de l’ensemble des documents administratifs justifiant les attributions de décembre 2012 (date de liquidation 29 janvier 2013) au titre de centimes additionnels communaux au précompte immobilier revenant à la commune de Schaerbeek.</w:t>
      </w:r>
    </w:p>
    <w:p w14:paraId="67A2FC33" w14:textId="5A0A3E25" w:rsidR="2B6BAA87" w:rsidRDefault="2B6BAA87" w:rsidP="7CCD35C2">
      <w:r>
        <w:t>Enfin, le conseil d’Etat a précisé que pour l’application de l’article 6, § 2, 1°, de la loi du 11 avril 1994 relative à la publicité de l’administration, dans l’hypothèse où la publication de certaines pièces du dossier porterait atteinte à la vie privée d’un contribuable, ces pièces peuvent être soustraites à la publicité en application du § 4 du même article, mais le reste du dossier doit être communiqué</w:t>
      </w:r>
      <w:r w:rsidRPr="7CCD35C2">
        <w:rPr>
          <w:rStyle w:val="Appelnotedebasdep"/>
        </w:rPr>
        <w:footnoteReference w:id="66"/>
      </w:r>
      <w:r>
        <w:t>. Comme le souligne, le Conseil d’Etat, il ne semble pas que ce puisse être le cas à propos d’un dégrèvement de précompte immobilier, mais ce pourrait par exemple l’être à l’occasion d’autres impôts locaux additionnels à des impôts fédéraux ou régionaux évoqués dans l’«observation complémentaire» faite in fine du dernier mémoire de la partie adverse, par exemple l’IPP dont le montant peut être affecté par des éléments qui relèvent manifestement de la vie privée tels que l’identité des bénéficiaires de libéralités déductibles.</w:t>
      </w:r>
    </w:p>
    <w:p w14:paraId="02A3CA2A" w14:textId="6BC77303" w:rsidR="7CCD35C2" w:rsidRDefault="7CCD35C2"/>
    <w:p w14:paraId="5879DD35" w14:textId="6AEF7E44" w:rsidR="002470D7" w:rsidRPr="005C4637" w:rsidRDefault="002470D7" w:rsidP="35BD9115">
      <w:pPr>
        <w:pStyle w:val="Titre3"/>
      </w:pPr>
      <w:bookmarkStart w:id="865" w:name="_Toc225504292"/>
      <w:bookmarkStart w:id="866" w:name="_Toc225772381"/>
      <w:bookmarkStart w:id="867" w:name="_Toc233626250"/>
      <w:r w:rsidRPr="005C4637">
        <w:t>Durée de conservation des documents et RGPD</w:t>
      </w:r>
      <w:bookmarkEnd w:id="865"/>
      <w:bookmarkEnd w:id="866"/>
      <w:bookmarkEnd w:id="867"/>
    </w:p>
    <w:p w14:paraId="2D3A6B5D" w14:textId="0E14E040" w:rsidR="002470D7" w:rsidRPr="005C4637" w:rsidRDefault="002470D7" w:rsidP="00DF7609">
      <w:pPr>
        <w:pStyle w:val="Titre4"/>
        <w:ind w:left="360"/>
      </w:pPr>
      <w:r w:rsidRPr="005C4637">
        <w:t>Quelles règles de conservation appliquer ?</w:t>
      </w:r>
    </w:p>
    <w:p w14:paraId="14CF196E" w14:textId="2B1A2689" w:rsidR="6500CF6F" w:rsidRDefault="2A0B49D2" w:rsidP="7CCD35C2">
      <w:pPr>
        <w:rPr>
          <w:rFonts w:ascii="Cambria" w:eastAsia="MS Mincho" w:hAnsi="Cambria" w:cs="Arial"/>
        </w:rPr>
      </w:pPr>
      <w:r w:rsidRPr="7CCD35C2">
        <w:rPr>
          <w:rFonts w:ascii="Cambria" w:eastAsia="MS Mincho" w:hAnsi="Cambria" w:cs="Arial"/>
        </w:rPr>
        <w:t xml:space="preserve"> L’établissement ou le recouvrement des taxes et redevances impliquent nécessairement de nombreux traitements de données personnelles. Ces étapes doivent être réalisées en conformité avec le RGPD. </w:t>
      </w:r>
    </w:p>
    <w:p w14:paraId="015A8697" w14:textId="7C597E81" w:rsidR="2A0B49D2" w:rsidRDefault="2A0B49D2">
      <w:pPr>
        <w:rPr>
          <w:rFonts w:ascii="Cambria" w:eastAsia="MS Mincho" w:hAnsi="Cambria" w:cs="Arial"/>
          <w:vertAlign w:val="superscript"/>
          <w:lang w:val="fr"/>
        </w:rPr>
      </w:pPr>
      <w:r w:rsidRPr="7CCD35C2">
        <w:rPr>
          <w:rFonts w:ascii="Cambria" w:eastAsia="MS Mincho" w:hAnsi="Cambria" w:cs="Arial"/>
        </w:rPr>
        <w:t>Selon la législation RGPD</w:t>
      </w:r>
      <w:r w:rsidRPr="7CCD35C2">
        <w:rPr>
          <w:rFonts w:ascii="Cambria" w:eastAsia="MS Mincho" w:hAnsi="Cambria" w:cs="Arial"/>
          <w:lang w:val="fr"/>
        </w:rPr>
        <w:t xml:space="preserve">, les registres de perception et recouvrement et les rôles ne sont pas conservés plus longtemps que nécessaire au regard de la finalité pour laquelle ils sont établis, avec une durée maximale de conservation ne pouvant excéder le 31 décembre de l'année qui suit celle au cours de laquelle sont intervenus la prescription de toutes les actions qui relèvent de la compétence du responsable du traitement </w:t>
      </w:r>
      <w:r w:rsidRPr="7CCD35C2">
        <w:rPr>
          <w:rFonts w:ascii="Cambria" w:eastAsia="MS Mincho" w:hAnsi="Cambria" w:cs="Arial"/>
          <w:b/>
          <w:bCs/>
          <w:lang w:val="fr"/>
        </w:rPr>
        <w:t>ou</w:t>
      </w:r>
      <w:r w:rsidRPr="7CCD35C2">
        <w:rPr>
          <w:rFonts w:ascii="Cambria" w:eastAsia="MS Mincho" w:hAnsi="Cambria" w:cs="Arial"/>
          <w:lang w:val="fr"/>
        </w:rPr>
        <w:t xml:space="preserve"> du paiement intégral de tous les montants </w:t>
      </w:r>
      <w:r w:rsidRPr="7CCD35C2">
        <w:rPr>
          <w:rFonts w:ascii="Cambria" w:eastAsia="MS Mincho" w:hAnsi="Cambria" w:cs="Arial"/>
          <w:lang w:val="fr"/>
        </w:rPr>
        <w:lastRenderedPageBreak/>
        <w:t xml:space="preserve">y liés </w:t>
      </w:r>
      <w:r w:rsidRPr="7CCD35C2">
        <w:rPr>
          <w:rFonts w:ascii="Cambria" w:eastAsia="MS Mincho" w:hAnsi="Cambria" w:cs="Arial"/>
          <w:b/>
          <w:bCs/>
          <w:lang w:val="fr"/>
        </w:rPr>
        <w:t>ou</w:t>
      </w:r>
      <w:r w:rsidRPr="7CCD35C2">
        <w:rPr>
          <w:rFonts w:ascii="Cambria" w:eastAsia="MS Mincho" w:hAnsi="Cambria" w:cs="Arial"/>
          <w:lang w:val="fr"/>
        </w:rPr>
        <w:t xml:space="preserve"> de la cessation définitive des procédures et recours administratifs et judiciaires y liés</w:t>
      </w:r>
      <w:r w:rsidRPr="7CCD35C2">
        <w:rPr>
          <w:rStyle w:val="Appelnotedebasdep"/>
          <w:rFonts w:ascii="Cambria" w:eastAsia="MS Mincho" w:hAnsi="Cambria" w:cs="Arial"/>
          <w:lang w:val="fr"/>
        </w:rPr>
        <w:footnoteReference w:id="67"/>
      </w:r>
      <w:r w:rsidRPr="7CCD35C2">
        <w:rPr>
          <w:rStyle w:val="Appelnotedebasdep"/>
          <w:rFonts w:ascii="Cambria" w:eastAsia="MS Mincho" w:hAnsi="Cambria" w:cs="Arial"/>
          <w:lang w:val="fr"/>
        </w:rPr>
        <w:t>.</w:t>
      </w:r>
    </w:p>
    <w:p w14:paraId="6A25ABF2" w14:textId="49FA2A7F" w:rsidR="2A0B49D2" w:rsidRDefault="2A0B49D2">
      <w:pPr>
        <w:rPr>
          <w:rFonts w:ascii="Cambria" w:eastAsia="MS Mincho" w:hAnsi="Cambria" w:cs="Arial"/>
          <w:b/>
          <w:bCs/>
        </w:rPr>
      </w:pPr>
      <w:r w:rsidRPr="7CCD35C2">
        <w:rPr>
          <w:rFonts w:ascii="Cambria" w:eastAsia="MS Mincho" w:hAnsi="Cambria" w:cs="Arial"/>
        </w:rPr>
        <w:t xml:space="preserve">Les règles applicables en matière de taxes et redevances ne sont pas explicites en ce qui concerne le traitement des données personnelles et ne prévoient ni précisément ni complètement les opérations de traitement visées, les données, leurs modes de collecte, leur durée de conservation et le(s) responsable(s) de traitement. </w:t>
      </w:r>
      <w:r w:rsidRPr="7CCD35C2">
        <w:rPr>
          <w:rFonts w:ascii="Cambria" w:eastAsia="MS Mincho" w:hAnsi="Cambria" w:cs="Arial"/>
          <w:b/>
          <w:bCs/>
        </w:rPr>
        <w:t xml:space="preserve">C’est pourquoi je vous conseille de faire mention de l’ensemble de ces éléments dans chacun des dispositifs des règlements-taxes et redevances. </w:t>
      </w:r>
    </w:p>
    <w:p w14:paraId="17CEF844" w14:textId="3007B43C" w:rsidR="2A0B49D2" w:rsidRDefault="2A0B49D2">
      <w:pPr>
        <w:rPr>
          <w:rFonts w:ascii="Cambria" w:eastAsia="MS Mincho" w:hAnsi="Cambria" w:cs="Arial"/>
        </w:rPr>
      </w:pPr>
      <w:r w:rsidRPr="7CCD35C2">
        <w:rPr>
          <w:rFonts w:ascii="Cambria" w:eastAsia="MS Mincho" w:hAnsi="Cambria" w:cs="Arial"/>
        </w:rPr>
        <w:t xml:space="preserve">Cette mention peut être faite selon le canevas suivant : </w:t>
      </w:r>
    </w:p>
    <w:p w14:paraId="5BA3FC28" w14:textId="001E39AD" w:rsidR="2A0B49D2" w:rsidRDefault="2A0B49D2">
      <w:pPr>
        <w:numPr>
          <w:ilvl w:val="0"/>
          <w:numId w:val="81"/>
        </w:numPr>
        <w:rPr>
          <w:rFonts w:ascii="Cambria" w:eastAsia="MS Mincho" w:hAnsi="Cambria" w:cs="Arial"/>
        </w:rPr>
      </w:pPr>
      <w:r w:rsidRPr="7CCD35C2">
        <w:rPr>
          <w:rFonts w:ascii="Cambria" w:eastAsia="MS Mincho" w:hAnsi="Cambria" w:cs="Arial"/>
        </w:rPr>
        <w:t>Responsable de traitement : la commune/ville de … ;</w:t>
      </w:r>
    </w:p>
    <w:p w14:paraId="079AD917" w14:textId="0B56BF37" w:rsidR="2A0B49D2" w:rsidRDefault="2A0B49D2">
      <w:pPr>
        <w:numPr>
          <w:ilvl w:val="0"/>
          <w:numId w:val="81"/>
        </w:numPr>
        <w:rPr>
          <w:rFonts w:ascii="Cambria" w:eastAsia="MS Mincho" w:hAnsi="Cambria" w:cs="Arial"/>
        </w:rPr>
      </w:pPr>
      <w:r w:rsidRPr="7CCD35C2">
        <w:rPr>
          <w:rFonts w:ascii="Cambria" w:eastAsia="MS Mincho" w:hAnsi="Cambria" w:cs="Arial"/>
        </w:rPr>
        <w:t>Finalité(s) du(des) traitement(s) : établissement et recouvrement de la taxe/redevance (il faut spécifier s’il s’agit d’une taxe ou d’une redevance dans le règlement)… ;</w:t>
      </w:r>
    </w:p>
    <w:p w14:paraId="712A6AA0" w14:textId="757DA1A0" w:rsidR="2A0B49D2" w:rsidRDefault="2A0B49D2">
      <w:pPr>
        <w:numPr>
          <w:ilvl w:val="0"/>
          <w:numId w:val="81"/>
        </w:numPr>
        <w:rPr>
          <w:rFonts w:ascii="Cambria" w:eastAsia="MS Mincho" w:hAnsi="Cambria" w:cs="Arial"/>
        </w:rPr>
      </w:pPr>
      <w:r w:rsidRPr="7CCD35C2">
        <w:rPr>
          <w:rFonts w:ascii="Cambria" w:eastAsia="MS Mincho" w:hAnsi="Cambria" w:cs="Arial"/>
        </w:rPr>
        <w:t>Catégorie(s) de données : données d’identification, données financières, … ;</w:t>
      </w:r>
    </w:p>
    <w:p w14:paraId="2DB9344D" w14:textId="40A54567" w:rsidR="2A0B49D2" w:rsidRDefault="2A0B49D2">
      <w:pPr>
        <w:numPr>
          <w:ilvl w:val="0"/>
          <w:numId w:val="81"/>
        </w:numPr>
        <w:rPr>
          <w:rFonts w:ascii="Cambria" w:eastAsia="MS Mincho" w:hAnsi="Cambria" w:cs="Arial"/>
        </w:rPr>
      </w:pPr>
      <w:r w:rsidRPr="7CCD35C2">
        <w:rPr>
          <w:rFonts w:ascii="Cambria" w:eastAsia="MS Mincho" w:hAnsi="Cambria" w:cs="Arial"/>
        </w:rPr>
        <w:t>Durée de conservation : la commune/ville s’engage à conserver les données pour un délai de …. ans (délai à fixer dans le règlement entre 10 et 30 ans) et à les supprimer par la suite ou à les transférer aux archives de l’Etat selon les instructions reçues de cette administration ;</w:t>
      </w:r>
    </w:p>
    <w:p w14:paraId="2B3C29BF" w14:textId="6B8E03BC" w:rsidR="2A0B49D2" w:rsidRDefault="2A0B49D2">
      <w:pPr>
        <w:numPr>
          <w:ilvl w:val="0"/>
          <w:numId w:val="81"/>
        </w:numPr>
        <w:rPr>
          <w:rFonts w:ascii="Cambria" w:eastAsia="MS Mincho" w:hAnsi="Cambria" w:cs="Arial"/>
        </w:rPr>
      </w:pPr>
      <w:r w:rsidRPr="7CCD35C2">
        <w:rPr>
          <w:rFonts w:ascii="Cambria" w:eastAsia="MS Mincho" w:hAnsi="Cambria" w:cs="Arial"/>
        </w:rPr>
        <w:t>Méthode de collecte : déclarations et contrôles ponctuels OU recensement par l’administration OU au cas par cas en fonction de la redevance (il faut spécifier la méthode dans le règlement) ;</w:t>
      </w:r>
    </w:p>
    <w:p w14:paraId="7D11D23F" w14:textId="2E94B148" w:rsidR="2A0B49D2" w:rsidRDefault="2A0B49D2">
      <w:pPr>
        <w:numPr>
          <w:ilvl w:val="0"/>
          <w:numId w:val="81"/>
        </w:numPr>
        <w:rPr>
          <w:rFonts w:ascii="Cambria" w:eastAsia="MS Mincho" w:hAnsi="Cambria" w:cs="Arial"/>
        </w:rPr>
      </w:pPr>
      <w:r w:rsidRPr="7CCD35C2">
        <w:rPr>
          <w:rFonts w:ascii="Cambria" w:eastAsia="MS Mincho" w:hAnsi="Cambria" w:cs="Arial"/>
        </w:rPr>
        <w:t xml:space="preserve">Communication des données : les données ne seront communiquées qu’à des tiers autorisés par ou en vertu de la loi, notamment en application de l’article 327 du code des impôts sur les revenus, ou à des sous-traitants du responsable de traitement. </w:t>
      </w:r>
    </w:p>
    <w:p w14:paraId="7B3CB053" w14:textId="6FE8CD74" w:rsidR="2A0B49D2" w:rsidRDefault="2A0B49D2" w:rsidP="00277A5B">
      <w:pPr>
        <w:rPr>
          <w:rFonts w:ascii="Cambria" w:eastAsia="MS Mincho" w:hAnsi="Cambria" w:cs="Arial"/>
          <w:lang w:val="fr"/>
        </w:rPr>
      </w:pPr>
      <w:r w:rsidRPr="7CCD35C2">
        <w:rPr>
          <w:rFonts w:ascii="Cambria" w:eastAsia="MS Mincho" w:hAnsi="Cambria" w:cs="Arial"/>
          <w:lang w:val="fr"/>
        </w:rPr>
        <w:t>Le respect de la législation relative à la protection de la vie privée est essentiel quand une commune est amenée à répondre à des demandes de communication de données à caractère personnel figurant dans des fichiers qu’elle détient.</w:t>
      </w:r>
    </w:p>
    <w:p w14:paraId="0806C7ED" w14:textId="512C7692" w:rsidR="7CCD35C2" w:rsidRDefault="7CCD35C2"/>
    <w:p w14:paraId="64A35BD0" w14:textId="08463C9B" w:rsidR="003D3DD7" w:rsidRPr="005C4637" w:rsidRDefault="003D3DD7" w:rsidP="008B1FFA">
      <w:pPr>
        <w:pStyle w:val="Titre1"/>
      </w:pPr>
      <w:bookmarkStart w:id="868" w:name="_Toc225504293"/>
      <w:bookmarkStart w:id="869" w:name="_Toc225772382"/>
      <w:bookmarkStart w:id="870" w:name="_Toc233626251"/>
      <w:r w:rsidRPr="005C4637">
        <w:lastRenderedPageBreak/>
        <w:t>Nomenclature des taxes communales</w:t>
      </w:r>
      <w:bookmarkEnd w:id="868"/>
      <w:bookmarkEnd w:id="869"/>
      <w:bookmarkEnd w:id="870"/>
    </w:p>
    <w:p w14:paraId="0B9927EC" w14:textId="77777777" w:rsidR="003D3DD7" w:rsidRPr="005C4637" w:rsidRDefault="003D3DD7">
      <w:pPr>
        <w:pStyle w:val="Titre4"/>
        <w:numPr>
          <w:ilvl w:val="0"/>
          <w:numId w:val="97"/>
        </w:numPr>
      </w:pPr>
      <w:r w:rsidRPr="005C4637">
        <w:t>Où trouver des modèles de règlements-taxes communaux ?</w:t>
      </w:r>
    </w:p>
    <w:p w14:paraId="0D9D4308" w14:textId="002994FF" w:rsidR="003D3DD7" w:rsidRPr="005C4637" w:rsidRDefault="003D3DD7" w:rsidP="003D3DD7">
      <w:r w:rsidRPr="005C4637">
        <w:t>Des modèles de règlements-taxes sont disponibles sur le site de la Wallonie : http://interieuwallonie.be (rubrique Finances &gt; Fiscalité &gt; Memento fiscal).</w:t>
      </w:r>
    </w:p>
    <w:p w14:paraId="65214985" w14:textId="77777777" w:rsidR="003D3DD7" w:rsidRPr="005C4637" w:rsidRDefault="003D3DD7" w:rsidP="003D3DD7">
      <w:r w:rsidRPr="005C4637">
        <w:t>Lorsque qu’un modèle existe pour une taxe, une mention est insérée dans la nomenclature à la suite de l’intitulé de la taxe.</w:t>
      </w:r>
    </w:p>
    <w:p w14:paraId="490E5553" w14:textId="0E8F6A25" w:rsidR="003D3DD7" w:rsidRPr="005C4637" w:rsidRDefault="003D3DD7">
      <w:pPr>
        <w:pStyle w:val="Titre4"/>
        <w:numPr>
          <w:ilvl w:val="0"/>
          <w:numId w:val="98"/>
        </w:numPr>
      </w:pPr>
      <w:r w:rsidRPr="005C4637">
        <w:t>Pourquoi soigner la motivation des règlements-taxes ?</w:t>
      </w:r>
    </w:p>
    <w:p w14:paraId="45EC1B1B" w14:textId="77777777" w:rsidR="003D3DD7" w:rsidRPr="005C4637" w:rsidRDefault="003D3DD7" w:rsidP="003D3DD7">
      <w:r w:rsidRPr="005C4637">
        <w:t>L’évolution de la jurisprudence impose une motivation soignée, surtout dans le préambule mais aussi dans le dossier administratif.</w:t>
      </w:r>
    </w:p>
    <w:p w14:paraId="0DD8BF5E" w14:textId="77777777" w:rsidR="003D3DD7" w:rsidRPr="005C4637" w:rsidRDefault="003D3DD7" w:rsidP="003D3DD7">
      <w:r w:rsidRPr="005C4637">
        <w:t>C’est particulièrement nécessaire lorsque vous prévoyez des taux préférentiels, des exonérations, ou lorsque le règlement peut soulever une question de respect du principe constitutionnel d’égalité des citoyens devant l’impôt.</w:t>
      </w:r>
    </w:p>
    <w:p w14:paraId="4F32237B" w14:textId="66BD7A4D" w:rsidR="003D3DD7" w:rsidRPr="005C4637" w:rsidRDefault="003D3DD7">
      <w:pPr>
        <w:pStyle w:val="Titre4"/>
        <w:numPr>
          <w:ilvl w:val="0"/>
          <w:numId w:val="98"/>
        </w:numPr>
      </w:pPr>
      <w:r w:rsidRPr="005C4637">
        <w:t>Faut-il adopter des règlements pluriannuels avec indexation ?</w:t>
      </w:r>
    </w:p>
    <w:p w14:paraId="51881793" w14:textId="77777777" w:rsidR="003D3DD7" w:rsidRPr="005C4637" w:rsidRDefault="003D3DD7" w:rsidP="003D3DD7">
      <w:r w:rsidRPr="005C4637">
        <w:t>Oui, il est recommandé d’adopter des règlements de taxes et redevances au format pluriannuel avec un mécanisme d’indexation fondé sur l’évolution de l’indice des prix à la consommation.</w:t>
      </w:r>
    </w:p>
    <w:p w14:paraId="6CFD3FD6" w14:textId="77777777" w:rsidR="003D3DD7" w:rsidRDefault="003D3DD7" w:rsidP="003D3DD7">
      <w:r w:rsidRPr="005C4637">
        <w:t>Objectif : simplification administrative et maintien de l’adéquation des montants dans le temps.</w:t>
      </w:r>
    </w:p>
    <w:p w14:paraId="3014442B" w14:textId="56EC3B1C" w:rsidR="00454150" w:rsidRPr="005C4637" w:rsidRDefault="00454150" w:rsidP="003D3DD7">
      <w:r>
        <w:t xml:space="preserve">Il convient de prévoir dans le </w:t>
      </w:r>
      <w:r w:rsidR="00AA0763">
        <w:t>règlement</w:t>
      </w:r>
      <w:r>
        <w:t xml:space="preserve"> </w:t>
      </w:r>
      <w:r w:rsidR="0012531F">
        <w:t>ladite</w:t>
      </w:r>
      <w:r>
        <w:t xml:space="preserve"> formule d’indexation ainsi que les indices de référence. Il est rappelé qu’il est de bonne administration de publier annuellement les taux indexés sur le site de la commune.</w:t>
      </w:r>
    </w:p>
    <w:p w14:paraId="4A86E1FD" w14:textId="6262DF5D" w:rsidR="003D3DD7" w:rsidRPr="005C4637" w:rsidRDefault="003D3DD7">
      <w:pPr>
        <w:pStyle w:val="Titre4"/>
        <w:numPr>
          <w:ilvl w:val="0"/>
          <w:numId w:val="98"/>
        </w:numPr>
      </w:pPr>
      <w:r w:rsidRPr="005C4637">
        <w:t>Comment assurer la lisibilité pour les citoyens ?</w:t>
      </w:r>
    </w:p>
    <w:p w14:paraId="33987A75" w14:textId="77777777" w:rsidR="003D3DD7" w:rsidRPr="005C4637" w:rsidRDefault="003D3DD7" w:rsidP="003D3DD7">
      <w:r w:rsidRPr="005C4637">
        <w:t>Les règlements doivent être rédigés de manière claire afin que les citoyens comprennent facilement le mode de calcul et le fonctionnement de la taxation.</w:t>
      </w:r>
    </w:p>
    <w:p w14:paraId="7B9EA248" w14:textId="77777777" w:rsidR="003D3DD7" w:rsidRPr="005C4637" w:rsidRDefault="003D3DD7" w:rsidP="003D3DD7">
      <w:r w:rsidRPr="005C4637">
        <w:t>Chaque commune doit veiller à une communication pédagogique expliquant le mécanisme d’indexation retenu et justifiant le montant de la taxe.</w:t>
      </w:r>
    </w:p>
    <w:p w14:paraId="0FC4A4D0" w14:textId="727625A8" w:rsidR="003D3DD7" w:rsidRPr="005C4637" w:rsidRDefault="003D3DD7">
      <w:pPr>
        <w:pStyle w:val="Titre4"/>
        <w:numPr>
          <w:ilvl w:val="0"/>
          <w:numId w:val="98"/>
        </w:numPr>
      </w:pPr>
      <w:r w:rsidRPr="005C4637">
        <w:t>Et si la commune préfère des règlements annuels ?</w:t>
      </w:r>
    </w:p>
    <w:p w14:paraId="0F509C82" w14:textId="7554E037" w:rsidR="003D3DD7" w:rsidRPr="005C4637" w:rsidRDefault="003D3DD7" w:rsidP="003D3DD7">
      <w:r w:rsidRPr="001B7078">
        <w:t>Les taux maxima de base recommandés repris sont établis en tenant compte de l’indice des prix à la consommation de janvier 2020.</w:t>
      </w:r>
    </w:p>
    <w:p w14:paraId="2290DE3A" w14:textId="35D50E53" w:rsidR="003D3DD7" w:rsidRPr="005C4637" w:rsidRDefault="003D3DD7">
      <w:pPr>
        <w:pStyle w:val="Titre4"/>
        <w:numPr>
          <w:ilvl w:val="0"/>
          <w:numId w:val="98"/>
        </w:numPr>
      </w:pPr>
      <w:r w:rsidRPr="005C4637">
        <w:t xml:space="preserve">Quelle est l’indexation recommandée pour l’exercice </w:t>
      </w:r>
      <w:r w:rsidR="00E7166E">
        <w:t>2027</w:t>
      </w:r>
      <w:r w:rsidR="00E7166E" w:rsidRPr="005C4637">
        <w:t xml:space="preserve"> </w:t>
      </w:r>
      <w:r w:rsidRPr="005C4637">
        <w:t>?</w:t>
      </w:r>
    </w:p>
    <w:p w14:paraId="69CEA257" w14:textId="72FDAFCC" w:rsidR="00AA0763" w:rsidRDefault="7009E07D">
      <w:r>
        <w:t>24,79</w:t>
      </w:r>
      <w:r w:rsidR="008A1F53">
        <w:t>%</w:t>
      </w:r>
      <w:r w:rsidR="2D26E495">
        <w:t xml:space="preserve"> Ces maximas peuvent être indexés selon le rapport entre l'indice des prix à la consommation du mois de janvier 2020 (81,07 sur base de l'indice 2025) et celui du mois de janvier 2026 (101,17 sur base de l'indice 2025), soit pour l'exercice </w:t>
      </w:r>
      <w:r w:rsidR="00E56B37">
        <w:t>202</w:t>
      </w:r>
      <w:r w:rsidR="00B74A89">
        <w:t>7</w:t>
      </w:r>
      <w:r w:rsidR="2D26E495">
        <w:t xml:space="preserve">, une indexation de 24,79%.  </w:t>
      </w:r>
    </w:p>
    <w:p w14:paraId="373D1ABE" w14:textId="40F4BC03" w:rsidR="00AA0763" w:rsidRDefault="00AA0763">
      <w:r>
        <w:lastRenderedPageBreak/>
        <w:t>Le tableau reprenant l</w:t>
      </w:r>
      <w:r w:rsidR="00187203">
        <w:t>’entièreté des</w:t>
      </w:r>
      <w:r>
        <w:t xml:space="preserve"> taux </w:t>
      </w:r>
      <w:r w:rsidR="00187203">
        <w:t xml:space="preserve">ainsi que les taux indexés pour l’exercice 2027 est disponible </w:t>
      </w:r>
      <w:r w:rsidR="00E324EF">
        <w:t>ci-après</w:t>
      </w:r>
      <w:r w:rsidR="00A60C78">
        <w:t xml:space="preserve"> au point VIII</w:t>
      </w:r>
      <w:r w:rsidR="00E324EF">
        <w:t>.</w:t>
      </w:r>
    </w:p>
    <w:p w14:paraId="7B3CDAA4" w14:textId="699FF925" w:rsidR="003D3DD7" w:rsidRPr="005C4637" w:rsidRDefault="003D3DD7">
      <w:pPr>
        <w:pStyle w:val="Titre4"/>
        <w:numPr>
          <w:ilvl w:val="0"/>
          <w:numId w:val="98"/>
        </w:numPr>
      </w:pPr>
      <w:r w:rsidRPr="005C4637">
        <w:t>Comment déterminer le montant d’une redevance communale ?</w:t>
      </w:r>
    </w:p>
    <w:p w14:paraId="689CD1FE" w14:textId="77777777" w:rsidR="003D3DD7" w:rsidRPr="005C4637" w:rsidRDefault="003D3DD7" w:rsidP="003D3DD7">
      <w:r w:rsidRPr="005C4637">
        <w:t>Le conseil communal fixe le montant en fonction du coût du service rendu, estimé sur la base des prix en vigueur au moment de l’adoption du règlement.</w:t>
      </w:r>
    </w:p>
    <w:p w14:paraId="6330E665" w14:textId="77777777" w:rsidR="003D3DD7" w:rsidRPr="005C4637" w:rsidRDefault="003D3DD7" w:rsidP="003D3DD7">
      <w:r w:rsidRPr="005C4637">
        <w:t>Cette détermination doit figurer dans le dossier administratif.</w:t>
      </w:r>
    </w:p>
    <w:p w14:paraId="6603AAD3" w14:textId="77777777" w:rsidR="003D3DD7" w:rsidRPr="005C4637" w:rsidRDefault="003D3DD7" w:rsidP="003D3DD7">
      <w:r w:rsidRPr="005C4637">
        <w:t>Il est possible de prévoir une évolution automatique du montant en fonction de l’indice des prix à la consommation pour garantir l’adéquation dans le temps.</w:t>
      </w:r>
    </w:p>
    <w:p w14:paraId="35BD3D57" w14:textId="77777777" w:rsidR="003D3DD7" w:rsidRPr="005C4637" w:rsidRDefault="003D3DD7" w:rsidP="003D3DD7">
      <w:r w:rsidRPr="005C4637">
        <w:t>Il est fortement recommandé d’indiquer sur le site communal les montants indexés pour garantir la transparence vis-à-vis du redevable.</w:t>
      </w:r>
    </w:p>
    <w:p w14:paraId="37E70088" w14:textId="116EF65C" w:rsidR="003D3DD7" w:rsidRPr="005C4637" w:rsidRDefault="003D3DD7">
      <w:pPr>
        <w:pStyle w:val="Titre4"/>
        <w:numPr>
          <w:ilvl w:val="0"/>
          <w:numId w:val="98"/>
        </w:numPr>
      </w:pPr>
      <w:r w:rsidRPr="005C4637">
        <w:t>Quelles sont les règles de “paix fiscale” applicables à la nomenclature ?</w:t>
      </w:r>
    </w:p>
    <w:p w14:paraId="340C37A6" w14:textId="77777777" w:rsidR="003D3DD7" w:rsidRPr="005C4637" w:rsidRDefault="003D3DD7" w:rsidP="003D3DD7">
      <w:r w:rsidRPr="005C4637">
        <w:t>Sauf cas spécifiques approuvés par le Gouvernement wallon ou spécialement motivés par une situation particulière rencontrée par la commune, et dans une logique liée à certaines nuisances (p. ex. sonores, environnementales/écologiques, économiques, urbanistiques, bien-être animal, respect de la vie privée, etc.), il convient de respecter les principes suivants :</w:t>
      </w:r>
    </w:p>
    <w:p w14:paraId="53BFB7C4" w14:textId="77777777" w:rsidR="003D3DD7" w:rsidRPr="005C4637" w:rsidRDefault="003D3DD7" w:rsidP="003D3DD7">
      <w:pPr>
        <w:pStyle w:val="Listepuces"/>
      </w:pPr>
      <w:r w:rsidRPr="005C4637">
        <w:t>Les taxes non reprises dans la nomenclature ne peuvent en principe pas être instaurées ;</w:t>
      </w:r>
    </w:p>
    <w:p w14:paraId="7CF9B995" w14:textId="77777777" w:rsidR="003D3DD7" w:rsidRPr="005C4637" w:rsidRDefault="003D3DD7" w:rsidP="003D3DD7">
      <w:pPr>
        <w:pStyle w:val="Listepuces"/>
      </w:pPr>
      <w:r w:rsidRPr="005C4637">
        <w:t>Les taxes en vigueur au 1er janvier 1998 mais non reprises dans la nomenclature peuvent être reconduites, sans possibilité de majoration ni d’indexation, sauf motivation dûment justifiée ;</w:t>
      </w:r>
    </w:p>
    <w:p w14:paraId="1351921A" w14:textId="77777777" w:rsidR="003D3DD7" w:rsidRPr="005C4637" w:rsidRDefault="003D3DD7" w:rsidP="003D3DD7">
      <w:pPr>
        <w:pStyle w:val="Listepuces"/>
      </w:pPr>
      <w:r w:rsidRPr="005C4637">
        <w:t>Les taux en vigueur au 1er janvier 1998 supérieurs aux maxima recommandés dans la nomenclature ne peuvent faire l’objet d’aucune majoration ni indexation.</w:t>
      </w:r>
    </w:p>
    <w:p w14:paraId="3B5EA46C" w14:textId="1929E175" w:rsidR="003D3DD7" w:rsidRPr="005C4637" w:rsidRDefault="003D3DD7">
      <w:pPr>
        <w:pStyle w:val="Titre4"/>
        <w:numPr>
          <w:ilvl w:val="0"/>
          <w:numId w:val="98"/>
        </w:numPr>
      </w:pPr>
      <w:r w:rsidRPr="005C4637">
        <w:t>Que recouvrent les “nuisances” évoquées ?</w:t>
      </w:r>
    </w:p>
    <w:p w14:paraId="38D686D2" w14:textId="77777777" w:rsidR="003D3DD7" w:rsidRPr="005C4637" w:rsidRDefault="003D3DD7" w:rsidP="003D3DD7">
      <w:r w:rsidRPr="005C4637">
        <w:t>La référence couvre diverses nuisances de nature sonore, environnementale/écologique, économique, urbanistique, portant atteinte au bien-être animal, ou encore au respect de la vie privée, telles que reprises au point VII du document.</w:t>
      </w:r>
    </w:p>
    <w:p w14:paraId="18FEF9FD" w14:textId="77777777" w:rsidR="003D3DD7" w:rsidRPr="005C4637" w:rsidRDefault="003D3DD7" w:rsidP="008B1FFA">
      <w:pPr>
        <w:pStyle w:val="Titre4"/>
      </w:pPr>
      <w:r w:rsidRPr="005C4637">
        <w:t>Quelles sont les exceptions possibles aux limites fixées par la nomenclature ?</w:t>
      </w:r>
    </w:p>
    <w:p w14:paraId="08C90E45" w14:textId="77777777" w:rsidR="003D3DD7" w:rsidRDefault="003D3DD7" w:rsidP="003D3DD7">
      <w:r w:rsidRPr="005C4637">
        <w:t>Des exceptions peuvent être envisagées en cas d’approbation explicite par le Gouvernement wallon ou lorsqu’une motivation spéciale, liée à une situation particulière rencontrée par la commune, est dûment établie.</w:t>
      </w:r>
    </w:p>
    <w:p w14:paraId="29548C0D" w14:textId="0FCC2F91" w:rsidR="00795C3E" w:rsidRPr="00D2537F" w:rsidRDefault="00795C3E">
      <w:pPr>
        <w:pStyle w:val="Titre2"/>
        <w:numPr>
          <w:ilvl w:val="0"/>
          <w:numId w:val="112"/>
        </w:numPr>
      </w:pPr>
      <w:bookmarkStart w:id="871" w:name="_Toc512523778"/>
      <w:bookmarkStart w:id="872" w:name="_Toc512525468"/>
      <w:bookmarkStart w:id="873" w:name="_Toc515896781"/>
      <w:bookmarkStart w:id="874" w:name="_Toc143779138"/>
      <w:bookmarkStart w:id="875" w:name="_Toc208420039"/>
      <w:bookmarkStart w:id="876" w:name="_Toc225504294"/>
      <w:bookmarkStart w:id="877" w:name="_Toc225772383"/>
      <w:bookmarkStart w:id="878" w:name="_Toc233626252"/>
      <w:r>
        <w:t>P</w:t>
      </w:r>
      <w:r w:rsidRPr="00D2537F">
        <w:t>restations administratives</w:t>
      </w:r>
      <w:bookmarkEnd w:id="871"/>
      <w:bookmarkEnd w:id="872"/>
      <w:bookmarkEnd w:id="873"/>
      <w:bookmarkEnd w:id="874"/>
      <w:bookmarkEnd w:id="875"/>
      <w:bookmarkEnd w:id="876"/>
      <w:bookmarkEnd w:id="877"/>
      <w:bookmarkEnd w:id="878"/>
    </w:p>
    <w:p w14:paraId="2B8D9289" w14:textId="77777777" w:rsidR="00795C3E" w:rsidRPr="00F91BDD" w:rsidRDefault="00795C3E" w:rsidP="00795C3E">
      <w:pPr>
        <w:spacing w:before="120"/>
        <w:textAlignment w:val="baseline"/>
        <w:rPr>
          <w:rFonts w:cs="Calibri Light"/>
        </w:rPr>
      </w:pPr>
      <w:r w:rsidRPr="00F91BDD">
        <w:rPr>
          <w:rFonts w:cs="Calibri Light"/>
        </w:rPr>
        <w:t>Pour certaines prestations administratives, il est possible d'adopter soit un règlement-taxe soit un règlement-redevance. Les communes doivent cependant rester attentives aux conséquences du choix qu'elles feront.</w:t>
      </w:r>
    </w:p>
    <w:p w14:paraId="713B5401" w14:textId="77777777" w:rsidR="00795C3E" w:rsidRPr="00F91BDD" w:rsidRDefault="00795C3E" w:rsidP="00795C3E">
      <w:pPr>
        <w:spacing w:before="120"/>
        <w:textAlignment w:val="baseline"/>
        <w:rPr>
          <w:rFonts w:cs="Calibri Light"/>
          <w:spacing w:val="4"/>
        </w:rPr>
      </w:pPr>
      <w:r w:rsidRPr="00F91BDD">
        <w:rPr>
          <w:rFonts w:cs="Calibri Light"/>
          <w:spacing w:val="4"/>
        </w:rPr>
        <w:lastRenderedPageBreak/>
        <w:t>Ainsi, si le choix de la taxe offre un avantage certain au niveau du recouvrement, celle-ci ne permet pas de tenir compte du coût réel de l'instruction d'un dossier. On est donc limité par les taux maxima recommandés ci-dessous.</w:t>
      </w:r>
    </w:p>
    <w:p w14:paraId="0C129A16" w14:textId="77777777" w:rsidR="00795C3E" w:rsidRPr="00F91BDD" w:rsidRDefault="00795C3E" w:rsidP="00795C3E">
      <w:pPr>
        <w:spacing w:before="120"/>
        <w:textAlignment w:val="baseline"/>
        <w:rPr>
          <w:rFonts w:cs="Calibri Light"/>
          <w:spacing w:val="5"/>
        </w:rPr>
      </w:pPr>
      <w:r w:rsidRPr="00F91BDD">
        <w:rPr>
          <w:rFonts w:cs="Calibri Light"/>
          <w:spacing w:val="5"/>
        </w:rPr>
        <w:t>Par contre, le choix de la redevance permet une certaine souplesse dans la fixation du montant réclamé.</w:t>
      </w:r>
    </w:p>
    <w:p w14:paraId="40ADEAE0" w14:textId="77777777" w:rsidR="00795C3E" w:rsidRPr="00F91BDD" w:rsidRDefault="00795C3E" w:rsidP="00795C3E">
      <w:pPr>
        <w:spacing w:before="120"/>
        <w:textAlignment w:val="baseline"/>
        <w:rPr>
          <w:rFonts w:cs="Calibri Light"/>
          <w:spacing w:val="5"/>
        </w:rPr>
      </w:pPr>
      <w:r w:rsidRPr="00F91BDD">
        <w:rPr>
          <w:rFonts w:cs="Calibri Light"/>
          <w:spacing w:val="5"/>
        </w:rPr>
        <w:t xml:space="preserve">C'est ainsi que le règlement-redevance peut soit fixer le montant en fonction du coût réel encouru par la commune, soit faire référence aux taux maxima recommandés ci-dessous. Dans cette dernière hypothèse, il y a même la possibilité de prévoir dans le règlement que si l'instruction d'un dossier entraîne une dépense supérieure au taux forfaitaire prévu pour la catégorie de dossiers concernés, le montant facturé sera calculé sur la base d'un décompte des frais réels. </w:t>
      </w:r>
    </w:p>
    <w:p w14:paraId="3F93CC2F" w14:textId="77777777" w:rsidR="00224D67" w:rsidRDefault="00795C3E" w:rsidP="007A04A7">
      <w:pPr>
        <w:spacing w:before="120"/>
        <w:textAlignment w:val="baseline"/>
        <w:rPr>
          <w:rFonts w:cs="Calibri Light"/>
          <w:spacing w:val="5"/>
        </w:rPr>
      </w:pPr>
      <w:r w:rsidRPr="00F91BDD">
        <w:rPr>
          <w:rFonts w:cs="Calibri Light"/>
          <w:spacing w:val="5"/>
        </w:rPr>
        <w:t xml:space="preserve">Relevons aussi, qu'à défaut de prévoir une disposition en ce sens, la commune sera dans l'impossibilité de se rémunérer correctement s’il s’avérait que les coûts de l'instruction dépassaient le montant forfaitaire repris dans le règlement-redevance. </w:t>
      </w:r>
      <w:bookmarkStart w:id="879" w:name="_Hlk67663205"/>
      <w:bookmarkStart w:id="880" w:name="_Toc143779139"/>
      <w:bookmarkStart w:id="881" w:name="_Toc208420040"/>
    </w:p>
    <w:p w14:paraId="220055B7" w14:textId="3EADFF41" w:rsidR="00795C3E" w:rsidRPr="00176AD8" w:rsidRDefault="007A39EE">
      <w:pPr>
        <w:pStyle w:val="Titre3"/>
        <w:numPr>
          <w:ilvl w:val="0"/>
          <w:numId w:val="118"/>
        </w:numPr>
        <w:rPr>
          <w:caps/>
        </w:rPr>
      </w:pPr>
      <w:bookmarkStart w:id="882" w:name="_Toc225504295"/>
      <w:bookmarkStart w:id="883" w:name="_Toc225772384"/>
      <w:bookmarkStart w:id="884" w:name="_Toc233626253"/>
      <w:r w:rsidRPr="00354C0C">
        <w:t>040</w:t>
      </w:r>
      <w:r w:rsidR="00795C3E" w:rsidRPr="00354C0C">
        <w:t>/361-01 : Conservation des véhicules (saisis ou déplacés par la police)</w:t>
      </w:r>
      <w:bookmarkEnd w:id="879"/>
      <w:bookmarkEnd w:id="880"/>
      <w:bookmarkEnd w:id="881"/>
      <w:bookmarkEnd w:id="882"/>
      <w:bookmarkEnd w:id="883"/>
      <w:bookmarkEnd w:id="884"/>
    </w:p>
    <w:p w14:paraId="01E5212E" w14:textId="77777777" w:rsidR="00795C3E" w:rsidRPr="00F91BDD" w:rsidRDefault="00795C3E" w:rsidP="00795C3E">
      <w:pPr>
        <w:spacing w:before="120"/>
      </w:pPr>
      <w:r w:rsidRPr="00F91BDD">
        <w:t>Redevance</w:t>
      </w:r>
      <w:r w:rsidRPr="00F91BDD">
        <w:rPr>
          <w:b/>
        </w:rPr>
        <w:t>.</w:t>
      </w:r>
    </w:p>
    <w:p w14:paraId="4E369111" w14:textId="77777777" w:rsidR="00795C3E" w:rsidRPr="00B56231" w:rsidRDefault="00795C3E" w:rsidP="00795C3E">
      <w:pPr>
        <w:spacing w:before="120"/>
        <w:textAlignment w:val="baseline"/>
        <w:rPr>
          <w:rFonts w:cs="Calibri Light"/>
          <w:spacing w:val="-2"/>
        </w:rPr>
      </w:pPr>
      <w:r w:rsidRPr="00F91BDD">
        <w:rPr>
          <w:rFonts w:cs="Calibri Light"/>
          <w:spacing w:val="-2"/>
        </w:rPr>
        <w:t>Taux maxima recommandés :</w:t>
      </w:r>
    </w:p>
    <w:tbl>
      <w:tblPr>
        <w:tblW w:w="0" w:type="auto"/>
        <w:jc w:val="center"/>
        <w:tblCellMar>
          <w:left w:w="0" w:type="dxa"/>
          <w:right w:w="0" w:type="dxa"/>
        </w:tblCellMar>
        <w:tblLook w:val="04A0" w:firstRow="1" w:lastRow="0" w:firstColumn="1" w:lastColumn="0" w:noHBand="0" w:noVBand="1"/>
      </w:tblPr>
      <w:tblGrid>
        <w:gridCol w:w="4052"/>
        <w:gridCol w:w="2152"/>
      </w:tblGrid>
      <w:tr w:rsidR="004C1BBC" w:rsidRPr="00F91BDD" w14:paraId="00CD2207" w14:textId="77777777" w:rsidTr="1200E362">
        <w:trPr>
          <w:jc w:val="center"/>
        </w:trPr>
        <w:tc>
          <w:tcPr>
            <w:tcW w:w="4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680B3A" w14:textId="77777777" w:rsidR="004C1BBC" w:rsidRPr="00F91BDD" w:rsidRDefault="004C1BBC" w:rsidP="00F323D9">
            <w:pPr>
              <w:tabs>
                <w:tab w:val="left" w:pos="360"/>
                <w:tab w:val="left" w:pos="504"/>
              </w:tabs>
              <w:spacing w:before="120"/>
              <w:textAlignment w:val="baseline"/>
              <w:rPr>
                <w:rFonts w:cs="Calibri Light"/>
                <w:spacing w:val="-6"/>
              </w:rPr>
            </w:pPr>
          </w:p>
        </w:tc>
        <w:tc>
          <w:tcPr>
            <w:tcW w:w="215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668E2B0" w14:textId="77777777" w:rsidR="004C1BBC" w:rsidRPr="00F91BDD" w:rsidRDefault="004C1BBC" w:rsidP="00F323D9">
            <w:pPr>
              <w:tabs>
                <w:tab w:val="left" w:pos="360"/>
                <w:tab w:val="left" w:pos="504"/>
              </w:tabs>
              <w:spacing w:before="120"/>
              <w:jc w:val="center"/>
              <w:textAlignment w:val="baseline"/>
              <w:rPr>
                <w:rFonts w:cs="Calibri Light"/>
                <w:spacing w:val="-6"/>
              </w:rPr>
            </w:pPr>
            <w:r w:rsidRPr="00F91BDD">
              <w:rPr>
                <w:rFonts w:cs="Calibri Light"/>
                <w:spacing w:val="-6"/>
              </w:rPr>
              <w:t>Montant NON indexé</w:t>
            </w:r>
          </w:p>
        </w:tc>
      </w:tr>
      <w:tr w:rsidR="004C1BBC" w:rsidRPr="00F91BDD" w14:paraId="3993F470" w14:textId="77777777" w:rsidTr="00995914">
        <w:trPr>
          <w:jc w:val="center"/>
        </w:trPr>
        <w:tc>
          <w:tcPr>
            <w:tcW w:w="4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F20D6" w14:textId="77777777" w:rsidR="004C1BBC" w:rsidRPr="00F91BDD" w:rsidRDefault="004C1BBC" w:rsidP="00D07FB8">
            <w:pPr>
              <w:tabs>
                <w:tab w:val="left" w:pos="360"/>
                <w:tab w:val="left" w:pos="504"/>
              </w:tabs>
              <w:spacing w:before="120"/>
              <w:textAlignment w:val="baseline"/>
              <w:rPr>
                <w:rFonts w:cs="Calibri Light"/>
                <w:spacing w:val="-6"/>
              </w:rPr>
            </w:pPr>
            <w:r w:rsidRPr="00F91BDD">
              <w:rPr>
                <w:rFonts w:cs="Calibri Light"/>
                <w:spacing w:val="-6"/>
              </w:rPr>
              <w:t>Enlèvement du véhicule</w:t>
            </w:r>
          </w:p>
        </w:tc>
        <w:tc>
          <w:tcPr>
            <w:tcW w:w="2152"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6B85B51" w14:textId="77777777" w:rsidR="004C1BBC" w:rsidRPr="00F91BDD" w:rsidRDefault="004C1BBC" w:rsidP="00D07FB8">
            <w:pPr>
              <w:tabs>
                <w:tab w:val="left" w:pos="360"/>
                <w:tab w:val="left" w:pos="504"/>
              </w:tabs>
              <w:spacing w:before="120"/>
              <w:jc w:val="right"/>
              <w:textAlignment w:val="baseline"/>
              <w:rPr>
                <w:rFonts w:cs="Calibri Light"/>
                <w:spacing w:val="-6"/>
              </w:rPr>
            </w:pPr>
            <w:r w:rsidRPr="00F91BDD">
              <w:rPr>
                <w:rFonts w:cs="Calibri Light"/>
                <w:spacing w:val="-6"/>
              </w:rPr>
              <w:t>151,00 euros</w:t>
            </w:r>
          </w:p>
        </w:tc>
      </w:tr>
      <w:tr w:rsidR="004C1BBC" w:rsidRPr="00F91BDD" w14:paraId="01D906BF" w14:textId="77777777" w:rsidTr="00995914">
        <w:trPr>
          <w:jc w:val="center"/>
        </w:trPr>
        <w:tc>
          <w:tcPr>
            <w:tcW w:w="4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5477F" w14:textId="77777777" w:rsidR="004C1BBC" w:rsidRPr="00F91BDD" w:rsidRDefault="004C1BBC" w:rsidP="00D07FB8">
            <w:pPr>
              <w:tabs>
                <w:tab w:val="left" w:pos="360"/>
                <w:tab w:val="left" w:pos="504"/>
              </w:tabs>
              <w:spacing w:before="120"/>
              <w:textAlignment w:val="baseline"/>
              <w:rPr>
                <w:rFonts w:cs="Calibri Light"/>
                <w:spacing w:val="-6"/>
              </w:rPr>
            </w:pPr>
            <w:r w:rsidRPr="00F91BDD">
              <w:rPr>
                <w:rFonts w:cs="Calibri Light"/>
                <w:spacing w:val="-6"/>
              </w:rPr>
              <w:t>Frais de garde</w:t>
            </w:r>
          </w:p>
        </w:tc>
        <w:tc>
          <w:tcPr>
            <w:tcW w:w="2152"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2E6F886" w14:textId="77777777" w:rsidR="004C1BBC" w:rsidRPr="00F91BDD" w:rsidRDefault="004C1BBC" w:rsidP="00D07FB8">
            <w:pPr>
              <w:tabs>
                <w:tab w:val="left" w:pos="360"/>
                <w:tab w:val="left" w:pos="504"/>
              </w:tabs>
              <w:spacing w:before="120"/>
              <w:jc w:val="right"/>
              <w:textAlignment w:val="baseline"/>
              <w:rPr>
                <w:rFonts w:cs="Calibri Light"/>
                <w:spacing w:val="-6"/>
              </w:rPr>
            </w:pPr>
          </w:p>
        </w:tc>
      </w:tr>
      <w:tr w:rsidR="004C1BBC" w:rsidRPr="00F91BDD" w14:paraId="169A028F" w14:textId="77777777" w:rsidTr="00995914">
        <w:trPr>
          <w:jc w:val="center"/>
        </w:trPr>
        <w:tc>
          <w:tcPr>
            <w:tcW w:w="4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48D99" w14:textId="77777777" w:rsidR="004C1BBC" w:rsidRPr="00F91BDD" w:rsidRDefault="004C1BBC">
            <w:pPr>
              <w:numPr>
                <w:ilvl w:val="0"/>
                <w:numId w:val="21"/>
              </w:numPr>
              <w:tabs>
                <w:tab w:val="left" w:pos="360"/>
                <w:tab w:val="left" w:pos="504"/>
              </w:tabs>
              <w:spacing w:before="120" w:after="120" w:line="240" w:lineRule="auto"/>
              <w:textAlignment w:val="baseline"/>
              <w:rPr>
                <w:rFonts w:cs="Calibri Light"/>
                <w:spacing w:val="-6"/>
              </w:rPr>
            </w:pPr>
            <w:r w:rsidRPr="00F91BDD">
              <w:rPr>
                <w:rFonts w:cs="Calibri Light"/>
                <w:spacing w:val="-6"/>
              </w:rPr>
              <w:t>Cyclomoteur</w:t>
            </w:r>
          </w:p>
        </w:tc>
        <w:tc>
          <w:tcPr>
            <w:tcW w:w="2152"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2064BE3" w14:textId="77777777" w:rsidR="004C1BBC" w:rsidRPr="00F91BDD" w:rsidRDefault="004C1BBC" w:rsidP="00D07FB8">
            <w:pPr>
              <w:tabs>
                <w:tab w:val="left" w:pos="360"/>
                <w:tab w:val="left" w:pos="504"/>
              </w:tabs>
              <w:spacing w:before="120"/>
              <w:jc w:val="right"/>
              <w:textAlignment w:val="baseline"/>
              <w:rPr>
                <w:rFonts w:cs="Calibri Light"/>
                <w:spacing w:val="-6"/>
              </w:rPr>
            </w:pPr>
            <w:r w:rsidRPr="00F91BDD">
              <w:rPr>
                <w:rFonts w:cs="Calibri Light"/>
                <w:spacing w:val="-6"/>
              </w:rPr>
              <w:t>3,50 euros par jour</w:t>
            </w:r>
          </w:p>
        </w:tc>
      </w:tr>
      <w:tr w:rsidR="004C1BBC" w:rsidRPr="00F91BDD" w14:paraId="786446B8" w14:textId="77777777" w:rsidTr="00995914">
        <w:trPr>
          <w:jc w:val="center"/>
        </w:trPr>
        <w:tc>
          <w:tcPr>
            <w:tcW w:w="4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0D92E" w14:textId="77777777" w:rsidR="004C1BBC" w:rsidRPr="00F91BDD" w:rsidRDefault="004C1BBC">
            <w:pPr>
              <w:numPr>
                <w:ilvl w:val="0"/>
                <w:numId w:val="21"/>
              </w:numPr>
              <w:tabs>
                <w:tab w:val="left" w:pos="360"/>
                <w:tab w:val="left" w:pos="504"/>
              </w:tabs>
              <w:spacing w:before="120" w:after="120" w:line="240" w:lineRule="auto"/>
              <w:textAlignment w:val="baseline"/>
              <w:rPr>
                <w:rFonts w:cs="Calibri Light"/>
                <w:spacing w:val="-6"/>
              </w:rPr>
            </w:pPr>
            <w:r w:rsidRPr="00F91BDD">
              <w:rPr>
                <w:rFonts w:cs="Calibri Light"/>
                <w:spacing w:val="-6"/>
              </w:rPr>
              <w:t>Motocyclette</w:t>
            </w:r>
          </w:p>
        </w:tc>
        <w:tc>
          <w:tcPr>
            <w:tcW w:w="2152"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3F2E5BC" w14:textId="77777777" w:rsidR="004C1BBC" w:rsidRPr="00F91BDD" w:rsidRDefault="004C1BBC" w:rsidP="00D07FB8">
            <w:pPr>
              <w:tabs>
                <w:tab w:val="left" w:pos="360"/>
                <w:tab w:val="left" w:pos="504"/>
              </w:tabs>
              <w:spacing w:before="120"/>
              <w:jc w:val="right"/>
              <w:textAlignment w:val="baseline"/>
              <w:rPr>
                <w:rFonts w:cs="Calibri Light"/>
                <w:spacing w:val="-6"/>
              </w:rPr>
            </w:pPr>
            <w:r w:rsidRPr="00F91BDD">
              <w:rPr>
                <w:rFonts w:cs="Calibri Light"/>
                <w:spacing w:val="-6"/>
              </w:rPr>
              <w:t>3,50 euros par jour</w:t>
            </w:r>
          </w:p>
        </w:tc>
      </w:tr>
      <w:tr w:rsidR="004C1BBC" w:rsidRPr="00F91BDD" w14:paraId="397037CE" w14:textId="77777777" w:rsidTr="00995914">
        <w:trPr>
          <w:jc w:val="center"/>
        </w:trPr>
        <w:tc>
          <w:tcPr>
            <w:tcW w:w="4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9F07D" w14:textId="77777777" w:rsidR="004C1BBC" w:rsidRPr="00F91BDD" w:rsidRDefault="004C1BBC">
            <w:pPr>
              <w:numPr>
                <w:ilvl w:val="0"/>
                <w:numId w:val="21"/>
              </w:numPr>
              <w:tabs>
                <w:tab w:val="left" w:pos="360"/>
                <w:tab w:val="left" w:pos="504"/>
              </w:tabs>
              <w:spacing w:before="120" w:after="120" w:line="240" w:lineRule="auto"/>
              <w:textAlignment w:val="baseline"/>
              <w:rPr>
                <w:rFonts w:cs="Calibri Light"/>
                <w:spacing w:val="-6"/>
              </w:rPr>
            </w:pPr>
            <w:r w:rsidRPr="00F91BDD">
              <w:rPr>
                <w:rFonts w:cs="Calibri Light"/>
                <w:spacing w:val="-6"/>
              </w:rPr>
              <w:t>Voiture, voitures mixtes et minibus y compris les fausses camionnettes</w:t>
            </w:r>
          </w:p>
        </w:tc>
        <w:tc>
          <w:tcPr>
            <w:tcW w:w="2152"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F159133" w14:textId="77777777" w:rsidR="004C1BBC" w:rsidRPr="00F91BDD" w:rsidRDefault="004C1BBC" w:rsidP="00D07FB8">
            <w:pPr>
              <w:tabs>
                <w:tab w:val="left" w:pos="360"/>
                <w:tab w:val="left" w:pos="504"/>
              </w:tabs>
              <w:spacing w:before="120"/>
              <w:jc w:val="right"/>
              <w:textAlignment w:val="baseline"/>
              <w:rPr>
                <w:rFonts w:cs="Calibri Light"/>
                <w:spacing w:val="-6"/>
              </w:rPr>
            </w:pPr>
            <w:r w:rsidRPr="00F91BDD">
              <w:rPr>
                <w:rFonts w:cs="Calibri Light"/>
                <w:spacing w:val="-6"/>
              </w:rPr>
              <w:t>7,00 euros par jour</w:t>
            </w:r>
          </w:p>
        </w:tc>
      </w:tr>
      <w:tr w:rsidR="004C1BBC" w:rsidRPr="00F91BDD" w14:paraId="5D662FD7" w14:textId="77777777" w:rsidTr="00995914">
        <w:trPr>
          <w:jc w:val="center"/>
        </w:trPr>
        <w:tc>
          <w:tcPr>
            <w:tcW w:w="4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9B15B" w14:textId="77777777" w:rsidR="004C1BBC" w:rsidRPr="00F91BDD" w:rsidRDefault="004C1BBC">
            <w:pPr>
              <w:numPr>
                <w:ilvl w:val="0"/>
                <w:numId w:val="21"/>
              </w:numPr>
              <w:tabs>
                <w:tab w:val="left" w:pos="360"/>
                <w:tab w:val="left" w:pos="504"/>
              </w:tabs>
              <w:spacing w:before="120" w:after="120" w:line="240" w:lineRule="auto"/>
              <w:textAlignment w:val="baseline"/>
              <w:rPr>
                <w:rFonts w:cs="Calibri Light"/>
                <w:spacing w:val="-6"/>
              </w:rPr>
            </w:pPr>
            <w:r w:rsidRPr="00F91BDD">
              <w:rPr>
                <w:rFonts w:cs="Calibri Light"/>
                <w:spacing w:val="-6"/>
              </w:rPr>
              <w:t>Camion et autres types de véhicules (Mobil-Home, remorque, camionnette)</w:t>
            </w:r>
          </w:p>
        </w:tc>
        <w:tc>
          <w:tcPr>
            <w:tcW w:w="2152"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1358618" w14:textId="77777777" w:rsidR="004C1BBC" w:rsidRPr="00F91BDD" w:rsidRDefault="004C1BBC" w:rsidP="00D07FB8">
            <w:pPr>
              <w:tabs>
                <w:tab w:val="left" w:pos="360"/>
                <w:tab w:val="left" w:pos="504"/>
              </w:tabs>
              <w:spacing w:before="120"/>
              <w:jc w:val="right"/>
              <w:textAlignment w:val="baseline"/>
              <w:rPr>
                <w:rFonts w:cs="Calibri Light"/>
                <w:spacing w:val="-6"/>
              </w:rPr>
            </w:pPr>
            <w:r w:rsidRPr="00F91BDD">
              <w:rPr>
                <w:rFonts w:cs="Calibri Light"/>
                <w:spacing w:val="-6"/>
              </w:rPr>
              <w:t>14,00 euros par jour</w:t>
            </w:r>
          </w:p>
        </w:tc>
      </w:tr>
    </w:tbl>
    <w:p w14:paraId="76806E4D" w14:textId="77777777" w:rsidR="00795C3E" w:rsidRPr="00F91BDD" w:rsidRDefault="00795C3E" w:rsidP="00795C3E">
      <w:pPr>
        <w:spacing w:before="120"/>
        <w:textAlignment w:val="baseline"/>
        <w:rPr>
          <w:rFonts w:eastAsia="Calibri" w:cs="Calibri"/>
        </w:rPr>
      </w:pPr>
      <w:r w:rsidRPr="00F91BDD">
        <w:rPr>
          <w:rFonts w:eastAsia="Calibri" w:cs="Calibri"/>
        </w:rPr>
        <w:t>Pour rappel :</w:t>
      </w:r>
    </w:p>
    <w:p w14:paraId="1B362CB9" w14:textId="77777777" w:rsidR="004E2D61" w:rsidRDefault="00795C3E">
      <w:pPr>
        <w:pStyle w:val="Paragraphedeliste"/>
        <w:numPr>
          <w:ilvl w:val="0"/>
          <w:numId w:val="21"/>
        </w:numPr>
        <w:spacing w:before="120" w:after="120" w:line="240" w:lineRule="auto"/>
        <w:contextualSpacing w:val="0"/>
        <w:textAlignment w:val="baseline"/>
        <w:rPr>
          <w:rFonts w:eastAsia="Calibri" w:cs="Calibri"/>
        </w:rPr>
      </w:pPr>
      <w:r w:rsidRPr="00F91BDD">
        <w:rPr>
          <w:rFonts w:eastAsia="Calibri" w:cs="Calibri"/>
        </w:rPr>
        <w:t xml:space="preserve"> A défaut de paiement, le recouvrement des redevances s’effectue, en principe, conformément aux dispositions reprises à l’article L1124-40, §1</w:t>
      </w:r>
      <w:r w:rsidRPr="00F91BDD">
        <w:rPr>
          <w:rFonts w:eastAsia="Calibri" w:cs="Calibri"/>
          <w:vertAlign w:val="superscript"/>
        </w:rPr>
        <w:t>er</w:t>
      </w:r>
      <w:r w:rsidRPr="00F91BDD">
        <w:rPr>
          <w:rFonts w:eastAsia="Calibri" w:cs="Calibri"/>
        </w:rPr>
        <w:t xml:space="preserve"> du CDLD. </w:t>
      </w:r>
    </w:p>
    <w:p w14:paraId="1B8A0753" w14:textId="56B5E59A" w:rsidR="00472E04" w:rsidRPr="004E2D61" w:rsidRDefault="00795C3E">
      <w:pPr>
        <w:pStyle w:val="Paragraphedeliste"/>
        <w:numPr>
          <w:ilvl w:val="0"/>
          <w:numId w:val="21"/>
        </w:numPr>
        <w:spacing w:before="120" w:after="120" w:line="240" w:lineRule="auto"/>
        <w:contextualSpacing w:val="0"/>
        <w:textAlignment w:val="baseline"/>
        <w:rPr>
          <w:rFonts w:eastAsia="Calibri" w:cs="Calibri"/>
        </w:rPr>
      </w:pPr>
      <w:r w:rsidRPr="004E2D61">
        <w:rPr>
          <w:rFonts w:eastAsia="Calibri" w:cs="Calibri"/>
        </w:rPr>
        <w:t xml:space="preserve">La loi du 30 décembre 1975 concernant les biens trouvés en dehors des propriétés privées ou mis sur la voie publique en exécution de jugements d’expulsion a été abrogée </w:t>
      </w:r>
      <w:r w:rsidRPr="004E2D61">
        <w:rPr>
          <w:rFonts w:eastAsia="Calibri" w:cs="Calibri"/>
        </w:rPr>
        <w:lastRenderedPageBreak/>
        <w:t>dans le cadre de la réforme du Code civil (article 35 de la loi du 4 février 2020 portant le livre 3 (MB 17.3.2020 p. 15.753)</w:t>
      </w:r>
      <w:r w:rsidRPr="004E2D61">
        <w:rPr>
          <w:rFonts w:eastAsia="Calibri" w:cs="Calibri"/>
          <w:strike/>
        </w:rPr>
        <w:t>)</w:t>
      </w:r>
      <w:r w:rsidRPr="004E2D61">
        <w:rPr>
          <w:rFonts w:eastAsia="Calibri" w:cs="Calibri"/>
        </w:rPr>
        <w:t>. Elle remplacée par les articles 3.58 et 3.59 du Code civil.</w:t>
      </w:r>
    </w:p>
    <w:p w14:paraId="5E9CA3D7" w14:textId="77777777" w:rsidR="00314036" w:rsidRPr="00314036" w:rsidRDefault="00314036">
      <w:pPr>
        <w:pStyle w:val="Paragraphedeliste"/>
        <w:keepNext/>
        <w:keepLines/>
        <w:numPr>
          <w:ilvl w:val="0"/>
          <w:numId w:val="113"/>
        </w:numPr>
        <w:spacing w:before="200" w:after="0"/>
        <w:contextualSpacing w:val="0"/>
        <w:outlineLvl w:val="2"/>
        <w:rPr>
          <w:rFonts w:eastAsiaTheme="majorEastAsia" w:cstheme="majorBidi"/>
          <w:b/>
          <w:bCs/>
          <w:i/>
          <w:vanish/>
          <w:u w:val="single"/>
        </w:rPr>
      </w:pPr>
      <w:bookmarkStart w:id="885" w:name="_Toc225497100"/>
      <w:bookmarkStart w:id="886" w:name="_Toc225504296"/>
      <w:bookmarkStart w:id="887" w:name="_Toc225771308"/>
      <w:bookmarkStart w:id="888" w:name="_Toc225772385"/>
      <w:bookmarkStart w:id="889" w:name="_Toc225773319"/>
      <w:bookmarkStart w:id="890" w:name="_Toc225773783"/>
      <w:bookmarkStart w:id="891" w:name="_Toc229465554"/>
      <w:bookmarkStart w:id="892" w:name="_Toc229489444"/>
      <w:bookmarkStart w:id="893" w:name="_Toc229489909"/>
      <w:bookmarkStart w:id="894" w:name="_Toc229490373"/>
      <w:bookmarkStart w:id="895" w:name="_Toc229490837"/>
      <w:bookmarkStart w:id="896" w:name="_Toc229491301"/>
      <w:bookmarkStart w:id="897" w:name="_Toc229491764"/>
      <w:bookmarkStart w:id="898" w:name="_Toc233626254"/>
      <w:bookmarkStart w:id="899" w:name="_Toc143779140"/>
      <w:bookmarkStart w:id="900" w:name="_Toc208420041"/>
      <w:bookmarkStart w:id="901" w:name="_Toc512525470"/>
      <w:bookmarkStart w:id="902" w:name="_Toc515896783"/>
      <w:bookmarkStart w:id="903" w:name="_Hlk39068723"/>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65399111" w14:textId="5ED64EDF" w:rsidR="00795C3E" w:rsidRPr="005C418E" w:rsidRDefault="00795C3E" w:rsidP="005C418E">
      <w:pPr>
        <w:pStyle w:val="Titre3"/>
        <w:rPr>
          <w:caps/>
        </w:rPr>
      </w:pPr>
      <w:bookmarkStart w:id="904" w:name="_Toc225504297"/>
      <w:bookmarkStart w:id="905" w:name="_Toc225772386"/>
      <w:bookmarkStart w:id="906" w:name="_Toc233626255"/>
      <w:r w:rsidRPr="00354C0C">
        <w:t>040/361-02 : Demande d'autorisation d'activités (décrets du 11/03/1999 relatif au permis d’environnement)</w:t>
      </w:r>
      <w:bookmarkEnd w:id="899"/>
      <w:bookmarkEnd w:id="900"/>
      <w:bookmarkEnd w:id="904"/>
      <w:bookmarkEnd w:id="905"/>
      <w:bookmarkEnd w:id="906"/>
    </w:p>
    <w:p w14:paraId="6C7F3089" w14:textId="77777777" w:rsidR="00795C3E" w:rsidRPr="00F91BDD" w:rsidRDefault="00795C3E" w:rsidP="00795C3E">
      <w:pPr>
        <w:spacing w:before="120"/>
      </w:pPr>
      <w:r w:rsidRPr="00F91BDD">
        <w:t>Redevance</w:t>
      </w:r>
      <w:bookmarkEnd w:id="901"/>
      <w:bookmarkEnd w:id="902"/>
      <w:r>
        <w:t>.</w:t>
      </w:r>
    </w:p>
    <w:p w14:paraId="6675DF2B" w14:textId="44575163" w:rsidR="00795C3E" w:rsidRPr="00F91BDD" w:rsidRDefault="00795C3E" w:rsidP="00795C3E">
      <w:pPr>
        <w:spacing w:before="120"/>
        <w:textAlignment w:val="baseline"/>
        <w:rPr>
          <w:rFonts w:cs="Calibri Light"/>
        </w:rPr>
      </w:pPr>
      <w:r w:rsidRPr="00F91BDD">
        <w:rPr>
          <w:rFonts w:cs="Calibri Light"/>
        </w:rPr>
        <w:t xml:space="preserve">Outre une taxe ou une redevance pour la délivrance d'un document administratif sans caractère répétitif 30.00 </w:t>
      </w:r>
      <w:r w:rsidR="004C1BBC" w:rsidRPr="00F91BDD">
        <w:rPr>
          <w:rFonts w:cs="Calibri Light"/>
        </w:rPr>
        <w:t>euros,</w:t>
      </w:r>
      <w:r w:rsidRPr="00F91BDD">
        <w:rPr>
          <w:rFonts w:cs="Calibri Light"/>
        </w:rPr>
        <w:t xml:space="preserve"> la commune peut prévoir une redevance pour récupérer le coût réel des travaux administratifs effectués pour l’instruction du dossier (notamment les frais relatifs à</w:t>
      </w:r>
      <w:r w:rsidRPr="00F91BDD">
        <w:t xml:space="preserve"> </w:t>
      </w:r>
      <w:r w:rsidRPr="00F91BDD">
        <w:rPr>
          <w:rFonts w:cs="Calibri Light"/>
        </w:rPr>
        <w:t>l'affichage, la publication et l'envoi).</w:t>
      </w:r>
    </w:p>
    <w:p w14:paraId="52FF67EF" w14:textId="77777777" w:rsidR="00795C3E" w:rsidRDefault="00795C3E" w:rsidP="00795C3E">
      <w:pPr>
        <w:tabs>
          <w:tab w:val="left" w:pos="360"/>
          <w:tab w:val="left" w:pos="567"/>
        </w:tabs>
        <w:spacing w:before="120"/>
        <w:textAlignment w:val="baseline"/>
        <w:rPr>
          <w:rFonts w:cs="Calibri Light"/>
          <w:spacing w:val="1"/>
        </w:rPr>
      </w:pPr>
      <w:r w:rsidRPr="00F91BDD">
        <w:rPr>
          <w:rFonts w:cs="Calibri Light"/>
          <w:spacing w:val="1"/>
        </w:rPr>
        <w:t>Lorsque la commune établit une redevance pour l’instruction du dossier en fixant un taux forfaitaire en lieu et place d’un décompte sur base des frais réels, le taux maximum recommandé est :</w:t>
      </w:r>
    </w:p>
    <w:p w14:paraId="4AC4E859" w14:textId="77777777" w:rsidR="00795C3E" w:rsidRPr="0097493D" w:rsidRDefault="00795C3E" w:rsidP="00795C3E">
      <w:pPr>
        <w:tabs>
          <w:tab w:val="left" w:pos="360"/>
          <w:tab w:val="left" w:pos="567"/>
        </w:tabs>
        <w:spacing w:before="120"/>
        <w:textAlignment w:val="baseline"/>
        <w:rPr>
          <w:rFonts w:cs="Calibri Light"/>
          <w:spacing w:val="1"/>
        </w:rPr>
      </w:pPr>
    </w:p>
    <w:bookmarkEnd w:id="903"/>
    <w:tbl>
      <w:tblPr>
        <w:tblW w:w="6420" w:type="dxa"/>
        <w:jc w:val="center"/>
        <w:tblCellMar>
          <w:left w:w="0" w:type="dxa"/>
          <w:right w:w="0" w:type="dxa"/>
        </w:tblCellMar>
        <w:tblLook w:val="04A0" w:firstRow="1" w:lastRow="0" w:firstColumn="1" w:lastColumn="0" w:noHBand="0" w:noVBand="1"/>
      </w:tblPr>
      <w:tblGrid>
        <w:gridCol w:w="3772"/>
        <w:gridCol w:w="2628"/>
        <w:gridCol w:w="20"/>
      </w:tblGrid>
      <w:tr w:rsidR="004C1BBC" w:rsidRPr="00F91BDD" w14:paraId="323031D6" w14:textId="77777777" w:rsidTr="004C1BBC">
        <w:trPr>
          <w:jc w:val="center"/>
        </w:trPr>
        <w:tc>
          <w:tcPr>
            <w:tcW w:w="3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1278D8" w14:textId="77777777" w:rsidR="004C1BBC" w:rsidRPr="00F91BDD" w:rsidRDefault="004C1BBC" w:rsidP="00F323D9">
            <w:pPr>
              <w:spacing w:before="120"/>
              <w:textAlignment w:val="baseline"/>
              <w:rPr>
                <w:rFonts w:cstheme="minorHAnsi"/>
                <w:spacing w:val="-2"/>
              </w:rPr>
            </w:pPr>
          </w:p>
        </w:tc>
        <w:tc>
          <w:tcPr>
            <w:tcW w:w="2628" w:type="dxa"/>
            <w:tcBorders>
              <w:top w:val="single" w:sz="8" w:space="0" w:color="auto"/>
              <w:left w:val="nil"/>
              <w:bottom w:val="single" w:sz="8" w:space="0" w:color="auto"/>
              <w:right w:val="nil"/>
            </w:tcBorders>
            <w:vAlign w:val="center"/>
          </w:tcPr>
          <w:p w14:paraId="235B1C84" w14:textId="77777777" w:rsidR="004C1BBC" w:rsidRPr="00F91BDD" w:rsidRDefault="004C1BBC" w:rsidP="00F323D9">
            <w:pPr>
              <w:spacing w:before="120"/>
              <w:jc w:val="center"/>
              <w:textAlignment w:val="baseline"/>
              <w:rPr>
                <w:rFonts w:cstheme="minorHAnsi"/>
                <w:spacing w:val="-2"/>
              </w:rPr>
            </w:pPr>
            <w:r w:rsidRPr="00F91BDD">
              <w:rPr>
                <w:rFonts w:cstheme="minorHAnsi"/>
                <w:spacing w:val="-2"/>
              </w:rPr>
              <w:t xml:space="preserve">Montant non indexé </w:t>
            </w:r>
          </w:p>
        </w:tc>
        <w:tc>
          <w:tcPr>
            <w:tcW w:w="20" w:type="dxa"/>
            <w:tcBorders>
              <w:top w:val="single" w:sz="8" w:space="0" w:color="auto"/>
              <w:left w:val="nil"/>
              <w:bottom w:val="single" w:sz="8" w:space="0" w:color="auto"/>
              <w:right w:val="single" w:sz="8" w:space="0" w:color="auto"/>
            </w:tcBorders>
          </w:tcPr>
          <w:p w14:paraId="7961A627" w14:textId="77777777" w:rsidR="004C1BBC" w:rsidRPr="00F91BDD" w:rsidRDefault="004C1BBC" w:rsidP="00F323D9">
            <w:pPr>
              <w:spacing w:before="120"/>
              <w:jc w:val="center"/>
              <w:textAlignment w:val="baseline"/>
              <w:rPr>
                <w:rFonts w:cstheme="minorHAnsi"/>
                <w:spacing w:val="-2"/>
              </w:rPr>
            </w:pPr>
          </w:p>
        </w:tc>
      </w:tr>
      <w:tr w:rsidR="004C1BBC" w:rsidRPr="00F91BDD" w14:paraId="055A0F93" w14:textId="77777777" w:rsidTr="004C1BBC">
        <w:trPr>
          <w:jc w:val="center"/>
        </w:trPr>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4A865" w14:textId="77777777" w:rsidR="004C1BBC" w:rsidRPr="00F91BDD" w:rsidRDefault="004C1BBC" w:rsidP="00F323D9">
            <w:pPr>
              <w:spacing w:before="120"/>
              <w:textAlignment w:val="baseline"/>
              <w:rPr>
                <w:rFonts w:cstheme="minorHAnsi"/>
                <w:spacing w:val="-2"/>
              </w:rPr>
            </w:pPr>
            <w:r w:rsidRPr="00F91BDD">
              <w:rPr>
                <w:rFonts w:cstheme="minorHAnsi"/>
                <w:spacing w:val="-2"/>
              </w:rPr>
              <w:t>Permis environnement pour un établissement de 1</w:t>
            </w:r>
            <w:r w:rsidRPr="00F91BDD">
              <w:rPr>
                <w:rFonts w:cstheme="minorHAnsi"/>
                <w:spacing w:val="-2"/>
                <w:vertAlign w:val="superscript"/>
              </w:rPr>
              <w:t>ère</w:t>
            </w:r>
            <w:r w:rsidRPr="00F91BDD">
              <w:rPr>
                <w:rFonts w:cstheme="minorHAnsi"/>
                <w:spacing w:val="-2"/>
              </w:rPr>
              <w:t> classe</w:t>
            </w:r>
          </w:p>
        </w:tc>
        <w:tc>
          <w:tcPr>
            <w:tcW w:w="2628" w:type="dxa"/>
            <w:tcBorders>
              <w:top w:val="nil"/>
              <w:left w:val="nil"/>
              <w:bottom w:val="single" w:sz="8" w:space="0" w:color="auto"/>
              <w:right w:val="nil"/>
            </w:tcBorders>
            <w:vAlign w:val="center"/>
          </w:tcPr>
          <w:p w14:paraId="7C0122A0" w14:textId="77777777" w:rsidR="004C1BBC" w:rsidRPr="00F91BDD" w:rsidRDefault="004C1BBC" w:rsidP="00F323D9">
            <w:pPr>
              <w:spacing w:before="120"/>
              <w:jc w:val="right"/>
              <w:textAlignment w:val="baseline"/>
              <w:rPr>
                <w:rFonts w:cstheme="minorHAnsi"/>
                <w:spacing w:val="-2"/>
              </w:rPr>
            </w:pPr>
            <w:r w:rsidRPr="00F91BDD">
              <w:rPr>
                <w:rFonts w:cstheme="minorHAnsi"/>
                <w:spacing w:val="-2"/>
              </w:rPr>
              <w:t>1.110,00 euros</w:t>
            </w:r>
          </w:p>
        </w:tc>
        <w:tc>
          <w:tcPr>
            <w:tcW w:w="20" w:type="dxa"/>
            <w:tcBorders>
              <w:top w:val="nil"/>
              <w:left w:val="nil"/>
              <w:bottom w:val="single" w:sz="8" w:space="0" w:color="auto"/>
              <w:right w:val="single" w:sz="8" w:space="0" w:color="auto"/>
            </w:tcBorders>
          </w:tcPr>
          <w:p w14:paraId="529A5274" w14:textId="77777777" w:rsidR="004C1BBC" w:rsidRPr="00F91BDD" w:rsidRDefault="004C1BBC" w:rsidP="00F323D9">
            <w:pPr>
              <w:spacing w:before="120"/>
              <w:jc w:val="right"/>
              <w:textAlignment w:val="baseline"/>
              <w:rPr>
                <w:rFonts w:cstheme="minorHAnsi"/>
                <w:spacing w:val="-2"/>
              </w:rPr>
            </w:pPr>
          </w:p>
        </w:tc>
      </w:tr>
      <w:tr w:rsidR="004C1BBC" w:rsidRPr="00F91BDD" w14:paraId="5B19BEAD" w14:textId="77777777" w:rsidTr="004C1BBC">
        <w:trPr>
          <w:jc w:val="center"/>
        </w:trPr>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42F4D" w14:textId="77777777" w:rsidR="004C1BBC" w:rsidRPr="00F91BDD" w:rsidRDefault="004C1BBC" w:rsidP="00F323D9">
            <w:pPr>
              <w:spacing w:before="120"/>
              <w:textAlignment w:val="baseline"/>
              <w:rPr>
                <w:rFonts w:cstheme="minorHAnsi"/>
                <w:spacing w:val="-2"/>
              </w:rPr>
            </w:pPr>
            <w:r w:rsidRPr="00F91BDD">
              <w:rPr>
                <w:rFonts w:cstheme="minorHAnsi"/>
                <w:spacing w:val="-2"/>
              </w:rPr>
              <w:t>Permis environnement pour un établissement de 2</w:t>
            </w:r>
            <w:r w:rsidRPr="00F91BDD">
              <w:rPr>
                <w:rFonts w:cstheme="minorHAnsi"/>
                <w:spacing w:val="-2"/>
                <w:vertAlign w:val="superscript"/>
              </w:rPr>
              <w:t>ème</w:t>
            </w:r>
            <w:r w:rsidRPr="00F91BDD">
              <w:rPr>
                <w:rFonts w:cstheme="minorHAnsi"/>
                <w:spacing w:val="-2"/>
              </w:rPr>
              <w:t> classe</w:t>
            </w:r>
          </w:p>
        </w:tc>
        <w:tc>
          <w:tcPr>
            <w:tcW w:w="2628" w:type="dxa"/>
            <w:tcBorders>
              <w:top w:val="nil"/>
              <w:left w:val="nil"/>
              <w:bottom w:val="single" w:sz="8" w:space="0" w:color="auto"/>
              <w:right w:val="nil"/>
            </w:tcBorders>
            <w:vAlign w:val="center"/>
          </w:tcPr>
          <w:p w14:paraId="1DA48B89" w14:textId="77777777" w:rsidR="004C1BBC" w:rsidRPr="00F91BDD" w:rsidRDefault="004C1BBC" w:rsidP="00F323D9">
            <w:pPr>
              <w:spacing w:before="120"/>
              <w:jc w:val="right"/>
              <w:textAlignment w:val="baseline"/>
              <w:rPr>
                <w:rFonts w:cstheme="minorHAnsi"/>
                <w:spacing w:val="-2"/>
              </w:rPr>
            </w:pPr>
            <w:r w:rsidRPr="00F91BDD">
              <w:rPr>
                <w:rFonts w:cstheme="minorHAnsi"/>
                <w:spacing w:val="-2"/>
              </w:rPr>
              <w:t>125,00 euros</w:t>
            </w:r>
          </w:p>
        </w:tc>
        <w:tc>
          <w:tcPr>
            <w:tcW w:w="20" w:type="dxa"/>
            <w:tcBorders>
              <w:top w:val="nil"/>
              <w:left w:val="nil"/>
              <w:bottom w:val="single" w:sz="8" w:space="0" w:color="auto"/>
              <w:right w:val="single" w:sz="8" w:space="0" w:color="auto"/>
            </w:tcBorders>
          </w:tcPr>
          <w:p w14:paraId="4C89BCB8" w14:textId="77777777" w:rsidR="004C1BBC" w:rsidRPr="00F91BDD" w:rsidRDefault="004C1BBC" w:rsidP="00F323D9">
            <w:pPr>
              <w:spacing w:before="120"/>
              <w:jc w:val="right"/>
              <w:textAlignment w:val="baseline"/>
              <w:rPr>
                <w:rFonts w:cstheme="minorHAnsi"/>
                <w:spacing w:val="-2"/>
              </w:rPr>
            </w:pPr>
          </w:p>
        </w:tc>
      </w:tr>
      <w:tr w:rsidR="004C1BBC" w:rsidRPr="00F91BDD" w14:paraId="2DB35B88" w14:textId="77777777" w:rsidTr="004C1BBC">
        <w:trPr>
          <w:jc w:val="center"/>
        </w:trPr>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4D8E7" w14:textId="77777777" w:rsidR="004C1BBC" w:rsidRPr="00F91BDD" w:rsidRDefault="004C1BBC" w:rsidP="00F323D9">
            <w:pPr>
              <w:spacing w:before="120"/>
              <w:textAlignment w:val="baseline"/>
              <w:rPr>
                <w:rFonts w:cstheme="minorHAnsi"/>
                <w:spacing w:val="-2"/>
              </w:rPr>
            </w:pPr>
            <w:r w:rsidRPr="00F91BDD">
              <w:rPr>
                <w:rFonts w:cstheme="minorHAnsi"/>
                <w:spacing w:val="-2"/>
              </w:rPr>
              <w:t>Permis unique pour un établissement de 1</w:t>
            </w:r>
            <w:r w:rsidRPr="00F91BDD">
              <w:rPr>
                <w:rFonts w:cstheme="minorHAnsi"/>
                <w:spacing w:val="-2"/>
                <w:vertAlign w:val="superscript"/>
              </w:rPr>
              <w:t>ère</w:t>
            </w:r>
            <w:r w:rsidRPr="00F91BDD">
              <w:rPr>
                <w:rFonts w:cstheme="minorHAnsi"/>
                <w:spacing w:val="-2"/>
              </w:rPr>
              <w:t xml:space="preserve"> classe</w:t>
            </w:r>
          </w:p>
        </w:tc>
        <w:tc>
          <w:tcPr>
            <w:tcW w:w="2628" w:type="dxa"/>
            <w:tcBorders>
              <w:top w:val="nil"/>
              <w:left w:val="nil"/>
              <w:bottom w:val="single" w:sz="8" w:space="0" w:color="auto"/>
              <w:right w:val="nil"/>
            </w:tcBorders>
            <w:vAlign w:val="center"/>
          </w:tcPr>
          <w:p w14:paraId="2A0C9F3E" w14:textId="77777777" w:rsidR="004C1BBC" w:rsidRPr="00F91BDD" w:rsidRDefault="004C1BBC" w:rsidP="00F323D9">
            <w:pPr>
              <w:spacing w:before="120"/>
              <w:jc w:val="right"/>
              <w:textAlignment w:val="baseline"/>
              <w:rPr>
                <w:rFonts w:cstheme="minorHAnsi"/>
                <w:spacing w:val="-2"/>
              </w:rPr>
            </w:pPr>
            <w:r w:rsidRPr="00F91BDD">
              <w:rPr>
                <w:rFonts w:cstheme="minorHAnsi"/>
                <w:spacing w:val="-2"/>
              </w:rPr>
              <w:t>4.500,00 euros</w:t>
            </w:r>
          </w:p>
        </w:tc>
        <w:tc>
          <w:tcPr>
            <w:tcW w:w="20" w:type="dxa"/>
            <w:tcBorders>
              <w:top w:val="nil"/>
              <w:left w:val="nil"/>
              <w:bottom w:val="single" w:sz="8" w:space="0" w:color="auto"/>
              <w:right w:val="single" w:sz="8" w:space="0" w:color="auto"/>
            </w:tcBorders>
          </w:tcPr>
          <w:p w14:paraId="4145CC17" w14:textId="77777777" w:rsidR="004C1BBC" w:rsidRPr="00F91BDD" w:rsidRDefault="004C1BBC" w:rsidP="00F323D9">
            <w:pPr>
              <w:spacing w:before="120"/>
              <w:jc w:val="right"/>
              <w:textAlignment w:val="baseline"/>
              <w:rPr>
                <w:rFonts w:cstheme="minorHAnsi"/>
                <w:spacing w:val="-2"/>
              </w:rPr>
            </w:pPr>
          </w:p>
        </w:tc>
      </w:tr>
      <w:tr w:rsidR="004C1BBC" w:rsidRPr="00F91BDD" w14:paraId="2571F842" w14:textId="77777777" w:rsidTr="004C1BBC">
        <w:trPr>
          <w:jc w:val="center"/>
        </w:trPr>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B4DB1" w14:textId="77777777" w:rsidR="004C1BBC" w:rsidRPr="00F91BDD" w:rsidRDefault="004C1BBC" w:rsidP="00F323D9">
            <w:pPr>
              <w:spacing w:before="120"/>
              <w:textAlignment w:val="baseline"/>
              <w:rPr>
                <w:rFonts w:cstheme="minorHAnsi"/>
                <w:spacing w:val="-2"/>
              </w:rPr>
            </w:pPr>
            <w:r w:rsidRPr="00F91BDD">
              <w:rPr>
                <w:rFonts w:cstheme="minorHAnsi"/>
                <w:spacing w:val="-2"/>
              </w:rPr>
              <w:t>Permis unique pour un établissement de 2</w:t>
            </w:r>
            <w:r w:rsidRPr="00F91BDD">
              <w:rPr>
                <w:rFonts w:cstheme="minorHAnsi"/>
                <w:spacing w:val="-2"/>
                <w:vertAlign w:val="superscript"/>
              </w:rPr>
              <w:t>ème</w:t>
            </w:r>
            <w:r w:rsidRPr="00F91BDD">
              <w:rPr>
                <w:rFonts w:cstheme="minorHAnsi"/>
                <w:spacing w:val="-2"/>
              </w:rPr>
              <w:t xml:space="preserve"> classe</w:t>
            </w:r>
          </w:p>
        </w:tc>
        <w:tc>
          <w:tcPr>
            <w:tcW w:w="2628" w:type="dxa"/>
            <w:tcBorders>
              <w:top w:val="nil"/>
              <w:left w:val="nil"/>
              <w:bottom w:val="single" w:sz="8" w:space="0" w:color="auto"/>
              <w:right w:val="nil"/>
            </w:tcBorders>
            <w:vAlign w:val="center"/>
          </w:tcPr>
          <w:p w14:paraId="6FEA624E" w14:textId="77777777" w:rsidR="004C1BBC" w:rsidRPr="00F91BDD" w:rsidRDefault="004C1BBC" w:rsidP="00F323D9">
            <w:pPr>
              <w:spacing w:before="120"/>
              <w:jc w:val="right"/>
              <w:textAlignment w:val="baseline"/>
              <w:rPr>
                <w:rFonts w:cstheme="minorHAnsi"/>
                <w:spacing w:val="-2"/>
              </w:rPr>
            </w:pPr>
            <w:r w:rsidRPr="00F91BDD">
              <w:rPr>
                <w:rFonts w:cstheme="minorHAnsi"/>
                <w:spacing w:val="-2"/>
              </w:rPr>
              <w:t>200,00 euros</w:t>
            </w:r>
          </w:p>
        </w:tc>
        <w:tc>
          <w:tcPr>
            <w:tcW w:w="20" w:type="dxa"/>
            <w:tcBorders>
              <w:top w:val="nil"/>
              <w:left w:val="nil"/>
              <w:bottom w:val="single" w:sz="8" w:space="0" w:color="auto"/>
              <w:right w:val="single" w:sz="8" w:space="0" w:color="auto"/>
            </w:tcBorders>
          </w:tcPr>
          <w:p w14:paraId="0DCA5029" w14:textId="77777777" w:rsidR="004C1BBC" w:rsidRPr="00F91BDD" w:rsidRDefault="004C1BBC" w:rsidP="00F323D9">
            <w:pPr>
              <w:spacing w:before="120"/>
              <w:jc w:val="right"/>
              <w:textAlignment w:val="baseline"/>
              <w:rPr>
                <w:rFonts w:cstheme="minorHAnsi"/>
                <w:spacing w:val="-2"/>
              </w:rPr>
            </w:pPr>
          </w:p>
        </w:tc>
      </w:tr>
      <w:tr w:rsidR="004C1BBC" w:rsidRPr="00F91BDD" w14:paraId="32B7411F" w14:textId="77777777" w:rsidTr="004C1BBC">
        <w:trPr>
          <w:jc w:val="center"/>
        </w:trPr>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DBAC5" w14:textId="77777777" w:rsidR="004C1BBC" w:rsidRPr="00F91BDD" w:rsidRDefault="004C1BBC" w:rsidP="00F323D9">
            <w:pPr>
              <w:spacing w:before="120"/>
              <w:textAlignment w:val="baseline"/>
              <w:rPr>
                <w:rFonts w:cstheme="minorHAnsi"/>
                <w:spacing w:val="-2"/>
              </w:rPr>
            </w:pPr>
            <w:r w:rsidRPr="00F91BDD">
              <w:rPr>
                <w:rFonts w:cstheme="minorHAnsi"/>
                <w:spacing w:val="-2"/>
              </w:rPr>
              <w:t>Déclaration pour un établissement de 3</w:t>
            </w:r>
            <w:r w:rsidRPr="00F91BDD">
              <w:rPr>
                <w:rFonts w:cstheme="minorHAnsi"/>
                <w:spacing w:val="-2"/>
                <w:vertAlign w:val="superscript"/>
              </w:rPr>
              <w:t>ème</w:t>
            </w:r>
            <w:r w:rsidRPr="00F91BDD">
              <w:rPr>
                <w:rFonts w:cstheme="minorHAnsi"/>
                <w:spacing w:val="-2"/>
              </w:rPr>
              <w:t xml:space="preserve"> classe</w:t>
            </w:r>
          </w:p>
        </w:tc>
        <w:tc>
          <w:tcPr>
            <w:tcW w:w="2628" w:type="dxa"/>
            <w:tcBorders>
              <w:top w:val="nil"/>
              <w:left w:val="nil"/>
              <w:bottom w:val="single" w:sz="8" w:space="0" w:color="auto"/>
              <w:right w:val="nil"/>
            </w:tcBorders>
            <w:vAlign w:val="center"/>
          </w:tcPr>
          <w:p w14:paraId="44706871" w14:textId="77777777" w:rsidR="004C1BBC" w:rsidRPr="00F91BDD" w:rsidRDefault="004C1BBC" w:rsidP="00F323D9">
            <w:pPr>
              <w:spacing w:before="120"/>
              <w:jc w:val="right"/>
              <w:textAlignment w:val="baseline"/>
              <w:rPr>
                <w:spacing w:val="-2"/>
              </w:rPr>
            </w:pPr>
            <w:r w:rsidRPr="62298347">
              <w:rPr>
                <w:spacing w:val="-2"/>
              </w:rPr>
              <w:t>30,00 euros</w:t>
            </w:r>
          </w:p>
        </w:tc>
        <w:tc>
          <w:tcPr>
            <w:tcW w:w="20" w:type="dxa"/>
            <w:tcBorders>
              <w:top w:val="nil"/>
              <w:left w:val="nil"/>
              <w:bottom w:val="single" w:sz="8" w:space="0" w:color="auto"/>
              <w:right w:val="single" w:sz="8" w:space="0" w:color="auto"/>
            </w:tcBorders>
          </w:tcPr>
          <w:p w14:paraId="2763977C" w14:textId="77777777" w:rsidR="004C1BBC" w:rsidRPr="00F91BDD" w:rsidRDefault="004C1BBC" w:rsidP="00F323D9">
            <w:pPr>
              <w:spacing w:before="120"/>
              <w:jc w:val="right"/>
              <w:textAlignment w:val="baseline"/>
              <w:rPr>
                <w:rFonts w:cstheme="minorHAnsi"/>
                <w:spacing w:val="-2"/>
              </w:rPr>
            </w:pPr>
          </w:p>
        </w:tc>
      </w:tr>
    </w:tbl>
    <w:p w14:paraId="3B4A0A45" w14:textId="77777777" w:rsidR="00795C3E" w:rsidRPr="00F91BDD" w:rsidRDefault="00795C3E" w:rsidP="00795C3E">
      <w:pPr>
        <w:tabs>
          <w:tab w:val="right" w:pos="8352"/>
        </w:tabs>
        <w:spacing w:before="120"/>
        <w:textAlignment w:val="baseline"/>
        <w:rPr>
          <w:rFonts w:cs="Calibri Light"/>
        </w:rPr>
      </w:pPr>
      <w:bookmarkStart w:id="907" w:name="_Hlk39227347"/>
      <w:r w:rsidRPr="00F91BDD">
        <w:rPr>
          <w:rFonts w:cs="Calibri Light"/>
        </w:rPr>
        <w:t>Il est possible de prévoir que les forfaits ci-dessus comprennent tant l’instruction que la délivrance du document.</w:t>
      </w:r>
    </w:p>
    <w:p w14:paraId="2278C1E6" w14:textId="77777777" w:rsidR="00795C3E" w:rsidRPr="00F91BDD" w:rsidRDefault="00795C3E" w:rsidP="00795C3E">
      <w:pPr>
        <w:tabs>
          <w:tab w:val="right" w:pos="8352"/>
        </w:tabs>
        <w:spacing w:before="120"/>
        <w:textAlignment w:val="baseline"/>
        <w:rPr>
          <w:rFonts w:cs="Calibri Light"/>
        </w:rPr>
      </w:pPr>
      <w:r w:rsidRPr="00F91BDD">
        <w:rPr>
          <w:rFonts w:cs="Calibri Light"/>
        </w:rPr>
        <w:t xml:space="preserve">Dans l’hypothèse où le règlement-redevance prévoit des forfaits, on peut toujours y prévoir une disposition qui précise que si le traitement du dossier entraîne une dépense supérieure au taux forfaitaire prévu pour la catégorie concernée, le coût sera facturé sur base d'un décompte des frais réels. À défaut de prévoir une disposition en ce sens, la commune serait </w:t>
      </w:r>
      <w:r w:rsidRPr="00F91BDD">
        <w:rPr>
          <w:rFonts w:cs="Calibri Light"/>
        </w:rPr>
        <w:lastRenderedPageBreak/>
        <w:t>dans l'impossibilité de se rémunérer correctement et de récupérer la différence entre le coût réel et le forfait établi.</w:t>
      </w:r>
    </w:p>
    <w:p w14:paraId="197599CA" w14:textId="26BD35EF" w:rsidR="2D6371F2" w:rsidRPr="003340E0" w:rsidRDefault="2D6371F2" w:rsidP="1C6C0DED">
      <w:pPr>
        <w:tabs>
          <w:tab w:val="right" w:pos="8352"/>
        </w:tabs>
        <w:spacing w:before="120"/>
        <w:rPr>
          <w:rFonts w:cs="Calibri Light"/>
          <w:color w:val="000000" w:themeColor="text1"/>
        </w:rPr>
      </w:pPr>
      <w:r w:rsidRPr="003340E0">
        <w:rPr>
          <w:rFonts w:cs="Calibri Light"/>
          <w:color w:val="000000" w:themeColor="text1"/>
        </w:rPr>
        <w:t xml:space="preserve">Dans l’hypothèse où le règlement-redevance </w:t>
      </w:r>
      <w:r w:rsidR="4F7FD9C0" w:rsidRPr="003340E0">
        <w:rPr>
          <w:rFonts w:cs="Calibri Light"/>
          <w:color w:val="000000" w:themeColor="text1"/>
        </w:rPr>
        <w:t>prévoirait</w:t>
      </w:r>
      <w:r w:rsidRPr="003340E0">
        <w:rPr>
          <w:rFonts w:cs="Calibri Light"/>
          <w:color w:val="000000" w:themeColor="text1"/>
        </w:rPr>
        <w:t xml:space="preserve"> des forfaits </w:t>
      </w:r>
      <w:r w:rsidR="1510304B" w:rsidRPr="003340E0">
        <w:rPr>
          <w:rFonts w:cs="Calibri Light"/>
          <w:color w:val="000000" w:themeColor="text1"/>
        </w:rPr>
        <w:t xml:space="preserve">excédant </w:t>
      </w:r>
      <w:r w:rsidR="532DF1F8" w:rsidRPr="003340E0">
        <w:rPr>
          <w:rFonts w:cs="Calibri Light"/>
          <w:color w:val="000000" w:themeColor="text1"/>
        </w:rPr>
        <w:t xml:space="preserve">le montant des forfaits maximas recommandés ci-dessus, </w:t>
      </w:r>
      <w:r w:rsidR="49C03F05" w:rsidRPr="003340E0">
        <w:rPr>
          <w:rFonts w:cs="Calibri Light"/>
          <w:color w:val="000000" w:themeColor="text1"/>
        </w:rPr>
        <w:t xml:space="preserve">les communes </w:t>
      </w:r>
      <w:r w:rsidR="043BA4B4" w:rsidRPr="003340E0">
        <w:rPr>
          <w:rFonts w:cs="Calibri Light"/>
          <w:color w:val="000000" w:themeColor="text1"/>
        </w:rPr>
        <w:t>sont tenues de motiver ce dépassement au moyen d’éléments objectifs soit dans le</w:t>
      </w:r>
      <w:r w:rsidR="44473C95" w:rsidRPr="003340E0">
        <w:rPr>
          <w:rFonts w:cs="Calibri Light"/>
          <w:color w:val="000000" w:themeColor="text1"/>
        </w:rPr>
        <w:t xml:space="preserve"> préambule de la délibération soit dans le dossier administratif</w:t>
      </w:r>
      <w:r w:rsidR="6E0A6FF5" w:rsidRPr="003340E0">
        <w:rPr>
          <w:rFonts w:cs="Calibri Light"/>
          <w:color w:val="000000" w:themeColor="text1"/>
        </w:rPr>
        <w:t xml:space="preserve">. </w:t>
      </w:r>
      <w:r w:rsidR="532DF1F8" w:rsidRPr="003340E0">
        <w:rPr>
          <w:rFonts w:cs="Calibri Light"/>
          <w:color w:val="000000" w:themeColor="text1"/>
        </w:rPr>
        <w:t xml:space="preserve"> </w:t>
      </w:r>
    </w:p>
    <w:p w14:paraId="0DB35D50" w14:textId="77777777" w:rsidR="00795C3E" w:rsidRPr="004E425F" w:rsidRDefault="00795C3E" w:rsidP="00795C3E">
      <w:pPr>
        <w:tabs>
          <w:tab w:val="right" w:pos="8352"/>
        </w:tabs>
        <w:spacing w:before="120"/>
        <w:textAlignment w:val="baseline"/>
        <w:rPr>
          <w:sz w:val="2"/>
        </w:rPr>
      </w:pPr>
    </w:p>
    <w:bookmarkEnd w:id="907"/>
    <w:p w14:paraId="350F87DA" w14:textId="77777777" w:rsidR="00795C3E" w:rsidRPr="00F91BDD" w:rsidRDefault="00795C3E" w:rsidP="00795C3E">
      <w:pPr>
        <w:tabs>
          <w:tab w:val="right" w:pos="8352"/>
        </w:tabs>
        <w:spacing w:before="120"/>
        <w:textAlignment w:val="baseline"/>
        <w:rPr>
          <w:rFonts w:cs="Calibri Light"/>
          <w:u w:val="single"/>
        </w:rPr>
      </w:pPr>
      <w:r w:rsidRPr="00F91BDD">
        <w:rPr>
          <w:b/>
          <w:bCs/>
          <w:u w:val="single"/>
        </w:rPr>
        <w:t>Délivrance d’une information environnementale</w:t>
      </w:r>
    </w:p>
    <w:p w14:paraId="2FDB7C1B" w14:textId="549955D2" w:rsidR="00795C3E" w:rsidRDefault="00795C3E" w:rsidP="00795C3E">
      <w:pPr>
        <w:tabs>
          <w:tab w:val="right" w:pos="8352"/>
        </w:tabs>
        <w:spacing w:before="120"/>
        <w:textAlignment w:val="baseline"/>
        <w:rPr>
          <w:rFonts w:cs="Calibri Light"/>
        </w:rPr>
      </w:pPr>
      <w:r w:rsidRPr="00F91BDD">
        <w:rPr>
          <w:rFonts w:cs="Calibri Light"/>
        </w:rPr>
        <w:t xml:space="preserve">En ce qui concerne la </w:t>
      </w:r>
      <w:r w:rsidRPr="00F91BDD">
        <w:rPr>
          <w:rFonts w:cs="Calibri Light"/>
          <w:b/>
        </w:rPr>
        <w:t>délivrance d’une information environnementale</w:t>
      </w:r>
      <w:r w:rsidRPr="00F91BDD">
        <w:rPr>
          <w:rFonts w:cs="Calibri Light"/>
        </w:rPr>
        <w:t xml:space="preserve"> (par exemple : une copie de document), l’article D.13, alinéa 3 du Livre 1</w:t>
      </w:r>
      <w:r w:rsidRPr="00F91BDD">
        <w:rPr>
          <w:rFonts w:cs="Calibri Light"/>
          <w:vertAlign w:val="superscript"/>
        </w:rPr>
        <w:t>er</w:t>
      </w:r>
      <w:r w:rsidRPr="00F91BDD">
        <w:rPr>
          <w:rFonts w:cs="Calibri Light"/>
        </w:rPr>
        <w:t xml:space="preserve"> du Code de l’Environnement prévoit que « </w:t>
      </w:r>
      <w:r w:rsidR="004B4D87" w:rsidRPr="004B4D87">
        <w:rPr>
          <w:rFonts w:cs="Calibri Light"/>
          <w:i/>
        </w:rPr>
        <w:t>La consultation sur place des informations demandées est gratuite.</w:t>
      </w:r>
      <w:r w:rsidR="004B4D87">
        <w:rPr>
          <w:rFonts w:cs="Calibri Light"/>
          <w:i/>
        </w:rPr>
        <w:t xml:space="preserve"> L</w:t>
      </w:r>
      <w:r w:rsidRPr="00190B7A">
        <w:rPr>
          <w:rFonts w:cs="Calibri Light"/>
          <w:i/>
        </w:rPr>
        <w:t>e prix éventuellement réclamé pour la délivrance de l'information ne peut dépasser le coût du support de l'information et de sa communication et doit être communiqué au demandeur au moment de sa demande</w:t>
      </w:r>
      <w:r w:rsidRPr="00F91BDD">
        <w:rPr>
          <w:rFonts w:cs="Calibri Light"/>
        </w:rPr>
        <w:t xml:space="preserve"> ».</w:t>
      </w:r>
    </w:p>
    <w:p w14:paraId="5C766CEE" w14:textId="77777777" w:rsidR="00160236" w:rsidRPr="002E4C37" w:rsidRDefault="00160236" w:rsidP="00160236">
      <w:pPr>
        <w:tabs>
          <w:tab w:val="right" w:pos="8352"/>
        </w:tabs>
        <w:spacing w:before="120"/>
        <w:textAlignment w:val="baseline"/>
        <w:rPr>
          <w:rFonts w:cs="Calibri Light"/>
        </w:rPr>
      </w:pPr>
      <w:r w:rsidRPr="002E4C37">
        <w:rPr>
          <w:rFonts w:cs="Calibri Light"/>
        </w:rPr>
        <w:t xml:space="preserve">Lorsqu'une copie de documents contenant des informations à caractère environnemental est sollicitée auprès d'une autorité publique au sens du Livre 1er du Code de l'Environnement, cette autorité pourra subordonner l'envoi de ces documents au demandeur au paiement préalable par ce dernier. L'autorité doit avertir le demandeur du montant réclamé et, si le demandeur ne souhaite pas régler le montant réclamé, il lui est loisible de se rendre au siège de l'autorité publique pour consulter les documents sur place, cette consultation étant gratuite. </w:t>
      </w:r>
    </w:p>
    <w:p w14:paraId="40035F93" w14:textId="463DE132" w:rsidR="00160236" w:rsidRPr="00F91BDD" w:rsidRDefault="00160236" w:rsidP="00160236">
      <w:pPr>
        <w:tabs>
          <w:tab w:val="right" w:pos="8352"/>
        </w:tabs>
        <w:spacing w:before="120"/>
        <w:textAlignment w:val="baseline"/>
        <w:rPr>
          <w:rFonts w:cs="Calibri Light"/>
        </w:rPr>
      </w:pPr>
      <w:r w:rsidRPr="002E4C37">
        <w:rPr>
          <w:rFonts w:cs="Calibri Light"/>
        </w:rPr>
        <w:t>Selon le Conseil d'Etat</w:t>
      </w:r>
      <w:r>
        <w:rPr>
          <w:rStyle w:val="Appelnotedebasdep"/>
          <w:rFonts w:cs="Calibri Light"/>
        </w:rPr>
        <w:footnoteReference w:id="68"/>
      </w:r>
      <w:r w:rsidRPr="002E4C37">
        <w:rPr>
          <w:rFonts w:cs="Calibri Light"/>
        </w:rPr>
        <w:t xml:space="preserve">  « Les éléments constitutifs du « coût du support de l’information », visé à l’article D.13, alinéa 3, précité, ne sont pas précisés dans le Code wallon de l’environnement. Cette terminologie n’exclut pas en soi la prise en compte du coût de la main d’œuvre des employés administratifs chargés de rechercher les informations demandées et de les produire dans le format requis</w:t>
      </w:r>
    </w:p>
    <w:p w14:paraId="26D375B5" w14:textId="77777777" w:rsidR="00795C3E" w:rsidRPr="00F91BDD" w:rsidRDefault="00795C3E" w:rsidP="00795C3E">
      <w:pPr>
        <w:tabs>
          <w:tab w:val="right" w:pos="8352"/>
        </w:tabs>
        <w:spacing w:before="120"/>
        <w:textAlignment w:val="baseline"/>
        <w:rPr>
          <w:rFonts w:cs="Calibri Light"/>
          <w:sz w:val="2"/>
          <w:szCs w:val="2"/>
        </w:rPr>
      </w:pPr>
    </w:p>
    <w:p w14:paraId="19576371" w14:textId="690673C7" w:rsidR="00795C3E" w:rsidRPr="00354C0C" w:rsidRDefault="00795C3E" w:rsidP="35BD9115">
      <w:pPr>
        <w:pStyle w:val="Titre3"/>
        <w:rPr>
          <w:caps/>
        </w:rPr>
      </w:pPr>
      <w:bookmarkStart w:id="908" w:name="_Toc143779141"/>
      <w:bookmarkStart w:id="909" w:name="_Toc208420042"/>
      <w:bookmarkStart w:id="910" w:name="_Toc225504298"/>
      <w:bookmarkStart w:id="911" w:name="_Toc225772387"/>
      <w:bookmarkStart w:id="912" w:name="_Toc233626256"/>
      <w:bookmarkStart w:id="913" w:name="_Toc512525471"/>
      <w:bookmarkStart w:id="914" w:name="_Toc515896784"/>
      <w:bookmarkStart w:id="915" w:name="_Hlk128465949"/>
      <w:r w:rsidRPr="00354C0C">
        <w:t xml:space="preserve">040/361-03 : </w:t>
      </w:r>
      <w:bookmarkStart w:id="916" w:name="_Hlk100058285"/>
      <w:r w:rsidRPr="00354C0C">
        <w:t>Délivrance d'un permis d'urbanisation</w:t>
      </w:r>
      <w:bookmarkEnd w:id="908"/>
      <w:bookmarkEnd w:id="909"/>
      <w:bookmarkEnd w:id="910"/>
      <w:bookmarkEnd w:id="911"/>
      <w:bookmarkEnd w:id="912"/>
      <w:bookmarkEnd w:id="916"/>
    </w:p>
    <w:p w14:paraId="488EB2DA" w14:textId="77777777" w:rsidR="00795C3E" w:rsidRPr="00F91BDD" w:rsidRDefault="00795C3E" w:rsidP="00795C3E">
      <w:pPr>
        <w:spacing w:before="120"/>
      </w:pPr>
      <w:r w:rsidRPr="00F91BDD">
        <w:t>Redevance</w:t>
      </w:r>
      <w:bookmarkEnd w:id="913"/>
      <w:bookmarkEnd w:id="914"/>
      <w:r>
        <w:t>.</w:t>
      </w:r>
    </w:p>
    <w:p w14:paraId="25703601" w14:textId="23CB9117" w:rsidR="00795C3E" w:rsidRPr="00F91BDD" w:rsidRDefault="00795C3E" w:rsidP="00795C3E">
      <w:pPr>
        <w:spacing w:before="120"/>
        <w:textAlignment w:val="baseline"/>
        <w:rPr>
          <w:rFonts w:cs="Calibri Light"/>
        </w:rPr>
      </w:pPr>
      <w:r w:rsidRPr="00F91BDD">
        <w:rPr>
          <w:rFonts w:cs="Calibri Light"/>
        </w:rPr>
        <w:t xml:space="preserve">Outre une taxe ou une redevance pour la délivrance d'un document administratif sans caractère répétitif 30,00 </w:t>
      </w:r>
      <w:r w:rsidR="001F510E" w:rsidRPr="00F91BDD">
        <w:rPr>
          <w:rFonts w:cs="Calibri Light"/>
        </w:rPr>
        <w:t>euros,</w:t>
      </w:r>
      <w:r w:rsidRPr="00F91BDD">
        <w:rPr>
          <w:rFonts w:cs="Calibri Light"/>
        </w:rPr>
        <w:t xml:space="preserve"> la commune peut prévoir une redevance pour récupérer le coût réel des travaux administratifs effectués pour l’instruction du dossier.</w:t>
      </w:r>
    </w:p>
    <w:p w14:paraId="5CD491EA" w14:textId="77777777" w:rsidR="00795C3E" w:rsidRPr="00F91BDD" w:rsidRDefault="00795C3E" w:rsidP="00795C3E">
      <w:pPr>
        <w:spacing w:before="120"/>
        <w:textAlignment w:val="baseline"/>
        <w:rPr>
          <w:rFonts w:cs="Calibri Light"/>
        </w:rPr>
      </w:pPr>
      <w:r w:rsidRPr="00F91BDD">
        <w:rPr>
          <w:rFonts w:cs="Calibri Light"/>
        </w:rPr>
        <w:t>Lorsque la commune établit une redevance pour l’instruction du dossier en fixant un taux forfaitaire en lieu et place d’un décompte sur base des frais réels, le taux maximum recommandé est :</w:t>
      </w:r>
    </w:p>
    <w:p w14:paraId="61EE97C5" w14:textId="1EB1CAEC" w:rsidR="00795C3E" w:rsidRPr="00F91BDD" w:rsidRDefault="00795C3E">
      <w:pPr>
        <w:pStyle w:val="Paragraphedeliste"/>
        <w:numPr>
          <w:ilvl w:val="0"/>
          <w:numId w:val="21"/>
        </w:numPr>
        <w:spacing w:before="120" w:after="120" w:line="240" w:lineRule="auto"/>
        <w:contextualSpacing w:val="0"/>
        <w:textAlignment w:val="baseline"/>
        <w:rPr>
          <w:rFonts w:cs="Calibri Light"/>
        </w:rPr>
      </w:pPr>
      <w:r w:rsidRPr="00F91BDD">
        <w:rPr>
          <w:rFonts w:cs="Calibri Light"/>
        </w:rPr>
        <w:t xml:space="preserve">200,00 euros  - par logement ou autre affectation dans les immeubles bâtis à créer ; </w:t>
      </w:r>
    </w:p>
    <w:p w14:paraId="194151A3" w14:textId="38C97FA4" w:rsidR="00795C3E" w:rsidRPr="00F91BDD" w:rsidRDefault="00795C3E">
      <w:pPr>
        <w:pStyle w:val="Paragraphedeliste"/>
        <w:numPr>
          <w:ilvl w:val="0"/>
          <w:numId w:val="21"/>
        </w:numPr>
        <w:spacing w:before="120" w:after="120" w:line="240" w:lineRule="auto"/>
        <w:contextualSpacing w:val="0"/>
        <w:textAlignment w:val="baseline"/>
        <w:rPr>
          <w:rFonts w:cs="Calibri Light"/>
        </w:rPr>
      </w:pPr>
      <w:r w:rsidRPr="00F91BDD">
        <w:rPr>
          <w:rFonts w:cs="Calibri Light"/>
        </w:rPr>
        <w:lastRenderedPageBreak/>
        <w:t xml:space="preserve">200,00 euros </w:t>
      </w:r>
      <w:r>
        <w:rPr>
          <w:rFonts w:cs="Calibri Light"/>
        </w:rPr>
        <w:t xml:space="preserve"> </w:t>
      </w:r>
      <w:r w:rsidRPr="00F91BDD">
        <w:rPr>
          <w:rFonts w:cs="Calibri Light"/>
        </w:rPr>
        <w:t>- par lot pour les permis d’urbanisation.</w:t>
      </w:r>
    </w:p>
    <w:p w14:paraId="79E5915C" w14:textId="77777777" w:rsidR="00795C3E" w:rsidRPr="00F91BDD" w:rsidRDefault="00795C3E" w:rsidP="00795C3E">
      <w:pPr>
        <w:spacing w:before="120"/>
        <w:textAlignment w:val="baseline"/>
        <w:rPr>
          <w:rFonts w:cs="Calibri Light"/>
        </w:rPr>
      </w:pPr>
      <w:r w:rsidRPr="00F91BDD">
        <w:rPr>
          <w:rFonts w:cs="Calibri Light"/>
        </w:rPr>
        <w:t xml:space="preserve">Actuellement la réponse à la question de savoir s’il convient d’appliquer ce montant par lot ou par logement n’est pas tranchée en vertu des dispositions qui régissent l’urbanisme car les limites de lots ne sont qu’indicatives et un seul lot peut recevoir plusieurs logements. </w:t>
      </w:r>
    </w:p>
    <w:p w14:paraId="77066AA2" w14:textId="77777777" w:rsidR="00795C3E" w:rsidRPr="00F91BDD" w:rsidRDefault="00795C3E" w:rsidP="00795C3E">
      <w:pPr>
        <w:spacing w:before="120"/>
        <w:textAlignment w:val="baseline"/>
        <w:rPr>
          <w:rFonts w:cs="Calibri Light"/>
        </w:rPr>
      </w:pPr>
      <w:r w:rsidRPr="00F91BDD">
        <w:rPr>
          <w:rFonts w:cs="Calibri Light"/>
        </w:rPr>
        <w:t>Néanmoins, je vous recommande, comme les années précédentes, de prévoir que la redevance est :</w:t>
      </w:r>
    </w:p>
    <w:p w14:paraId="4C35BE90" w14:textId="77777777" w:rsidR="00795C3E" w:rsidRPr="00F91BDD" w:rsidRDefault="00795C3E">
      <w:pPr>
        <w:pStyle w:val="Paragraphedeliste"/>
        <w:numPr>
          <w:ilvl w:val="0"/>
          <w:numId w:val="21"/>
        </w:numPr>
        <w:tabs>
          <w:tab w:val="left" w:pos="-148"/>
        </w:tabs>
        <w:spacing w:before="120" w:after="120" w:line="240" w:lineRule="auto"/>
        <w:contextualSpacing w:val="0"/>
        <w:textAlignment w:val="baseline"/>
        <w:rPr>
          <w:rFonts w:cs="Calibri Light"/>
        </w:rPr>
      </w:pPr>
      <w:r w:rsidRPr="00F91BDD">
        <w:rPr>
          <w:rFonts w:cs="Calibri Light"/>
        </w:rPr>
        <w:t xml:space="preserve">due pour chacun des lots/logements créés par la division de la parcelle ; </w:t>
      </w:r>
    </w:p>
    <w:p w14:paraId="44DC81F0" w14:textId="77777777" w:rsidR="00795C3E" w:rsidRPr="00F91BDD" w:rsidRDefault="00795C3E">
      <w:pPr>
        <w:pStyle w:val="Paragraphedeliste"/>
        <w:numPr>
          <w:ilvl w:val="0"/>
          <w:numId w:val="21"/>
        </w:numPr>
        <w:tabs>
          <w:tab w:val="left" w:pos="-148"/>
        </w:tabs>
        <w:spacing w:before="120" w:after="120" w:line="240" w:lineRule="auto"/>
        <w:contextualSpacing w:val="0"/>
        <w:textAlignment w:val="baseline"/>
        <w:rPr>
          <w:rFonts w:cs="Calibri Light"/>
        </w:rPr>
      </w:pPr>
      <w:r w:rsidRPr="00F91BDD">
        <w:rPr>
          <w:rFonts w:cs="Calibri Light"/>
        </w:rPr>
        <w:t>due uniquement sur la délivrance et ne peut pas concerner la demande ;</w:t>
      </w:r>
    </w:p>
    <w:p w14:paraId="5A71B60B" w14:textId="77777777" w:rsidR="00795C3E" w:rsidRPr="00F91BDD" w:rsidRDefault="00795C3E">
      <w:pPr>
        <w:pStyle w:val="Paragraphedeliste"/>
        <w:numPr>
          <w:ilvl w:val="0"/>
          <w:numId w:val="21"/>
        </w:numPr>
        <w:tabs>
          <w:tab w:val="left" w:pos="-148"/>
        </w:tabs>
        <w:spacing w:before="120" w:after="120" w:line="240" w:lineRule="auto"/>
        <w:contextualSpacing w:val="0"/>
        <w:textAlignment w:val="baseline"/>
        <w:rPr>
          <w:rFonts w:cs="Calibri Light"/>
        </w:rPr>
      </w:pPr>
      <w:r w:rsidRPr="00F91BDD">
        <w:rPr>
          <w:rFonts w:cs="Calibri Light"/>
        </w:rPr>
        <w:t>également due pour la modification d'un permis d’urbanisation.</w:t>
      </w:r>
    </w:p>
    <w:p w14:paraId="5761A660" w14:textId="77777777" w:rsidR="00795C3E" w:rsidRPr="00F91BDD" w:rsidRDefault="00795C3E" w:rsidP="00795C3E">
      <w:pPr>
        <w:spacing w:before="120"/>
        <w:textAlignment w:val="baseline"/>
        <w:rPr>
          <w:rFonts w:cs="Calibri Light"/>
        </w:rPr>
      </w:pPr>
      <w:r w:rsidRPr="00F91BDD">
        <w:rPr>
          <w:rFonts w:cs="Calibri Light"/>
        </w:rPr>
        <w:t>Pour pallier les frais occasionnés par le traitement du dossier, le Conseil communal peut toujours prévoir une redevance pour récupérer le coût des travaux administratifs effectués (coûts réels).</w:t>
      </w:r>
    </w:p>
    <w:p w14:paraId="58389DAB" w14:textId="77777777" w:rsidR="00795C3E" w:rsidRPr="00F91BDD" w:rsidRDefault="00795C3E" w:rsidP="00795C3E">
      <w:pPr>
        <w:tabs>
          <w:tab w:val="right" w:pos="8352"/>
        </w:tabs>
        <w:spacing w:before="120"/>
        <w:textAlignment w:val="baseline"/>
        <w:rPr>
          <w:rFonts w:cs="Calibri Light"/>
        </w:rPr>
      </w:pPr>
      <w:r w:rsidRPr="00F91BDD">
        <w:rPr>
          <w:rFonts w:cs="Calibri Light"/>
        </w:rPr>
        <w:t>Ainsi, dans l’hypothèse où le règlement-redevance prévoit des forfaits, on peut toujours y prévoir une disposition qui précise que si le traitement du dossier entraîne une dépense supérieure au taux forfaitaire prévu pour la catégorie concernée, le coût sera facturé sur base d'un décompte des frais réels. À défaut de prévoir une disposition en ce sens, la commune serait dans l'impossibilité de se rémunérer correctement et de récupérer la différence entre le coût réel et le forfait établi.</w:t>
      </w:r>
    </w:p>
    <w:p w14:paraId="29C49972" w14:textId="5C29E9D6" w:rsidR="2046320D" w:rsidRPr="00DE7F68" w:rsidRDefault="2046320D" w:rsidP="1C6C0DED">
      <w:pPr>
        <w:tabs>
          <w:tab w:val="right" w:pos="8352"/>
        </w:tabs>
        <w:spacing w:before="120"/>
        <w:rPr>
          <w:rFonts w:cs="Calibri Light"/>
          <w:color w:val="000000" w:themeColor="text1"/>
        </w:rPr>
      </w:pPr>
      <w:r w:rsidRPr="00DE7F68">
        <w:rPr>
          <w:rFonts w:cs="Calibri Light"/>
          <w:color w:val="000000" w:themeColor="text1"/>
        </w:rPr>
        <w:t xml:space="preserve">Dans l’hypothèse où le règlement-redevance prévoirait des forfaits excédant le montant des forfaits maximas recommandés ci-dessus, les communes sont tenues de motiver ce dépassement au moyen d’éléments objectifs soit dans le préambule de la délibération soit dans le dossier administratif.  </w:t>
      </w:r>
    </w:p>
    <w:p w14:paraId="1F8C974B" w14:textId="77777777" w:rsidR="00DE7F68" w:rsidRPr="00DE7F68" w:rsidRDefault="00795C3E" w:rsidP="00DE7F68">
      <w:pPr>
        <w:pStyle w:val="Sansinterligne"/>
        <w:jc w:val="both"/>
        <w:rPr>
          <w:rFonts w:cs="Calibri Light"/>
          <w:color w:val="000000" w:themeColor="text1"/>
          <w:lang w:val="fr-BE"/>
        </w:rPr>
      </w:pPr>
      <w:r w:rsidRPr="00DE7F68">
        <w:rPr>
          <w:rFonts w:cs="Calibri Light"/>
          <w:color w:val="000000" w:themeColor="text1"/>
          <w:lang w:val="fr-BE"/>
        </w:rPr>
        <w:t>La réforme du CoDT étant entré en vigueur le 1er avril 2024, il est conseillé de vérifier si les règlements ne doivent pas être adaptés afin de pouvoir viser des situations nées sous cette nouvelle législation.</w:t>
      </w:r>
      <w:bookmarkStart w:id="917" w:name="_Toc143779142"/>
      <w:bookmarkStart w:id="918" w:name="_Toc208420043"/>
      <w:bookmarkStart w:id="919" w:name="_Toc512525472"/>
      <w:bookmarkStart w:id="920" w:name="_Toc515896785"/>
      <w:bookmarkEnd w:id="915"/>
      <w:r w:rsidR="00782AA8" w:rsidRPr="00DE7F68">
        <w:rPr>
          <w:rFonts w:cs="Calibri Light"/>
          <w:color w:val="000000" w:themeColor="text1"/>
          <w:lang w:val="fr-BE"/>
        </w:rPr>
        <w:t xml:space="preserve"> </w:t>
      </w:r>
      <w:bookmarkStart w:id="921" w:name="_Toc225504299"/>
      <w:bookmarkStart w:id="922" w:name="_Toc225772388"/>
    </w:p>
    <w:p w14:paraId="65C237E5" w14:textId="7A72C215" w:rsidR="00795C3E" w:rsidRPr="00354C0C" w:rsidRDefault="00795C3E" w:rsidP="35BD9115">
      <w:pPr>
        <w:pStyle w:val="Titre3"/>
        <w:rPr>
          <w:caps/>
        </w:rPr>
      </w:pPr>
      <w:bookmarkStart w:id="923" w:name="_Toc233626257"/>
      <w:r w:rsidRPr="00354C0C">
        <w:t>040/361-04 : Délivrance de documents administratifs</w:t>
      </w:r>
      <w:bookmarkEnd w:id="917"/>
      <w:bookmarkEnd w:id="918"/>
      <w:bookmarkEnd w:id="921"/>
      <w:bookmarkEnd w:id="922"/>
      <w:bookmarkEnd w:id="923"/>
      <w:r w:rsidRPr="00354C0C">
        <w:t xml:space="preserve"> </w:t>
      </w:r>
    </w:p>
    <w:p w14:paraId="66E72C79" w14:textId="77777777" w:rsidR="00795C3E" w:rsidRPr="00F91BDD" w:rsidRDefault="00795C3E" w:rsidP="00795C3E">
      <w:pPr>
        <w:spacing w:before="120"/>
      </w:pPr>
      <w:r w:rsidRPr="00F91BDD">
        <w:t>Taxe indirecte ou redevance - Modèle disponible</w:t>
      </w:r>
      <w:bookmarkEnd w:id="919"/>
      <w:bookmarkEnd w:id="920"/>
      <w:r w:rsidRPr="00F91BDD">
        <w:t>.</w:t>
      </w:r>
    </w:p>
    <w:p w14:paraId="4DA20775" w14:textId="77777777" w:rsidR="00795C3E" w:rsidRPr="00F91BDD" w:rsidRDefault="00795C3E" w:rsidP="00795C3E">
      <w:pPr>
        <w:spacing w:before="120"/>
        <w:textAlignment w:val="baseline"/>
        <w:rPr>
          <w:rFonts w:cs="Calibri Light"/>
        </w:rPr>
      </w:pPr>
      <w:r w:rsidRPr="00F91BDD">
        <w:rPr>
          <w:rFonts w:cs="Calibri Light"/>
        </w:rPr>
        <w:t>Concernant cette matière, la commune choisit librement le système de la taxe ou de la redevance.</w:t>
      </w:r>
    </w:p>
    <w:p w14:paraId="5C04E3C0" w14:textId="096E998A" w:rsidR="00795C3E" w:rsidRPr="00F91BDD" w:rsidRDefault="00795C3E" w:rsidP="00795C3E">
      <w:pPr>
        <w:spacing w:before="120"/>
        <w:textAlignment w:val="baseline"/>
        <w:rPr>
          <w:rFonts w:cs="Calibri Light"/>
        </w:rPr>
      </w:pPr>
      <w:r w:rsidRPr="00F91BDD">
        <w:rPr>
          <w:rFonts w:cs="Calibri Light"/>
        </w:rPr>
        <w:t xml:space="preserve">Pour la délivrance de pièces administratives, le taux maximum recommandé est fixé à 20,00 euros. </w:t>
      </w:r>
    </w:p>
    <w:p w14:paraId="42A22B32" w14:textId="30B77787" w:rsidR="00795C3E" w:rsidRPr="00F91BDD" w:rsidRDefault="00795C3E" w:rsidP="00795C3E">
      <w:pPr>
        <w:spacing w:before="120"/>
        <w:textAlignment w:val="baseline"/>
        <w:rPr>
          <w:rFonts w:cs="Calibri Light"/>
        </w:rPr>
      </w:pPr>
      <w:r w:rsidRPr="00C514DD">
        <w:rPr>
          <w:rFonts w:cs="Calibri Light"/>
        </w:rPr>
        <w:t xml:space="preserve">Toutefois, pour les documents sans caractère répétitif (cartes d'identité, passeports, permis de conduire, </w:t>
      </w:r>
      <w:r w:rsidR="009F1B69" w:rsidRPr="00C514DD">
        <w:rPr>
          <w:rFonts w:cs="Calibri Light"/>
        </w:rPr>
        <w:t>certificat</w:t>
      </w:r>
      <w:r w:rsidR="1D2639E8" w:rsidRPr="00C514DD">
        <w:rPr>
          <w:rFonts w:cs="Calibri Light"/>
        </w:rPr>
        <w:t xml:space="preserve"> de nationalité</w:t>
      </w:r>
      <w:r w:rsidRPr="00C514DD">
        <w:rPr>
          <w:rFonts w:cs="Calibri Light"/>
        </w:rPr>
        <w:t xml:space="preserve">, extrait du fichier central pour la détention d’un animal de compagnie, etc.), le taux peut être majoré jusqu’à 30,00 </w:t>
      </w:r>
      <w:r w:rsidR="00C514DD" w:rsidRPr="00C514DD">
        <w:rPr>
          <w:rFonts w:cs="Calibri Light"/>
        </w:rPr>
        <w:t>euros.</w:t>
      </w:r>
      <w:r w:rsidRPr="217CB12F">
        <w:rPr>
          <w:rFonts w:cs="Calibri Light"/>
        </w:rPr>
        <w:t xml:space="preserve"> </w:t>
      </w:r>
    </w:p>
    <w:p w14:paraId="625FECF6" w14:textId="77777777" w:rsidR="00795C3E" w:rsidRPr="00F91BDD" w:rsidRDefault="00795C3E" w:rsidP="00795C3E">
      <w:pPr>
        <w:spacing w:before="120"/>
        <w:rPr>
          <w:rFonts w:cs="Calibri Light"/>
        </w:rPr>
      </w:pPr>
      <w:r w:rsidRPr="00F91BDD">
        <w:rPr>
          <w:rFonts w:cs="Calibri Light"/>
        </w:rPr>
        <w:lastRenderedPageBreak/>
        <w:t>En matière de règlement-redevance sur l’établissement et/ou la délivrance de certificats et de documents administratifs (délivrance d’une attestation préalable à l’octroi d’une licence de Bingos délivrée par la commission des jeux de hasard), le Conseil d’Etat dans son arrêt du 18 avril 2016</w:t>
      </w:r>
      <w:r w:rsidRPr="00F91BDD">
        <w:rPr>
          <w:rStyle w:val="Appelnotedebasdep"/>
          <w:rFonts w:cs="Calibri Light"/>
        </w:rPr>
        <w:footnoteReference w:id="69"/>
      </w:r>
      <w:r w:rsidRPr="00F91BDD">
        <w:rPr>
          <w:rFonts w:cs="Calibri Light"/>
        </w:rPr>
        <w:t xml:space="preserve"> rappelle </w:t>
      </w:r>
      <w:r w:rsidRPr="6FFC1684">
        <w:rPr>
          <w:rFonts w:cs="Calibri Light"/>
          <w:i/>
          <w:iCs/>
        </w:rPr>
        <w:t>« que même si la commune peut poursuivre un but de dissuasion en choisissant d’instaurer une redevance plus ou moins élevée en contrepartie d’une prestation quelconque, elle est tenue, ce faisant, de rester dans les limites d’une juste proportionnalité entre le coût de la prestation et le montant réclamé, ce qui est inhérent à la notion même de redevance</w:t>
      </w:r>
      <w:r w:rsidRPr="00F91BDD">
        <w:rPr>
          <w:rFonts w:cs="Calibri Light"/>
        </w:rPr>
        <w:t> ».</w:t>
      </w:r>
    </w:p>
    <w:p w14:paraId="1512845E" w14:textId="77777777" w:rsidR="00795C3E" w:rsidRPr="00F91BDD" w:rsidRDefault="00795C3E" w:rsidP="00795C3E">
      <w:pPr>
        <w:spacing w:before="120"/>
      </w:pPr>
      <w:r w:rsidRPr="00F91BDD">
        <w:t xml:space="preserve">A cet égard, le Conseil d’Etat précise d’une part, que rien « </w:t>
      </w:r>
      <w:r w:rsidRPr="00F91BDD">
        <w:rPr>
          <w:i/>
          <w:iCs/>
        </w:rPr>
        <w:t>ne permet de vérifier qu'il existe une proportion raisonnable entre le montant de la redevance établie et l'importance des prestations que la commune effectue pour pouvoir délivrer l'attestation en cause; que le montant de 2.500 euros est nettement plus élevé que celui qui est réclamé lors de la délivrance des autres documents visés par l'acte attaqué</w:t>
      </w:r>
      <w:r w:rsidRPr="00F91BDD">
        <w:t> » et d’autre part, « </w:t>
      </w:r>
      <w:r w:rsidRPr="00F91BDD">
        <w:rPr>
          <w:i/>
          <w:iCs/>
        </w:rPr>
        <w:t>que la commune a fait elle-même apparaître, dans un communiqué de presse qu'elle instaurait cette redevance dans un but dissuasif, ce qui accrédite l'idée qu'elle a voulu pénaliser les établissements qui solliciteraient l'attestation en cause en l'assortissant d'un coût prohibitif</w:t>
      </w:r>
      <w:r w:rsidRPr="00F91BDD">
        <w:t> ».</w:t>
      </w:r>
    </w:p>
    <w:p w14:paraId="026CCC50" w14:textId="77777777" w:rsidR="00795C3E" w:rsidRPr="00F91BDD" w:rsidRDefault="00795C3E" w:rsidP="00795C3E">
      <w:pPr>
        <w:spacing w:before="120"/>
      </w:pPr>
      <w:r w:rsidRPr="00F91BDD">
        <w:t>Je souhaite que les Conseils communaux exonèrent de la redevance ou de la taxe de délivrance de documents administratifs, les documents administratifs qui sont délivrés pour :</w:t>
      </w:r>
    </w:p>
    <w:p w14:paraId="3E553BAB" w14:textId="77777777" w:rsidR="00C514DD" w:rsidRDefault="00795C3E" w:rsidP="00C514DD">
      <w:pPr>
        <w:numPr>
          <w:ilvl w:val="0"/>
          <w:numId w:val="16"/>
        </w:numPr>
        <w:tabs>
          <w:tab w:val="clear" w:pos="360"/>
          <w:tab w:val="left" w:pos="993"/>
        </w:tabs>
        <w:spacing w:before="120" w:after="120" w:line="240" w:lineRule="auto"/>
        <w:ind w:left="567"/>
        <w:textAlignment w:val="baseline"/>
        <w:rPr>
          <w:rFonts w:cs="Calibri Light"/>
          <w:spacing w:val="-2"/>
        </w:rPr>
      </w:pPr>
      <w:r w:rsidRPr="00C514DD">
        <w:rPr>
          <w:rFonts w:cs="Calibri Light"/>
          <w:spacing w:val="-2"/>
        </w:rPr>
        <w:t xml:space="preserve"> </w:t>
      </w:r>
      <w:r w:rsidR="108C4F2F" w:rsidRPr="00C514DD">
        <w:rPr>
          <w:rFonts w:cs="Calibri Light"/>
          <w:spacing w:val="-2"/>
        </w:rPr>
        <w:t>En matière d’</w:t>
      </w:r>
      <w:r w:rsidRPr="00C514DD">
        <w:rPr>
          <w:rFonts w:cs="Calibri Light"/>
          <w:spacing w:val="-2"/>
        </w:rPr>
        <w:t>emploi ;</w:t>
      </w:r>
    </w:p>
    <w:p w14:paraId="0D7DA213" w14:textId="3047675E" w:rsidR="00795C3E" w:rsidRPr="00C514DD" w:rsidRDefault="00795C3E" w:rsidP="00C514DD">
      <w:pPr>
        <w:numPr>
          <w:ilvl w:val="0"/>
          <w:numId w:val="16"/>
        </w:numPr>
        <w:tabs>
          <w:tab w:val="clear" w:pos="360"/>
          <w:tab w:val="left" w:pos="993"/>
        </w:tabs>
        <w:spacing w:before="120" w:after="120" w:line="240" w:lineRule="auto"/>
        <w:ind w:left="567"/>
        <w:textAlignment w:val="baseline"/>
        <w:rPr>
          <w:rFonts w:cs="Calibri Light"/>
          <w:spacing w:val="-2"/>
        </w:rPr>
      </w:pPr>
      <w:r w:rsidRPr="00C514DD">
        <w:rPr>
          <w:rFonts w:cs="Calibri Light"/>
        </w:rPr>
        <w:t>La création d'une entreprise (installation comme travailleur indépendant à titre individuel ou sous forme de société) ;</w:t>
      </w:r>
    </w:p>
    <w:p w14:paraId="27BF6E79" w14:textId="77777777" w:rsidR="00795C3E" w:rsidRPr="00F91BDD" w:rsidRDefault="00795C3E">
      <w:pPr>
        <w:numPr>
          <w:ilvl w:val="0"/>
          <w:numId w:val="16"/>
        </w:numPr>
        <w:tabs>
          <w:tab w:val="clear" w:pos="360"/>
          <w:tab w:val="left" w:pos="993"/>
        </w:tabs>
        <w:spacing w:before="120" w:after="120" w:line="240" w:lineRule="auto"/>
        <w:ind w:left="567"/>
        <w:textAlignment w:val="baseline"/>
        <w:rPr>
          <w:rFonts w:cs="Calibri Light"/>
        </w:rPr>
      </w:pPr>
      <w:r w:rsidRPr="00F91BDD">
        <w:rPr>
          <w:rFonts w:cs="Calibri Light"/>
        </w:rPr>
        <w:t>La présentation d'un examen relatif à la recherche d'un emploi ;</w:t>
      </w:r>
    </w:p>
    <w:p w14:paraId="75FDDAF1" w14:textId="77777777" w:rsidR="00795C3E" w:rsidRPr="00F91BDD" w:rsidRDefault="00795C3E">
      <w:pPr>
        <w:numPr>
          <w:ilvl w:val="0"/>
          <w:numId w:val="16"/>
        </w:numPr>
        <w:tabs>
          <w:tab w:val="clear" w:pos="360"/>
          <w:tab w:val="left" w:pos="993"/>
        </w:tabs>
        <w:spacing w:before="120" w:after="120" w:line="240" w:lineRule="auto"/>
        <w:ind w:left="567"/>
        <w:textAlignment w:val="baseline"/>
        <w:rPr>
          <w:rFonts w:cs="Calibri Light"/>
          <w:spacing w:val="-2"/>
        </w:rPr>
      </w:pPr>
      <w:r w:rsidRPr="00F91BDD">
        <w:rPr>
          <w:rFonts w:cs="Calibri Light"/>
          <w:spacing w:val="-2"/>
        </w:rPr>
        <w:t>La candidature à un logement dans une société agréée par la S.W.L. ;</w:t>
      </w:r>
    </w:p>
    <w:p w14:paraId="15A45F93" w14:textId="77777777" w:rsidR="00C514DD" w:rsidRDefault="00795C3E" w:rsidP="00C514DD">
      <w:pPr>
        <w:numPr>
          <w:ilvl w:val="0"/>
          <w:numId w:val="16"/>
        </w:numPr>
        <w:tabs>
          <w:tab w:val="clear" w:pos="360"/>
          <w:tab w:val="left" w:pos="993"/>
        </w:tabs>
        <w:spacing w:before="120" w:after="120" w:line="240" w:lineRule="auto"/>
        <w:ind w:left="567"/>
        <w:textAlignment w:val="baseline"/>
        <w:rPr>
          <w:rFonts w:cs="Calibri Light"/>
          <w:spacing w:val="-2"/>
        </w:rPr>
      </w:pPr>
      <w:r w:rsidRPr="00F91BDD">
        <w:rPr>
          <w:rFonts w:cs="Calibri Light"/>
          <w:spacing w:val="-2"/>
        </w:rPr>
        <w:t>L’allocation déménagement et loyer (A.D.E.) </w:t>
      </w:r>
    </w:p>
    <w:p w14:paraId="770AD977" w14:textId="488E4971" w:rsidR="00795C3E" w:rsidRPr="00C514DD" w:rsidRDefault="00795C3E" w:rsidP="00C514DD">
      <w:pPr>
        <w:numPr>
          <w:ilvl w:val="0"/>
          <w:numId w:val="16"/>
        </w:numPr>
        <w:tabs>
          <w:tab w:val="clear" w:pos="360"/>
          <w:tab w:val="left" w:pos="993"/>
        </w:tabs>
        <w:spacing w:before="120" w:after="120" w:line="240" w:lineRule="auto"/>
        <w:ind w:left="567"/>
        <w:textAlignment w:val="baseline"/>
        <w:rPr>
          <w:rFonts w:cs="Calibri Light"/>
          <w:spacing w:val="-2"/>
        </w:rPr>
      </w:pPr>
      <w:r w:rsidRPr="00C514DD">
        <w:rPr>
          <w:rFonts w:cs="Calibri Light"/>
        </w:rPr>
        <w:t xml:space="preserve">L’accueil des enfants réfugiés pour raisons humanitaires : l'accueil de ces enfants étant justifié par motifs humanitaires, je recommande aux communes de ne pas percevoir d'imposition communale (taxe ou redevance) tant lors de la délivrance de la déclaration d'arrivée de ces enfants que pour toute démarche administrative entreprise pour leur accueil. </w:t>
      </w:r>
    </w:p>
    <w:p w14:paraId="7645A69C" w14:textId="77777777" w:rsidR="00795C3E" w:rsidRPr="00B2116C" w:rsidRDefault="00795C3E">
      <w:pPr>
        <w:pStyle w:val="Titre4"/>
        <w:numPr>
          <w:ilvl w:val="0"/>
          <w:numId w:val="88"/>
        </w:numPr>
      </w:pPr>
      <w:bookmarkStart w:id="924" w:name="_Toc40185477"/>
      <w:bookmarkStart w:id="925" w:name="_Toc40186212"/>
      <w:bookmarkStart w:id="926" w:name="_Toc143779143"/>
      <w:bookmarkStart w:id="927" w:name="_Toc208420044"/>
      <w:bookmarkEnd w:id="924"/>
      <w:bookmarkEnd w:id="925"/>
      <w:r w:rsidRPr="00B2116C">
        <w:t>Cartes électronique (eID) et documents électroniques pour étrangers :</w:t>
      </w:r>
      <w:bookmarkEnd w:id="926"/>
      <w:bookmarkEnd w:id="927"/>
    </w:p>
    <w:p w14:paraId="69159C97" w14:textId="63AD712F" w:rsidR="00795C3E" w:rsidRPr="00F91BDD" w:rsidRDefault="00795C3E" w:rsidP="00795C3E">
      <w:pPr>
        <w:spacing w:before="120"/>
        <w:textAlignment w:val="baseline"/>
        <w:rPr>
          <w:rFonts w:cs="Calibri Light"/>
        </w:rPr>
      </w:pPr>
      <w:r w:rsidRPr="36B18FD4">
        <w:rPr>
          <w:rFonts w:cs="Calibri Light"/>
        </w:rPr>
        <w:t>Le coût de la délivrance de la carte d'identité peut grever les revenus des personnes à revenus modestes ou les familles nombreuses. Il est donc recommandé aux communes de fixer raisonnablemen</w:t>
      </w:r>
      <w:r w:rsidRPr="00DD24A0">
        <w:rPr>
          <w:rFonts w:cs="Calibri Light"/>
        </w:rPr>
        <w:t xml:space="preserve">t </w:t>
      </w:r>
      <w:r w:rsidRPr="36B18FD4">
        <w:rPr>
          <w:rFonts w:cs="Calibri Light"/>
        </w:rPr>
        <w:t>le taux de celle-ci.</w:t>
      </w:r>
    </w:p>
    <w:p w14:paraId="7D2538AD" w14:textId="117031BF" w:rsidR="00795C3E" w:rsidRPr="00777637" w:rsidRDefault="00795C3E" w:rsidP="00795C3E">
      <w:pPr>
        <w:spacing w:before="120"/>
        <w:textAlignment w:val="baseline"/>
        <w:rPr>
          <w:rFonts w:cs="Calibri Light"/>
        </w:rPr>
      </w:pPr>
      <w:r w:rsidRPr="36B18FD4">
        <w:rPr>
          <w:rFonts w:cs="Calibri Light"/>
        </w:rPr>
        <w:t xml:space="preserve">L’arrêté ministériel du 28 octobre 2019 modifiant l'arrêté ministériel du 15 mars 2013 fixant le tarif des rétributions à charge des communes pour la délivrance des cartes d'identité électroniques pour les Belges, des documents d'identité électroniques pour enfants belges de </w:t>
      </w:r>
      <w:r w:rsidRPr="36B18FD4">
        <w:rPr>
          <w:rFonts w:cs="Calibri Light"/>
        </w:rPr>
        <w:lastRenderedPageBreak/>
        <w:t xml:space="preserve">moins de douze ans, des cartes électroniques et documents de séjour électroniques délivrés à des ressortissants étrangers et des cartes biométriques et titres de séjours biométriques délivrés à des ressortissants étrangers de pays tiers prévoit que les montants mentionnés dans le </w:t>
      </w:r>
      <w:r w:rsidRPr="00777637">
        <w:rPr>
          <w:rFonts w:cs="Calibri Light"/>
        </w:rPr>
        <w:t xml:space="preserve">tableau </w:t>
      </w:r>
      <w:r w:rsidR="40ED00B5" w:rsidRPr="00777637">
        <w:rPr>
          <w:rFonts w:cs="Calibri Light"/>
        </w:rPr>
        <w:t xml:space="preserve">y annexé </w:t>
      </w:r>
      <w:r w:rsidRPr="00777637">
        <w:rPr>
          <w:rFonts w:cs="Calibri Light"/>
        </w:rPr>
        <w:t>sont récupérés, à l'intervention du Ministre de l'Intérieur, par voie de prélèvement d'office sur les comptes des communes et sont mis à charge de la personne ayant demandé la carte d'identité électronique.</w:t>
      </w:r>
    </w:p>
    <w:p w14:paraId="17FC2D4D" w14:textId="03CD753B" w:rsidR="00795C3E" w:rsidRPr="00F91BDD" w:rsidRDefault="00795C3E" w:rsidP="00795C3E">
      <w:pPr>
        <w:spacing w:before="120"/>
        <w:textAlignment w:val="baseline"/>
        <w:rPr>
          <w:rFonts w:cs="Calibri Light"/>
        </w:rPr>
      </w:pPr>
      <w:r w:rsidRPr="00777637">
        <w:rPr>
          <w:rFonts w:cs="Calibri Light"/>
        </w:rPr>
        <w:t xml:space="preserve">Bien que ces frais </w:t>
      </w:r>
      <w:r w:rsidR="0CE17E4E" w:rsidRPr="00777637">
        <w:rPr>
          <w:rFonts w:cs="Calibri Light"/>
        </w:rPr>
        <w:t>de confection</w:t>
      </w:r>
      <w:r w:rsidR="0CE17E4E" w:rsidRPr="36B18FD4">
        <w:rPr>
          <w:rFonts w:cs="Calibri Light"/>
        </w:rPr>
        <w:t xml:space="preserve"> </w:t>
      </w:r>
      <w:r w:rsidRPr="36B18FD4">
        <w:rPr>
          <w:rFonts w:cs="Calibri Light"/>
        </w:rPr>
        <w:t>ne constituent ni une redevance ni une taxe communale et ne doivent pas être repris dans le règlement relatif à la délivrance de documents administratifs, il est recommandé aux communes de spécifier à la suite du montant de la taxe, que ce montant ne comprend pas le coût de fabrication dû au SPF Intérieur, coût qui peut aussi être chiffré si la commune le souhaite (mais alors avec la nécessité d’adapter le montant si le coût change durant la période de validité du règlement).</w:t>
      </w:r>
    </w:p>
    <w:p w14:paraId="40629E8A" w14:textId="77777777" w:rsidR="00795C3E" w:rsidRPr="00F91BDD" w:rsidRDefault="00795C3E" w:rsidP="00795C3E">
      <w:pPr>
        <w:spacing w:before="120"/>
        <w:textAlignment w:val="baseline"/>
        <w:rPr>
          <w:rFonts w:cs="Calibri Light"/>
        </w:rPr>
      </w:pPr>
      <w:r w:rsidRPr="00F91BDD">
        <w:rPr>
          <w:rFonts w:cs="Calibri Light"/>
        </w:rPr>
        <w:t>À partir du 1</w:t>
      </w:r>
      <w:r w:rsidRPr="00F91BDD">
        <w:rPr>
          <w:rFonts w:cs="Calibri Light"/>
          <w:vertAlign w:val="superscript"/>
        </w:rPr>
        <w:t>er</w:t>
      </w:r>
      <w:r w:rsidRPr="00F91BDD">
        <w:rPr>
          <w:rFonts w:cs="Calibri Light"/>
        </w:rPr>
        <w:t xml:space="preserve"> janvier 2020, les montants des rétributions à charge des communes pour l'obtention des cartes et documents sont automatiquement revus sur la base des fluctuations de l'indice santé suivant la formule suivante : nouveau tarif = (tarif de base x nouvel indice) / indice de base.</w:t>
      </w:r>
    </w:p>
    <w:p w14:paraId="2268FD7C" w14:textId="77777777" w:rsidR="00795C3E" w:rsidRPr="00F91BDD" w:rsidRDefault="00795C3E" w:rsidP="00795C3E">
      <w:pPr>
        <w:spacing w:before="120"/>
        <w:textAlignment w:val="baseline"/>
        <w:rPr>
          <w:rFonts w:cs="Calibri Light"/>
        </w:rPr>
      </w:pPr>
      <w:r w:rsidRPr="00F91BDD">
        <w:rPr>
          <w:rFonts w:cs="Calibri Light"/>
        </w:rPr>
        <w:t>L'indice de base est l'indice santé applicable au mois de décembre 2018 et le nouvel indice est l'indice santé applicable au cours du mois de septembre précédant la révision du montant des rétributions.</w:t>
      </w:r>
    </w:p>
    <w:p w14:paraId="30D1405C" w14:textId="77777777" w:rsidR="00795C3E" w:rsidRPr="00F91BDD" w:rsidRDefault="00795C3E" w:rsidP="00795C3E">
      <w:pPr>
        <w:spacing w:before="120"/>
        <w:textAlignment w:val="baseline"/>
        <w:rPr>
          <w:rFonts w:cs="Calibri Light"/>
        </w:rPr>
      </w:pPr>
      <w:r w:rsidRPr="00F91BDD">
        <w:rPr>
          <w:rFonts w:cs="Calibri Light"/>
        </w:rPr>
        <w:t>Les résultats obtenus sont arrondis à la dizaine d'euro cent supérieure.</w:t>
      </w:r>
    </w:p>
    <w:p w14:paraId="669ED9BE" w14:textId="77777777" w:rsidR="00795C3E" w:rsidRPr="00F91BDD" w:rsidRDefault="00795C3E" w:rsidP="00795C3E">
      <w:pPr>
        <w:spacing w:before="120"/>
        <w:textAlignment w:val="baseline"/>
        <w:rPr>
          <w:rFonts w:cs="Calibri Light"/>
        </w:rPr>
      </w:pPr>
      <w:r w:rsidRPr="00F91BDD">
        <w:rPr>
          <w:rFonts w:cs="Calibri Light"/>
        </w:rPr>
        <w:t>Les montants indexés sont communiqués à l'initiative du Ministre Fédéral ayant l'Intérieur dans ses attributions aux communes dans le courant du mois de septembre de chaque année.</w:t>
      </w:r>
    </w:p>
    <w:p w14:paraId="7714436F" w14:textId="77777777" w:rsidR="00795C3E" w:rsidRPr="00F91BDD" w:rsidRDefault="00795C3E" w:rsidP="00795C3E">
      <w:pPr>
        <w:spacing w:before="120"/>
        <w:textAlignment w:val="baseline"/>
        <w:rPr>
          <w:rFonts w:cs="Calibri Light"/>
        </w:rPr>
      </w:pPr>
      <w:r w:rsidRPr="00F91BDD">
        <w:rPr>
          <w:rFonts w:cs="Calibri Light"/>
        </w:rPr>
        <w:t xml:space="preserve">Les rétributions réclamées par les communes pour la délivrance, le renouvellement ou la prorogation des titres de séjour des étrangers doivent être égales à celles qui sont exigées des citoyens belges. </w:t>
      </w:r>
    </w:p>
    <w:p w14:paraId="5F6BEB5D" w14:textId="77777777" w:rsidR="00795C3E" w:rsidRPr="00F91BDD" w:rsidRDefault="00795C3E" w:rsidP="00795C3E">
      <w:pPr>
        <w:spacing w:before="120"/>
        <w:textAlignment w:val="baseline"/>
        <w:rPr>
          <w:rFonts w:cs="Calibri Light"/>
        </w:rPr>
      </w:pPr>
      <w:r w:rsidRPr="00F91BDD">
        <w:rPr>
          <w:rFonts w:cs="Calibri Light"/>
        </w:rPr>
        <w:t>La loi du 14 mars 1968 abrogeant les lois relatives aux taxes de séjour des étrangers, coordonnées le 12 octobre 1953 modifiée par la loi du 18 décembre 2016 prévoit que les communes peuvent déterminer de manière autonome le montant des rétributions qu'elles perçoivent pour le renouvellement, la prorogation ou le remplacement de certains titres de séjour déterminés par le Roi, par un arrêté délibéré en Conseil des ministres, pour autant qu'elles n'excèdent pas le montant maximum fixé par le Roi, par un arrêté délibéré en Conseil des ministres.</w:t>
      </w:r>
    </w:p>
    <w:p w14:paraId="4A313A4F" w14:textId="77777777" w:rsidR="00795C3E" w:rsidRPr="00F91BDD" w:rsidRDefault="00795C3E" w:rsidP="00795C3E">
      <w:pPr>
        <w:spacing w:before="120"/>
        <w:textAlignment w:val="baseline"/>
        <w:rPr>
          <w:rFonts w:cs="Calibri Light"/>
        </w:rPr>
      </w:pPr>
      <w:r w:rsidRPr="00F91BDD">
        <w:rPr>
          <w:rFonts w:cs="Calibri Light"/>
        </w:rPr>
        <w:t xml:space="preserve">L’arrêté royal du 5 mars 2017 déterminant les titres de séjour pour lesquels les communes peuvent percevoir des rétributions pour leur renouvellement, prorogation ou remplacement et déterminant le montant maximum mentionné à l'article 2, § 2, de la loi du 14 mars 1968 abrogeant les lois relatives aux taxes de séjour des étrangers, coordonnées le 12 octobre 1953 détermine les titres de séjour pour lesquels les communes peuvent percevoir des rétributions pour leur renouvellement, prorogation ou remplacement. </w:t>
      </w:r>
    </w:p>
    <w:p w14:paraId="5D96B546" w14:textId="5D88CE47" w:rsidR="00795C3E" w:rsidRPr="00F91BDD" w:rsidRDefault="00795C3E" w:rsidP="00795C3E">
      <w:pPr>
        <w:spacing w:before="120"/>
        <w:textAlignment w:val="baseline"/>
        <w:rPr>
          <w:rFonts w:cs="Calibri Light"/>
        </w:rPr>
      </w:pPr>
      <w:r w:rsidRPr="00F91BDD">
        <w:rPr>
          <w:rFonts w:cs="Calibri Light"/>
        </w:rPr>
        <w:lastRenderedPageBreak/>
        <w:t xml:space="preserve">Le titre de séjour pour lequel les communes peuvent percevoir des rétributions pour leur renouvellement, prorogation ou remplacement est le certificat d'inscription au Registre des Étrangers - séjour temporaire (carte électronique A). Le montant maximum de la rétribution pour le renouvellement, la prorogation ou le remplacement du titre de séjour susvisé est fixé à 50,00 </w:t>
      </w:r>
      <w:r w:rsidR="00777637" w:rsidRPr="00F91BDD">
        <w:rPr>
          <w:rFonts w:cs="Calibri Light"/>
        </w:rPr>
        <w:t>euros.</w:t>
      </w:r>
      <w:r w:rsidRPr="00F91BDD">
        <w:rPr>
          <w:rFonts w:cs="Calibri Light"/>
        </w:rPr>
        <w:t xml:space="preserve"> </w:t>
      </w:r>
    </w:p>
    <w:p w14:paraId="79B530B1" w14:textId="77777777" w:rsidR="00795C3E" w:rsidRPr="00F91BDD" w:rsidRDefault="00795C3E" w:rsidP="00795C3E">
      <w:pPr>
        <w:spacing w:before="120"/>
        <w:textAlignment w:val="baseline"/>
        <w:rPr>
          <w:rFonts w:cs="Calibri Light"/>
        </w:rPr>
      </w:pPr>
      <w:r w:rsidRPr="00F91BDD">
        <w:rPr>
          <w:rFonts w:cs="Calibri Light"/>
        </w:rPr>
        <w:t>Ce montant maximum se justifie par la mesure des charges administratives des communes relatives aux demandes de prorogation du séjour d'un étranger laquelle a été exécutée par le bureau de mesure de l'Agence pour la Simplification administrative (ASA) entre juillet 2015 et septembre 2015. Cette mesure a très précisément mis en exergue les frais administratifs engendrés par cette prorogation ainsi que les différentes étapes que les communes doivent franchir avant de pouvoir délivrer les documents au ressortissant étranger. Cette mesure a révélé que le traitement administratif assuré par les communes était sensiblement plus long pour la prorogation du certificat d'inscription au Registre des Étrangers - séjour temporaire que pour les autres titres de séjour.</w:t>
      </w:r>
    </w:p>
    <w:p w14:paraId="3719F694" w14:textId="77777777" w:rsidR="00795C3E" w:rsidRPr="00B2116C" w:rsidRDefault="00795C3E" w:rsidP="00795C3E">
      <w:pPr>
        <w:spacing w:before="120"/>
        <w:textAlignment w:val="baseline"/>
        <w:rPr>
          <w:rFonts w:cs="Calibri Light"/>
        </w:rPr>
      </w:pPr>
      <w:r w:rsidRPr="00F91BDD">
        <w:rPr>
          <w:rFonts w:cs="Calibri Light"/>
        </w:rPr>
        <w:t>Cette rétribution peut être perçue par les communes au maximum une fois par an.</w:t>
      </w:r>
    </w:p>
    <w:p w14:paraId="7A156467" w14:textId="77777777" w:rsidR="00795C3E" w:rsidRPr="00B2116C" w:rsidRDefault="00795C3E" w:rsidP="00795C3E">
      <w:pPr>
        <w:pStyle w:val="Titre4"/>
      </w:pPr>
      <w:bookmarkStart w:id="928" w:name="_Toc40185479"/>
      <w:bookmarkStart w:id="929" w:name="_Toc40186214"/>
      <w:bookmarkStart w:id="930" w:name="_Toc40185480"/>
      <w:bookmarkStart w:id="931" w:name="_Toc40186215"/>
      <w:bookmarkStart w:id="932" w:name="_Toc143779144"/>
      <w:bookmarkStart w:id="933" w:name="_Toc208420045"/>
      <w:bookmarkEnd w:id="928"/>
      <w:bookmarkEnd w:id="929"/>
      <w:bookmarkEnd w:id="930"/>
      <w:bookmarkEnd w:id="931"/>
      <w:r w:rsidRPr="00B2116C">
        <w:t>Carte d’identité électroniques pour enfants belges de moins de 12 ans et pour enfants étrangers de moins de 12 ans</w:t>
      </w:r>
      <w:bookmarkEnd w:id="932"/>
      <w:bookmarkEnd w:id="933"/>
    </w:p>
    <w:p w14:paraId="21B9BF0D" w14:textId="426B00C9" w:rsidR="00795C3E" w:rsidRPr="00574227" w:rsidRDefault="00795C3E">
      <w:pPr>
        <w:pStyle w:val="Paragraphedeliste"/>
        <w:numPr>
          <w:ilvl w:val="0"/>
          <w:numId w:val="88"/>
        </w:numPr>
        <w:spacing w:before="120"/>
        <w:textAlignment w:val="baseline"/>
        <w:rPr>
          <w:rFonts w:cs="Calibri Light"/>
        </w:rPr>
      </w:pPr>
      <w:r w:rsidRPr="00574227">
        <w:rPr>
          <w:rFonts w:cs="Calibri Light"/>
        </w:rPr>
        <w:t>Kids-ID – Enfants belges de moins de 12 ans</w:t>
      </w:r>
    </w:p>
    <w:p w14:paraId="6DE32478" w14:textId="77777777" w:rsidR="00795C3E" w:rsidRPr="00F91BDD" w:rsidRDefault="00795C3E" w:rsidP="00795C3E">
      <w:pPr>
        <w:spacing w:before="120"/>
        <w:textAlignment w:val="baseline"/>
        <w:rPr>
          <w:rFonts w:cs="Calibri Light"/>
        </w:rPr>
      </w:pPr>
      <w:r w:rsidRPr="00F91BDD">
        <w:rPr>
          <w:rFonts w:cs="Calibri Light"/>
        </w:rPr>
        <w:t>L’arrêté royal du 22 octobre 2013</w:t>
      </w:r>
      <w:r w:rsidRPr="00F91BDD">
        <w:rPr>
          <w:rStyle w:val="Appelnotedebasdep"/>
          <w:rFonts w:cs="Calibri Light"/>
        </w:rPr>
        <w:footnoteReference w:id="70"/>
      </w:r>
      <w:r w:rsidRPr="00F91BDD">
        <w:rPr>
          <w:rFonts w:cs="Calibri Light"/>
        </w:rPr>
        <w:t xml:space="preserve"> modifiant l'arrêté royal du 10 décembre 1996 relatif aux différents documents d'identité pour enfants de moins de douze ans a </w:t>
      </w:r>
      <w:r w:rsidRPr="00F91BDD">
        <w:rPr>
          <w:rFonts w:cs="Calibri Light"/>
          <w:b/>
          <w:bCs/>
        </w:rPr>
        <w:t>abrogé le chapitre relatif à la</w:t>
      </w:r>
      <w:r w:rsidRPr="00F91BDD">
        <w:rPr>
          <w:rFonts w:cs="Calibri Light"/>
        </w:rPr>
        <w:t xml:space="preserve"> </w:t>
      </w:r>
      <w:r w:rsidRPr="00F91BDD">
        <w:rPr>
          <w:rFonts w:cs="Calibri Light"/>
          <w:b/>
          <w:bCs/>
        </w:rPr>
        <w:t>pièce d’identité</w:t>
      </w:r>
      <w:r w:rsidRPr="00F91BDD">
        <w:rPr>
          <w:rFonts w:cs="Calibri Light"/>
        </w:rPr>
        <w:t xml:space="preserve"> (modèle cartonné sans photo devenu inutile).</w:t>
      </w:r>
    </w:p>
    <w:p w14:paraId="3DFB0C20" w14:textId="77777777" w:rsidR="00795C3E" w:rsidRPr="00F91BDD" w:rsidRDefault="00795C3E" w:rsidP="00795C3E">
      <w:pPr>
        <w:spacing w:before="120"/>
        <w:textAlignment w:val="baseline"/>
        <w:rPr>
          <w:rFonts w:cs="Calibri Light"/>
        </w:rPr>
      </w:pPr>
      <w:r w:rsidRPr="00F91BDD">
        <w:rPr>
          <w:rFonts w:cs="Calibri Light"/>
        </w:rPr>
        <w:t xml:space="preserve">Pour les enfants belges de moins de 12 ans, seule la </w:t>
      </w:r>
      <w:r w:rsidRPr="00F91BDD">
        <w:rPr>
          <w:rFonts w:cs="Calibri Light"/>
          <w:b/>
          <w:bCs/>
        </w:rPr>
        <w:t>carte Kids-ID</w:t>
      </w:r>
      <w:r w:rsidRPr="00F91BDD">
        <w:rPr>
          <w:rFonts w:cs="Calibri Light"/>
        </w:rPr>
        <w:t xml:space="preserve"> est délivrée (plus de pièce d’identité). </w:t>
      </w:r>
    </w:p>
    <w:p w14:paraId="630CFD44" w14:textId="25FF2D12" w:rsidR="00795C3E" w:rsidRPr="00F91BDD" w:rsidRDefault="00795C3E" w:rsidP="00795C3E">
      <w:pPr>
        <w:spacing w:before="120"/>
        <w:textAlignment w:val="baseline"/>
        <w:rPr>
          <w:rFonts w:cs="Calibri Light"/>
        </w:rPr>
      </w:pPr>
      <w:r w:rsidRPr="00F91BDD">
        <w:rPr>
          <w:rFonts w:cs="Calibri Light"/>
        </w:rPr>
        <w:t>Il est demandé aux communes de ne pas percevoir de taxe sur la délivrance de documents d'identité électroniques pour les enfants de moins de 12 ans</w:t>
      </w:r>
      <w:r>
        <w:rPr>
          <w:rFonts w:cs="Calibri Light"/>
        </w:rPr>
        <w:t xml:space="preserve"> (1</w:t>
      </w:r>
      <w:r w:rsidRPr="00F0094B">
        <w:rPr>
          <w:rFonts w:cs="Calibri Light"/>
          <w:vertAlign w:val="superscript"/>
        </w:rPr>
        <w:t>ère</w:t>
      </w:r>
      <w:r>
        <w:rPr>
          <w:rFonts w:cs="Calibri Light"/>
        </w:rPr>
        <w:t xml:space="preserve"> délivrance ou renouvellement)</w:t>
      </w:r>
      <w:r w:rsidRPr="00F91BDD">
        <w:rPr>
          <w:rFonts w:cs="Calibri Light"/>
        </w:rPr>
        <w:t>. Cette demande ne concerne pas les frais pour coût de fabrication (qui doivent être ristournés par la commune au Fédéral).</w:t>
      </w:r>
    </w:p>
    <w:p w14:paraId="045D0B26" w14:textId="77777777" w:rsidR="00795C3E" w:rsidRPr="003A4401" w:rsidRDefault="00795C3E" w:rsidP="36B18FD4">
      <w:pPr>
        <w:spacing w:before="120"/>
        <w:textAlignment w:val="baseline"/>
        <w:rPr>
          <w:rFonts w:cs="Calibri Light"/>
          <w:i/>
          <w:iCs/>
          <w:u w:val="single"/>
        </w:rPr>
      </w:pPr>
      <w:r w:rsidRPr="003A4401">
        <w:rPr>
          <w:rFonts w:cs="Calibri Light"/>
          <w:i/>
          <w:iCs/>
          <w:u w:val="single"/>
        </w:rPr>
        <w:t>Documents de séjour électroniques pour les étrangers de moins de 12 ans</w:t>
      </w:r>
    </w:p>
    <w:p w14:paraId="0081646F" w14:textId="77777777" w:rsidR="00795C3E" w:rsidRPr="00F91BDD" w:rsidRDefault="00795C3E" w:rsidP="00795C3E">
      <w:pPr>
        <w:spacing w:before="120"/>
        <w:textAlignment w:val="baseline"/>
        <w:rPr>
          <w:rFonts w:cs="Calibri Light"/>
        </w:rPr>
      </w:pPr>
      <w:r w:rsidRPr="00F91BDD">
        <w:rPr>
          <w:rFonts w:cs="Calibri Light"/>
        </w:rPr>
        <w:t>Les titres et documents de séjour pour les étrangers de moins de 12 ans</w:t>
      </w:r>
      <w:r>
        <w:rPr>
          <w:rFonts w:cs="Calibri Light"/>
        </w:rPr>
        <w:t xml:space="preserve"> ont été </w:t>
      </w:r>
      <w:r w:rsidRPr="00F91BDD">
        <w:rPr>
          <w:rFonts w:cs="Calibri Light"/>
        </w:rPr>
        <w:t>modernisés par l’arrêté royal du 27 octobre 2023 (MB 7.12.2023).</w:t>
      </w:r>
    </w:p>
    <w:p w14:paraId="7EF6AF91" w14:textId="28BB8021" w:rsidR="00795C3E" w:rsidRPr="00F91BDD" w:rsidRDefault="00795C3E" w:rsidP="00795C3E">
      <w:pPr>
        <w:spacing w:before="120"/>
        <w:textAlignment w:val="baseline"/>
        <w:rPr>
          <w:rFonts w:cs="Calibri Light"/>
        </w:rPr>
      </w:pPr>
      <w:r w:rsidRPr="00777637">
        <w:rPr>
          <w:rFonts w:cs="Calibri Light"/>
        </w:rPr>
        <w:t xml:space="preserve">Cet arrêté modifie l’arrêté royal du 8 octobre 1981 sur l’accès au territoire, le séjour, l’établissement et l’éloignement des étrangers et l’arrêté royal du 10 décembre 1996 relatif aux différents documents d’identité pour les enfants de moins de 12 ans en ce qui concerne les documents de séjour et les titres de séjour délivrés aux étrangers de moins de 12 ans. L’entrée en vigueur de cet arrêté a été laissée à la discrétion du Ministre qui a l’accès au </w:t>
      </w:r>
      <w:r w:rsidRPr="00777637">
        <w:rPr>
          <w:rFonts w:cs="Calibri Light"/>
        </w:rPr>
        <w:lastRenderedPageBreak/>
        <w:t xml:space="preserve">territoire, le séjour, l’établissement et l’éloignement des étrangers dans ses attributions. Mais par courrier du 8 décembre </w:t>
      </w:r>
      <w:r w:rsidR="2043E482" w:rsidRPr="00777637">
        <w:rPr>
          <w:rFonts w:cs="Calibri Light"/>
        </w:rPr>
        <w:t xml:space="preserve">2023 </w:t>
      </w:r>
      <w:r w:rsidRPr="00777637">
        <w:rPr>
          <w:rFonts w:cs="Calibri Light"/>
        </w:rPr>
        <w:t>le SPF Interieur informait les communes que la demande de ces nouveaux documents ne sera possible qu’à partir du 15 janvier 2024.</w:t>
      </w:r>
    </w:p>
    <w:p w14:paraId="58BA4530" w14:textId="77777777" w:rsidR="00795C3E" w:rsidRPr="00F91BDD" w:rsidRDefault="00795C3E" w:rsidP="00795C3E">
      <w:pPr>
        <w:spacing w:before="120"/>
        <w:textAlignment w:val="baseline"/>
        <w:rPr>
          <w:rFonts w:cs="Calibri Light"/>
        </w:rPr>
      </w:pPr>
      <w:r w:rsidRPr="00F91BDD">
        <w:rPr>
          <w:rFonts w:cs="Calibri Light"/>
        </w:rPr>
        <w:t xml:space="preserve">Ces modifications peuvent se résumer en substance comme suit : </w:t>
      </w:r>
    </w:p>
    <w:p w14:paraId="7CFD1D06" w14:textId="77777777" w:rsidR="00795C3E" w:rsidRPr="00F91BDD" w:rsidRDefault="00795C3E" w:rsidP="00795C3E">
      <w:pPr>
        <w:spacing w:before="120"/>
        <w:ind w:left="709" w:hanging="426"/>
        <w:textAlignment w:val="baseline"/>
        <w:rPr>
          <w:rFonts w:cs="Calibri Light"/>
        </w:rPr>
      </w:pPr>
      <w:r w:rsidRPr="00F91BDD">
        <w:rPr>
          <w:rFonts w:cs="Calibri Light"/>
        </w:rPr>
        <w:t>-</w:t>
      </w:r>
      <w:r w:rsidRPr="00F91BDD">
        <w:rPr>
          <w:rFonts w:cs="Calibri Light"/>
        </w:rPr>
        <w:tab/>
        <w:t xml:space="preserve">Les modèles qui seront utilisés suivront les modèles déjà utilisés pour les citoyens adultes de l’UE et les ressortissants des pays tiers, toutefois, leur validité est limitée à 3 ans ; </w:t>
      </w:r>
    </w:p>
    <w:p w14:paraId="154F602D" w14:textId="77777777" w:rsidR="00795C3E" w:rsidRPr="00F91BDD" w:rsidRDefault="00795C3E" w:rsidP="00795C3E">
      <w:pPr>
        <w:spacing w:before="120"/>
        <w:ind w:left="709" w:hanging="426"/>
        <w:textAlignment w:val="baseline"/>
        <w:rPr>
          <w:rFonts w:cs="Calibri Light"/>
        </w:rPr>
      </w:pPr>
      <w:r w:rsidRPr="00F91BDD">
        <w:rPr>
          <w:rFonts w:cs="Calibri Light"/>
        </w:rPr>
        <w:t>-</w:t>
      </w:r>
      <w:r w:rsidRPr="00F91BDD">
        <w:rPr>
          <w:rFonts w:cs="Calibri Light"/>
        </w:rPr>
        <w:tab/>
        <w:t xml:space="preserve">Elles augmenteront la sécurité juridique (lutte contre les malfaçons et les contrefaçons) ; </w:t>
      </w:r>
    </w:p>
    <w:p w14:paraId="21294E87" w14:textId="77777777" w:rsidR="00795C3E" w:rsidRPr="00F91BDD" w:rsidRDefault="00795C3E" w:rsidP="00795C3E">
      <w:pPr>
        <w:spacing w:before="120"/>
        <w:ind w:left="709" w:hanging="426"/>
        <w:textAlignment w:val="baseline"/>
        <w:rPr>
          <w:rFonts w:cs="Calibri Light"/>
        </w:rPr>
      </w:pPr>
      <w:r w:rsidRPr="00F91BDD">
        <w:rPr>
          <w:rFonts w:cs="Calibri Light"/>
        </w:rPr>
        <w:t>-</w:t>
      </w:r>
      <w:r w:rsidRPr="00F91BDD">
        <w:rPr>
          <w:rFonts w:cs="Calibri Light"/>
        </w:rPr>
        <w:tab/>
        <w:t xml:space="preserve">Elles éviteront la confusion entre document d’identité et titre et document de séjour. Ceci part du constat que ce n’est pas à la Belgique de déterminer l’identité d’une personne qui n’est pas ressortant et de lui délivrer un document attestant de cette identité ; </w:t>
      </w:r>
    </w:p>
    <w:p w14:paraId="48B66304" w14:textId="77777777" w:rsidR="00795C3E" w:rsidRPr="00F91BDD" w:rsidRDefault="00795C3E" w:rsidP="00795C3E">
      <w:pPr>
        <w:spacing w:before="120"/>
        <w:ind w:left="709" w:hanging="426"/>
        <w:textAlignment w:val="baseline"/>
        <w:rPr>
          <w:rFonts w:cs="Calibri Light"/>
        </w:rPr>
      </w:pPr>
      <w:r w:rsidRPr="00F91BDD">
        <w:rPr>
          <w:rFonts w:cs="Calibri Light"/>
        </w:rPr>
        <w:t>-</w:t>
      </w:r>
      <w:r w:rsidRPr="00F91BDD">
        <w:rPr>
          <w:rFonts w:cs="Calibri Light"/>
        </w:rPr>
        <w:tab/>
        <w:t>A l’instar de la KIDS-ID, la délivrance d’un titre ou d’un document de séjour n’est pas obligatoire. Sa délivrance aura lieu sur demande expresse de la ou les personnes exerçant l’autorité parentale ;</w:t>
      </w:r>
    </w:p>
    <w:p w14:paraId="18015F5B" w14:textId="77777777" w:rsidR="00795C3E" w:rsidRPr="00F91BDD" w:rsidRDefault="00795C3E">
      <w:pPr>
        <w:numPr>
          <w:ilvl w:val="0"/>
          <w:numId w:val="37"/>
        </w:numPr>
        <w:spacing w:before="120" w:after="120" w:line="259" w:lineRule="auto"/>
        <w:ind w:left="714" w:hanging="357"/>
        <w:rPr>
          <w:rFonts w:eastAsiaTheme="minorHAnsi"/>
        </w:rPr>
      </w:pPr>
      <w:r w:rsidRPr="00F91BDD">
        <w:rPr>
          <w:rFonts w:eastAsiaTheme="minorHAnsi"/>
        </w:rPr>
        <w:t xml:space="preserve">C’est l’arrêté royal du 8 octobre 1981 qui détermine les titres et documents de séjour à délivrer aux étrangers de moins de 12 ans. L’arrêté royal du 10 décembre 1996 n’est désormais donc plus applicable aux enfants étrangers de moins de 12 ans ; </w:t>
      </w:r>
    </w:p>
    <w:p w14:paraId="07B3E3CE" w14:textId="77777777" w:rsidR="00795C3E" w:rsidRPr="00F91BDD" w:rsidRDefault="00795C3E">
      <w:pPr>
        <w:numPr>
          <w:ilvl w:val="0"/>
          <w:numId w:val="37"/>
        </w:numPr>
        <w:spacing w:before="120" w:after="120" w:line="259" w:lineRule="auto"/>
        <w:ind w:left="714" w:hanging="357"/>
        <w:rPr>
          <w:rFonts w:eastAsiaTheme="minorHAnsi"/>
        </w:rPr>
      </w:pPr>
      <w:r w:rsidRPr="00F91BDD">
        <w:rPr>
          <w:rFonts w:eastAsiaTheme="minorHAnsi"/>
        </w:rPr>
        <w:t xml:space="preserve">Les documents délivrés sous le format de l’arrêté royal du 10 décembre 1996 précité resteront valables jusqu’à leur échéance ; </w:t>
      </w:r>
    </w:p>
    <w:p w14:paraId="1B36FCBA" w14:textId="77777777" w:rsidR="00795C3E" w:rsidRPr="0097493D" w:rsidRDefault="00795C3E">
      <w:pPr>
        <w:numPr>
          <w:ilvl w:val="0"/>
          <w:numId w:val="37"/>
        </w:numPr>
        <w:spacing w:before="120" w:after="120" w:line="259" w:lineRule="auto"/>
        <w:ind w:left="714" w:hanging="357"/>
        <w:rPr>
          <w:rFonts w:eastAsiaTheme="minorHAnsi"/>
        </w:rPr>
      </w:pPr>
      <w:r w:rsidRPr="00F91BDD">
        <w:rPr>
          <w:rFonts w:eastAsiaTheme="minorHAnsi"/>
        </w:rPr>
        <w:t xml:space="preserve">L’article 10 de l’arrêté royal du 10 décembre 1996 prévoyant que le coût maximum pouvant être exigé par la commune pour la délivrance du certificat d'identité est de 2,00 euros est notamment abrogé. </w:t>
      </w:r>
    </w:p>
    <w:p w14:paraId="278A2977" w14:textId="77777777" w:rsidR="00795C3E" w:rsidRPr="00622413" w:rsidRDefault="00795C3E" w:rsidP="36B18FD4">
      <w:pPr>
        <w:spacing w:before="120" w:line="259" w:lineRule="auto"/>
        <w:rPr>
          <w:b/>
          <w:bCs/>
        </w:rPr>
      </w:pPr>
      <w:r w:rsidRPr="00622413">
        <w:rPr>
          <w:b/>
          <w:bCs/>
        </w:rPr>
        <w:t xml:space="preserve">Les conséquences de ces modifications législatives pour les autorités locales sont : </w:t>
      </w:r>
    </w:p>
    <w:p w14:paraId="7A656F0D" w14:textId="77777777" w:rsidR="00795C3E" w:rsidRPr="0097493D" w:rsidRDefault="00795C3E">
      <w:pPr>
        <w:numPr>
          <w:ilvl w:val="0"/>
          <w:numId w:val="37"/>
        </w:numPr>
        <w:spacing w:before="120" w:after="120" w:line="259" w:lineRule="auto"/>
        <w:contextualSpacing/>
        <w:rPr>
          <w:rFonts w:eastAsiaTheme="minorHAnsi"/>
        </w:rPr>
      </w:pPr>
      <w:r w:rsidRPr="00F91BDD">
        <w:rPr>
          <w:rFonts w:eastAsiaTheme="minorHAnsi"/>
        </w:rPr>
        <w:t>Les termes « certificats d’identité pour les enfants étrangers de moins de 12 ans » ne devront donc plus être utilisés dans le règlement-taxe/redevance applicable en la matière ;</w:t>
      </w:r>
    </w:p>
    <w:p w14:paraId="2062481A" w14:textId="77777777" w:rsidR="00795C3E" w:rsidRPr="00F91BDD" w:rsidRDefault="00795C3E">
      <w:pPr>
        <w:numPr>
          <w:ilvl w:val="0"/>
          <w:numId w:val="37"/>
        </w:numPr>
        <w:spacing w:before="120" w:after="120" w:line="259" w:lineRule="auto"/>
        <w:contextualSpacing/>
        <w:rPr>
          <w:rFonts w:eastAsiaTheme="minorHAnsi"/>
        </w:rPr>
      </w:pPr>
      <w:r w:rsidRPr="00F91BDD">
        <w:rPr>
          <w:rFonts w:eastAsiaTheme="minorHAnsi"/>
        </w:rPr>
        <w:t>Il est demandé aux autorités locales de ne pas percevoir de taxe sur la délivrance de ce type de document pour les enfants étrangers de moins de 12 ans</w:t>
      </w:r>
      <w:r>
        <w:rPr>
          <w:rFonts w:eastAsiaTheme="minorHAnsi"/>
        </w:rPr>
        <w:t xml:space="preserve"> (1</w:t>
      </w:r>
      <w:r w:rsidRPr="00CE1ED2">
        <w:rPr>
          <w:rFonts w:eastAsiaTheme="minorHAnsi"/>
          <w:vertAlign w:val="superscript"/>
        </w:rPr>
        <w:t>ère</w:t>
      </w:r>
      <w:r>
        <w:rPr>
          <w:rFonts w:eastAsiaTheme="minorHAnsi"/>
        </w:rPr>
        <w:t xml:space="preserve"> délivrance ou renouvellement)</w:t>
      </w:r>
      <w:r w:rsidRPr="00F91BDD">
        <w:rPr>
          <w:rFonts w:eastAsiaTheme="minorHAnsi"/>
        </w:rPr>
        <w:t>, tout comme c’est le cas pour les enfants belge de moins de 12 ans. Cette demande ne concerne pas les frais pour coût de fabrication qui, fixés en fonction du type de procédure (normale ou urgente) doivent être ristournés par la commune au Fédéral ;</w:t>
      </w:r>
    </w:p>
    <w:p w14:paraId="7574C304" w14:textId="3C2F3F51" w:rsidR="00795C3E" w:rsidRPr="00B2116C" w:rsidRDefault="00795C3E">
      <w:pPr>
        <w:pStyle w:val="Paragraphedeliste"/>
        <w:numPr>
          <w:ilvl w:val="0"/>
          <w:numId w:val="37"/>
        </w:numPr>
        <w:spacing w:before="120" w:after="120" w:line="259" w:lineRule="auto"/>
      </w:pPr>
      <w:r w:rsidRPr="62298347">
        <w:t xml:space="preserve">Si la commune ne suit pas cette recommandation, il convient dans tous les cas de ne pas dépasser le taux maximum de 30 euros recommandé par la circulaire budgétaire pour la délivrance de documents sans caractère répétitif. </w:t>
      </w:r>
    </w:p>
    <w:p w14:paraId="1B6A6BCA" w14:textId="5BD5F152" w:rsidR="00795C3E" w:rsidRPr="00B2116C" w:rsidRDefault="00795C3E">
      <w:pPr>
        <w:pStyle w:val="Titre4"/>
        <w:numPr>
          <w:ilvl w:val="0"/>
          <w:numId w:val="88"/>
        </w:numPr>
      </w:pPr>
      <w:bookmarkStart w:id="934" w:name="_Toc40185482"/>
      <w:bookmarkStart w:id="935" w:name="_Toc40186217"/>
      <w:bookmarkStart w:id="936" w:name="_Toc143779145"/>
      <w:bookmarkStart w:id="937" w:name="_Toc208420046"/>
      <w:bookmarkEnd w:id="934"/>
      <w:bookmarkEnd w:id="935"/>
      <w:r w:rsidRPr="00B2116C">
        <w:lastRenderedPageBreak/>
        <w:t>Passeports</w:t>
      </w:r>
      <w:bookmarkEnd w:id="936"/>
      <w:bookmarkEnd w:id="937"/>
      <w:r w:rsidRPr="00B2116C">
        <w:t xml:space="preserve">  </w:t>
      </w:r>
    </w:p>
    <w:p w14:paraId="5CB5D742" w14:textId="1561757F" w:rsidR="00795C3E" w:rsidRPr="00F91BDD" w:rsidRDefault="00795C3E" w:rsidP="00795C3E">
      <w:pPr>
        <w:spacing w:before="120"/>
        <w:textAlignment w:val="baseline"/>
        <w:rPr>
          <w:rFonts w:cs="Calibri Light"/>
        </w:rPr>
      </w:pPr>
      <w:r w:rsidRPr="00F91BDD">
        <w:rPr>
          <w:rFonts w:cs="Calibri Light"/>
        </w:rPr>
        <w:t xml:space="preserve">Lorsqu'une commune prélève une taxe sur la délivrance de passeports, il est recommandé de prévoir une taxation plus lourde pour les passeports délivrés selon la procédure d'urgence, sans pour autant dépasser le maximum recommandé fixé à 50,00 </w:t>
      </w:r>
      <w:r w:rsidR="00777637" w:rsidRPr="00F91BDD">
        <w:rPr>
          <w:rFonts w:cs="Calibri Light"/>
        </w:rPr>
        <w:t>euros.</w:t>
      </w:r>
      <w:r w:rsidRPr="00F91BDD">
        <w:rPr>
          <w:rFonts w:cs="Calibri Light"/>
        </w:rPr>
        <w:t xml:space="preserve"> </w:t>
      </w:r>
    </w:p>
    <w:p w14:paraId="470FE5A1" w14:textId="77777777" w:rsidR="00795C3E" w:rsidRPr="00F91BDD" w:rsidRDefault="00795C3E" w:rsidP="00795C3E">
      <w:pPr>
        <w:spacing w:before="120"/>
        <w:textAlignment w:val="baseline"/>
        <w:rPr>
          <w:rFonts w:cs="Calibri Light"/>
        </w:rPr>
      </w:pPr>
      <w:bookmarkStart w:id="938" w:name="_Hlk93314382"/>
      <w:r w:rsidRPr="00F91BDD">
        <w:rPr>
          <w:rFonts w:cs="Calibri Light"/>
        </w:rPr>
        <w:t>L’arrêté Royal du 26/12/2015 modifiant les tarifs annexes à la loi du 21 décembre 2013 portant le code consulaire</w:t>
      </w:r>
      <w:r w:rsidRPr="00F91BDD" w:rsidDel="00585569">
        <w:rPr>
          <w:rFonts w:cs="Calibri Light"/>
        </w:rPr>
        <w:t xml:space="preserve"> </w:t>
      </w:r>
      <w:r w:rsidRPr="00F91BDD">
        <w:rPr>
          <w:rFonts w:cs="Calibri Light"/>
        </w:rPr>
        <w:t xml:space="preserve">ne prévoit pas le paiement de droit de chancellerie pour les mineurs d’âge. Je vous recommande donc de ne percevoir aucune taxe communale pour la délivrance des passeports en ce qui concerne les mineurs. </w:t>
      </w:r>
    </w:p>
    <w:bookmarkEnd w:id="938"/>
    <w:p w14:paraId="47E9257C" w14:textId="77777777" w:rsidR="00795C3E" w:rsidRPr="00F91BDD" w:rsidRDefault="00795C3E" w:rsidP="00795C3E">
      <w:pPr>
        <w:spacing w:before="120"/>
        <w:textAlignment w:val="baseline"/>
        <w:rPr>
          <w:rFonts w:cs="Calibri Light"/>
        </w:rPr>
      </w:pPr>
      <w:r w:rsidRPr="00F91BDD">
        <w:rPr>
          <w:rFonts w:cs="Calibri Light"/>
        </w:rPr>
        <w:t>Bien que les coûts de fabrication dus au SPF Intérieur ne constituent ni une redevance ni une taxe communale et ne doivent pas être repris dans le règlement relatif à la délivrance de documents administratifs, il est recommandé aux conseils communaux de spécifier à la suite du montant de la taxe, que ce montant ne comprend pas le coût de fabrication dû au SPF Intérieur.</w:t>
      </w:r>
    </w:p>
    <w:p w14:paraId="564FD146" w14:textId="77777777" w:rsidR="00795C3E" w:rsidRPr="00572D06" w:rsidRDefault="00795C3E" w:rsidP="00795C3E">
      <w:pPr>
        <w:spacing w:before="120"/>
        <w:textAlignment w:val="baseline"/>
        <w:rPr>
          <w:rFonts w:cs="Calibri Light"/>
        </w:rPr>
      </w:pPr>
      <w:r w:rsidRPr="00F91BDD">
        <w:rPr>
          <w:rFonts w:cs="Calibri Light"/>
        </w:rPr>
        <w:t>Cependant, le coût de la délivrance du passeport peut comprendre à la fois la taxe communale et les coûts de fabrication dû au SPF Intérieur. Dans une telle hypothèse, il faudra être attentif à adapter le coût de la délivrance du passeport si le coût de fabrication dû au SPF Intérieur changeait durant la période de validité du règlement.</w:t>
      </w:r>
    </w:p>
    <w:p w14:paraId="4F1C525B" w14:textId="0DA17D85" w:rsidR="00795C3E" w:rsidRPr="00F91BDD" w:rsidRDefault="00795C3E" w:rsidP="00795C3E">
      <w:pPr>
        <w:spacing w:before="120"/>
        <w:textAlignment w:val="baseline"/>
        <w:rPr>
          <w:rFonts w:cs="Calibri Light"/>
        </w:rPr>
      </w:pPr>
      <w:r w:rsidRPr="00F91BDD">
        <w:rPr>
          <w:rFonts w:cs="Calibri Light"/>
        </w:rPr>
        <w:t>À titre informatif, le prix des passeports</w:t>
      </w:r>
      <w:r w:rsidR="005C4825">
        <w:rPr>
          <w:rStyle w:val="Appelnotedebasdep"/>
          <w:rFonts w:cs="Calibri Light"/>
        </w:rPr>
        <w:footnoteReference w:id="71"/>
      </w:r>
      <w:r w:rsidRPr="00F91BDD">
        <w:rPr>
          <w:rFonts w:cs="Calibri Light"/>
        </w:rPr>
        <w:t xml:space="preserve"> (hors d’une éventuelle taxe communale) délivrés varie en fonction :</w:t>
      </w:r>
    </w:p>
    <w:p w14:paraId="0C90446E" w14:textId="77777777" w:rsidR="00795C3E" w:rsidRPr="00F91BDD" w:rsidRDefault="00795C3E">
      <w:pPr>
        <w:pStyle w:val="Paragraphedeliste"/>
        <w:numPr>
          <w:ilvl w:val="0"/>
          <w:numId w:val="30"/>
        </w:numPr>
        <w:spacing w:before="120" w:after="120" w:line="240" w:lineRule="auto"/>
        <w:contextualSpacing w:val="0"/>
        <w:textAlignment w:val="baseline"/>
        <w:rPr>
          <w:rFonts w:cs="Calibri Light"/>
        </w:rPr>
      </w:pPr>
      <w:r w:rsidRPr="00F91BDD">
        <w:rPr>
          <w:rFonts w:cs="Calibri Light"/>
        </w:rPr>
        <w:t>Du nombre de pages (32 ou 64 pages) ;</w:t>
      </w:r>
    </w:p>
    <w:p w14:paraId="159DDB7F" w14:textId="77777777" w:rsidR="00795C3E" w:rsidRPr="00F91BDD" w:rsidRDefault="00795C3E">
      <w:pPr>
        <w:pStyle w:val="Paragraphedeliste"/>
        <w:numPr>
          <w:ilvl w:val="0"/>
          <w:numId w:val="30"/>
        </w:numPr>
        <w:spacing w:before="120" w:after="120" w:line="240" w:lineRule="auto"/>
        <w:contextualSpacing w:val="0"/>
        <w:textAlignment w:val="baseline"/>
        <w:rPr>
          <w:rFonts w:cs="Calibri Light"/>
        </w:rPr>
      </w:pPr>
      <w:r w:rsidRPr="00F91BDD">
        <w:rPr>
          <w:rFonts w:cs="Calibri Light"/>
        </w:rPr>
        <w:t>De l’âge du demandeur (mineur/majeur) ;</w:t>
      </w:r>
    </w:p>
    <w:p w14:paraId="63FA5F11" w14:textId="77777777" w:rsidR="00795C3E" w:rsidRPr="001C771A" w:rsidRDefault="00795C3E">
      <w:pPr>
        <w:pStyle w:val="Paragraphedeliste"/>
        <w:numPr>
          <w:ilvl w:val="0"/>
          <w:numId w:val="30"/>
        </w:numPr>
        <w:spacing w:before="120" w:after="120" w:line="240" w:lineRule="auto"/>
        <w:contextualSpacing w:val="0"/>
        <w:textAlignment w:val="baseline"/>
        <w:rPr>
          <w:rFonts w:cs="Calibri Light"/>
        </w:rPr>
      </w:pPr>
      <w:r w:rsidRPr="00F91BDD">
        <w:rPr>
          <w:rFonts w:cs="Calibri Light"/>
        </w:rPr>
        <w:t>De la procédure de demande (normale, urgente ou super urgente).</w:t>
      </w:r>
    </w:p>
    <w:p w14:paraId="171DF767" w14:textId="483BD616" w:rsidR="00795C3E" w:rsidRPr="00B2116C" w:rsidRDefault="00795C3E">
      <w:pPr>
        <w:pStyle w:val="Titre4"/>
        <w:numPr>
          <w:ilvl w:val="0"/>
          <w:numId w:val="88"/>
        </w:numPr>
      </w:pPr>
      <w:bookmarkStart w:id="939" w:name="_Toc143779146"/>
      <w:bookmarkStart w:id="940" w:name="_Toc208420047"/>
      <w:r w:rsidRPr="00B2116C">
        <w:t>Titres de voyage pour réfugié, apatride ou étranger</w:t>
      </w:r>
      <w:bookmarkStart w:id="941" w:name="_Toc34813737"/>
      <w:bookmarkEnd w:id="939"/>
      <w:bookmarkEnd w:id="940"/>
      <w:r w:rsidRPr="00B2116C">
        <w:t xml:space="preserve"> </w:t>
      </w:r>
      <w:bookmarkEnd w:id="941"/>
      <w:r w:rsidRPr="00B2116C">
        <w:t xml:space="preserve"> </w:t>
      </w:r>
    </w:p>
    <w:p w14:paraId="73A8F74B" w14:textId="77777777" w:rsidR="00795C3E" w:rsidRPr="00F91BDD" w:rsidRDefault="00795C3E" w:rsidP="00795C3E">
      <w:pPr>
        <w:spacing w:before="120"/>
        <w:textAlignment w:val="baseline"/>
        <w:rPr>
          <w:rFonts w:cs="Calibri Light"/>
        </w:rPr>
      </w:pPr>
      <w:r w:rsidRPr="00F91BDD">
        <w:rPr>
          <w:rFonts w:cs="Calibri Light"/>
        </w:rPr>
        <w:t>Certains étrangers résidant en Belgique peuvent demander un titre de voyage belge qui remplace le passeport national qu’ils ne peuvent obtenir.</w:t>
      </w:r>
    </w:p>
    <w:p w14:paraId="3423E006" w14:textId="33C33FAA" w:rsidR="00795C3E" w:rsidRPr="00F91BDD" w:rsidRDefault="00795C3E" w:rsidP="00795C3E">
      <w:pPr>
        <w:spacing w:before="120"/>
        <w:textAlignment w:val="baseline"/>
        <w:rPr>
          <w:rFonts w:cs="Calibri Light"/>
        </w:rPr>
      </w:pPr>
      <w:r w:rsidRPr="00F91BDD">
        <w:rPr>
          <w:rFonts w:cs="Calibri Light"/>
        </w:rPr>
        <w:t xml:space="preserve">Lorsqu'une commune prélève une taxe sur la délivrance de titres de voyage pour réfugié, apatride ou étranger, il est recommandé de prévoir une taxation plus lourde pour les titres de voyage pour réfugié, apatride ou étranger délivrés selon les procédures d'urgence, sans pour autant dépasser le maximum recommandé fixé à 50,00 </w:t>
      </w:r>
      <w:r w:rsidR="00777637" w:rsidRPr="00F91BDD">
        <w:rPr>
          <w:rFonts w:cs="Calibri Light"/>
        </w:rPr>
        <w:t>euros.</w:t>
      </w:r>
      <w:r w:rsidRPr="00F91BDD">
        <w:rPr>
          <w:rFonts w:cs="Calibri Light"/>
        </w:rPr>
        <w:t xml:space="preserve"> </w:t>
      </w:r>
    </w:p>
    <w:p w14:paraId="5F560FAF" w14:textId="77777777" w:rsidR="00795C3E" w:rsidRPr="00F91BDD" w:rsidRDefault="00795C3E" w:rsidP="00795C3E">
      <w:pPr>
        <w:spacing w:before="120"/>
        <w:textAlignment w:val="baseline"/>
        <w:rPr>
          <w:rFonts w:cs="Calibri Light"/>
        </w:rPr>
      </w:pPr>
      <w:r w:rsidRPr="00F91BDD">
        <w:rPr>
          <w:rFonts w:cs="Calibri Light"/>
        </w:rPr>
        <w:t>Une demande en procédure « super » urgente n’est pas possible pour la délivrance de titres de voyage pour étranger.</w:t>
      </w:r>
    </w:p>
    <w:p w14:paraId="03A48DAF" w14:textId="77777777" w:rsidR="00795C3E" w:rsidRPr="00F91BDD" w:rsidRDefault="00795C3E" w:rsidP="00795C3E">
      <w:pPr>
        <w:spacing w:before="120"/>
        <w:textAlignment w:val="baseline"/>
        <w:rPr>
          <w:rFonts w:cs="Calibri Light"/>
        </w:rPr>
      </w:pPr>
      <w:r w:rsidRPr="00F91BDD">
        <w:rPr>
          <w:rFonts w:cs="Calibri Light"/>
        </w:rPr>
        <w:lastRenderedPageBreak/>
        <w:t>Comme pour la délivrance des passeports, j’invite les communes à ne percevoir aucune taxe communale pour la délivrance d’un titre de voyage pour réfugié, apatride ou étranger à une personne de moins de 18 ans.</w:t>
      </w:r>
    </w:p>
    <w:p w14:paraId="5ADC35A2" w14:textId="77777777" w:rsidR="00795C3E" w:rsidRPr="00F91BDD" w:rsidRDefault="00795C3E" w:rsidP="00795C3E">
      <w:pPr>
        <w:spacing w:before="120"/>
        <w:textAlignment w:val="baseline"/>
        <w:rPr>
          <w:rFonts w:cs="Calibri Light"/>
        </w:rPr>
      </w:pPr>
      <w:r w:rsidRPr="00F91BDD">
        <w:rPr>
          <w:rFonts w:cs="Calibri Light"/>
        </w:rPr>
        <w:t>Bien que les coûts de fabrication dus au SPF Intérieur ne constituent ni une redevance ni une taxe communale et ne doivent pas être repris dans le règlement relatif à la délivrance de documents administratifs, il est recommandé aux Conseils communaux de spécifier à la suite du montant de la taxe, que ce montant ne comprend pas le coût de fabrication dû au SPF Intérieur.</w:t>
      </w:r>
    </w:p>
    <w:p w14:paraId="4D02777F" w14:textId="77777777" w:rsidR="00795C3E" w:rsidRPr="00F91BDD" w:rsidRDefault="00795C3E" w:rsidP="00795C3E">
      <w:pPr>
        <w:spacing w:before="120"/>
        <w:textAlignment w:val="baseline"/>
        <w:rPr>
          <w:rFonts w:cs="Calibri Light"/>
        </w:rPr>
      </w:pPr>
      <w:r w:rsidRPr="00F91BDD">
        <w:rPr>
          <w:rFonts w:cs="Calibri Light"/>
        </w:rPr>
        <w:t>Cependant, le coût de la délivrance du titre de voyage peut comprendre à la fois la taxe communale et les coûts de fabrication dû au SPF Intérieur. Dans une telle hypothèse, il faudra être attentif à adapter le coût de la délivrance du titre de voyage si le coût de fabrication dû au SPF Intérieur changeait durant la période de validité du règlement.</w:t>
      </w:r>
    </w:p>
    <w:p w14:paraId="72AF0F56" w14:textId="77777777" w:rsidR="00795C3E" w:rsidRPr="00F91BDD" w:rsidRDefault="00795C3E" w:rsidP="00795C3E">
      <w:pPr>
        <w:spacing w:before="120"/>
        <w:textAlignment w:val="baseline"/>
        <w:rPr>
          <w:rFonts w:cs="Calibri Light"/>
        </w:rPr>
      </w:pPr>
      <w:r w:rsidRPr="00F91BDD">
        <w:rPr>
          <w:rFonts w:cs="Calibri Light"/>
        </w:rPr>
        <w:t>A titre informatif, le prix des titres de voyage</w:t>
      </w:r>
      <w:r w:rsidRPr="00F91BDD">
        <w:rPr>
          <w:rStyle w:val="Appelnotedebasdep"/>
          <w:rFonts w:cs="Calibri Light"/>
        </w:rPr>
        <w:footnoteReference w:id="72"/>
      </w:r>
      <w:r w:rsidRPr="00F91BDD">
        <w:rPr>
          <w:rFonts w:cs="Calibri Light"/>
        </w:rPr>
        <w:t xml:space="preserve"> (hors d’une éventuelle taxe communale) délivrés varie en fonction :</w:t>
      </w:r>
    </w:p>
    <w:p w14:paraId="40EC4C08" w14:textId="77777777" w:rsidR="00795C3E" w:rsidRPr="00F91BDD" w:rsidRDefault="00795C3E">
      <w:pPr>
        <w:numPr>
          <w:ilvl w:val="0"/>
          <w:numId w:val="23"/>
        </w:numPr>
        <w:tabs>
          <w:tab w:val="left" w:pos="360"/>
          <w:tab w:val="left" w:pos="567"/>
        </w:tabs>
        <w:spacing w:before="120" w:after="120" w:line="240" w:lineRule="auto"/>
        <w:ind w:left="924" w:hanging="357"/>
        <w:textAlignment w:val="baseline"/>
        <w:rPr>
          <w:rFonts w:cs="Calibri Light"/>
        </w:rPr>
      </w:pPr>
      <w:r w:rsidRPr="00F91BDD">
        <w:rPr>
          <w:rFonts w:cs="Calibri Light"/>
        </w:rPr>
        <w:t>De l’âge du demandeur (mineur/majeur) ;</w:t>
      </w:r>
    </w:p>
    <w:p w14:paraId="442D9710" w14:textId="77777777" w:rsidR="00795C3E" w:rsidRPr="001C771A" w:rsidRDefault="00795C3E">
      <w:pPr>
        <w:numPr>
          <w:ilvl w:val="0"/>
          <w:numId w:val="23"/>
        </w:numPr>
        <w:tabs>
          <w:tab w:val="left" w:pos="360"/>
          <w:tab w:val="left" w:pos="567"/>
        </w:tabs>
        <w:spacing w:before="120" w:after="120" w:line="240" w:lineRule="auto"/>
        <w:ind w:left="924" w:hanging="357"/>
        <w:textAlignment w:val="baseline"/>
        <w:rPr>
          <w:rFonts w:cs="Calibri Light"/>
        </w:rPr>
      </w:pPr>
      <w:r w:rsidRPr="00F91BDD">
        <w:rPr>
          <w:rFonts w:cs="Calibri Light"/>
        </w:rPr>
        <w:t>De la procédure de demande (normale, urgente ou super urgente).</w:t>
      </w:r>
    </w:p>
    <w:p w14:paraId="24091795" w14:textId="24F5CDDA" w:rsidR="00795C3E" w:rsidRPr="001C771A" w:rsidRDefault="00795C3E">
      <w:pPr>
        <w:pStyle w:val="Titre4"/>
        <w:numPr>
          <w:ilvl w:val="0"/>
          <w:numId w:val="88"/>
        </w:numPr>
      </w:pPr>
      <w:bookmarkStart w:id="942" w:name="_Toc34813738"/>
      <w:bookmarkStart w:id="943" w:name="_Toc143779147"/>
      <w:bookmarkStart w:id="944" w:name="_Toc208420048"/>
      <w:r w:rsidRPr="001C771A">
        <w:t>Permis de conduire</w:t>
      </w:r>
      <w:bookmarkEnd w:id="942"/>
      <w:bookmarkEnd w:id="943"/>
      <w:bookmarkEnd w:id="944"/>
      <w:r w:rsidRPr="001C771A">
        <w:t> </w:t>
      </w:r>
    </w:p>
    <w:p w14:paraId="0BDA6FA5" w14:textId="646E2EE1" w:rsidR="00795C3E" w:rsidRPr="00F91BDD" w:rsidRDefault="00795C3E" w:rsidP="00795C3E">
      <w:pPr>
        <w:spacing w:before="120"/>
        <w:textAlignment w:val="baseline"/>
        <w:rPr>
          <w:rFonts w:cs="Calibri Light"/>
        </w:rPr>
      </w:pPr>
      <w:r w:rsidRPr="00F91BDD">
        <w:rPr>
          <w:rFonts w:cs="Calibri Light"/>
        </w:rPr>
        <w:t>Il est recommandé d’agir de même pour la délivrance d’un permis de conduire modèle « carte bancaire » belge ou international</w:t>
      </w:r>
      <w:r w:rsidR="00777637">
        <w:rPr>
          <w:rFonts w:cs="Calibri Light"/>
        </w:rPr>
        <w:t>.</w:t>
      </w:r>
    </w:p>
    <w:p w14:paraId="55F9CF7A" w14:textId="77777777" w:rsidR="00795C3E" w:rsidRPr="00F91BDD" w:rsidRDefault="00795C3E" w:rsidP="00795C3E">
      <w:pPr>
        <w:spacing w:before="120"/>
        <w:textAlignment w:val="baseline"/>
        <w:rPr>
          <w:rFonts w:cs="Calibri Light"/>
        </w:rPr>
      </w:pPr>
      <w:r w:rsidRPr="00F91BDD">
        <w:rPr>
          <w:rFonts w:cs="Calibri Light"/>
        </w:rPr>
        <w:t>Les coûts de fabrication donnent lieu au remboursement des sommes prévues</w:t>
      </w:r>
      <w:r w:rsidRPr="00F91BDD">
        <w:rPr>
          <w:rStyle w:val="Appelnotedebasdep"/>
          <w:rFonts w:cs="Calibri Light"/>
        </w:rPr>
        <w:footnoteReference w:id="73"/>
      </w:r>
      <w:r w:rsidRPr="00F91BDD">
        <w:rPr>
          <w:rFonts w:cs="Calibri Light"/>
        </w:rPr>
        <w:t> :</w:t>
      </w:r>
    </w:p>
    <w:p w14:paraId="6B99608C" w14:textId="77777777" w:rsidR="00795C3E" w:rsidRPr="00F91BDD" w:rsidRDefault="00795C3E" w:rsidP="00795C3E">
      <w:pPr>
        <w:spacing w:before="120"/>
        <w:textAlignment w:val="baseline"/>
        <w:rPr>
          <w:rFonts w:cs="Calibri Light"/>
        </w:rPr>
      </w:pPr>
      <w:bookmarkStart w:id="945" w:name="_Hlk37766944"/>
      <w:r w:rsidRPr="00F91BDD">
        <w:rPr>
          <w:rFonts w:cs="Calibri Light"/>
        </w:rPr>
        <w:t xml:space="preserve">Sauf exception, le renouvellement d'un permis de conduire provisoire ou d'un permis de </w:t>
      </w:r>
      <w:bookmarkEnd w:id="945"/>
      <w:r w:rsidRPr="00F91BDD">
        <w:rPr>
          <w:rFonts w:cs="Calibri Light"/>
        </w:rPr>
        <w:t>conduire de la catégorie AM, A1, A2, A, B, B+E ou G, pour des raisons d'aptitude médicale ou psychique, visées à l'article 21, § 3, ne donne pas lieu au paiement d'une redevance.</w:t>
      </w:r>
    </w:p>
    <w:p w14:paraId="7619C3E8" w14:textId="77777777" w:rsidR="00795C3E" w:rsidRPr="00F91BDD" w:rsidRDefault="00795C3E" w:rsidP="00795C3E">
      <w:pPr>
        <w:spacing w:before="120"/>
        <w:textAlignment w:val="baseline"/>
        <w:rPr>
          <w:rFonts w:cs="Calibri Light"/>
        </w:rPr>
      </w:pPr>
      <w:r w:rsidRPr="00F91BDD">
        <w:rPr>
          <w:rFonts w:cs="Calibri Light"/>
        </w:rPr>
        <w:t>Il n’est pas possible de demander un duplicata d’un permis de conduire en modèle carte bancaire. Dans ce cas, un nouveau permis de conduire sera délivré.</w:t>
      </w:r>
    </w:p>
    <w:p w14:paraId="557D8E98" w14:textId="792CEAA2" w:rsidR="00795C3E" w:rsidRPr="001C771A" w:rsidRDefault="00795C3E">
      <w:pPr>
        <w:pStyle w:val="Titre4"/>
        <w:numPr>
          <w:ilvl w:val="0"/>
          <w:numId w:val="88"/>
        </w:numPr>
      </w:pPr>
      <w:bookmarkStart w:id="946" w:name="_Toc40185486"/>
      <w:bookmarkStart w:id="947" w:name="_Toc40186221"/>
      <w:bookmarkStart w:id="948" w:name="_Toc40185487"/>
      <w:bookmarkStart w:id="949" w:name="_Toc40186222"/>
      <w:bookmarkStart w:id="950" w:name="_Toc40185488"/>
      <w:bookmarkStart w:id="951" w:name="_Toc40186223"/>
      <w:bookmarkStart w:id="952" w:name="_Toc40185489"/>
      <w:bookmarkStart w:id="953" w:name="_Toc40186224"/>
      <w:bookmarkStart w:id="954" w:name="_Toc143779148"/>
      <w:bookmarkStart w:id="955" w:name="_Toc208420049"/>
      <w:bookmarkEnd w:id="946"/>
      <w:bookmarkEnd w:id="947"/>
      <w:bookmarkEnd w:id="948"/>
      <w:bookmarkEnd w:id="949"/>
      <w:bookmarkEnd w:id="950"/>
      <w:bookmarkEnd w:id="951"/>
      <w:bookmarkEnd w:id="952"/>
      <w:bookmarkEnd w:id="953"/>
      <w:r w:rsidRPr="001C771A">
        <w:t>Redevance pour changement de prénom</w:t>
      </w:r>
      <w:bookmarkEnd w:id="954"/>
      <w:r w:rsidRPr="001C771A">
        <w:t xml:space="preserve"> - Modèle disponible.</w:t>
      </w:r>
      <w:bookmarkEnd w:id="955"/>
    </w:p>
    <w:p w14:paraId="4CD44C0A" w14:textId="77777777" w:rsidR="00795C3E" w:rsidRPr="00F91BDD" w:rsidRDefault="00795C3E" w:rsidP="00795C3E">
      <w:pPr>
        <w:spacing w:before="120"/>
        <w:textAlignment w:val="baseline"/>
        <w:rPr>
          <w:rFonts w:cs="Calibri Light"/>
        </w:rPr>
      </w:pPr>
      <w:r w:rsidRPr="00F91BDD">
        <w:rPr>
          <w:rFonts w:cs="Calibri Light"/>
        </w:rPr>
        <w:t>La loi du 18 juin 2018</w:t>
      </w:r>
      <w:r w:rsidRPr="00F91BDD">
        <w:rPr>
          <w:rStyle w:val="Appelnotedebasdep"/>
          <w:rFonts w:cs="Calibri Light"/>
        </w:rPr>
        <w:footnoteReference w:id="74"/>
      </w:r>
      <w:r w:rsidRPr="00F91BDD">
        <w:rPr>
          <w:rFonts w:cs="Calibri Light"/>
        </w:rPr>
        <w:t xml:space="preserve"> portant dispositions diverses en matière de droit civil et des dispositions en vue de promouvoir des formes alternatives de résolution de litiges modifie en son titre 3, chapitre 1</w:t>
      </w:r>
      <w:r w:rsidRPr="00F91BDD">
        <w:rPr>
          <w:rFonts w:cs="Calibri Light"/>
          <w:vertAlign w:val="superscript"/>
        </w:rPr>
        <w:t>er</w:t>
      </w:r>
      <w:r w:rsidRPr="00F91BDD">
        <w:rPr>
          <w:rFonts w:cs="Calibri Light"/>
        </w:rPr>
        <w:t xml:space="preserve">, la loi du 15 mai 1987 relative aux noms et prénoms. </w:t>
      </w:r>
    </w:p>
    <w:p w14:paraId="0775E7EA" w14:textId="64AAF253" w:rsidR="00795C3E" w:rsidRPr="00F91BDD" w:rsidRDefault="00795C3E" w:rsidP="00795C3E">
      <w:pPr>
        <w:spacing w:before="120"/>
        <w:textAlignment w:val="baseline"/>
        <w:rPr>
          <w:rFonts w:cs="Calibri Light"/>
        </w:rPr>
      </w:pPr>
      <w:r w:rsidRPr="00F91BDD">
        <w:rPr>
          <w:rFonts w:cs="Calibri Light"/>
        </w:rPr>
        <w:lastRenderedPageBreak/>
        <w:t xml:space="preserve">Cette loi a été suivie d’une circulaire explicative du </w:t>
      </w:r>
      <w:r w:rsidR="22467980" w:rsidRPr="00C546DC">
        <w:rPr>
          <w:rFonts w:cs="Calibri Light"/>
        </w:rPr>
        <w:t>19 décembre 2023</w:t>
      </w:r>
      <w:r w:rsidRPr="00622413">
        <w:rPr>
          <w:vertAlign w:val="superscript"/>
        </w:rPr>
        <w:footnoteReference w:id="75"/>
      </w:r>
      <w:r w:rsidRPr="00622413">
        <w:rPr>
          <w:rFonts w:cs="Calibri Light"/>
        </w:rPr>
        <w:t xml:space="preserve"> dont</w:t>
      </w:r>
      <w:r w:rsidRPr="00F91BDD">
        <w:rPr>
          <w:rFonts w:cs="Calibri Light"/>
        </w:rPr>
        <w:t xml:space="preserve"> les points VI et VII sont particulièrement intéressants puisqu’ils parlent de la redevance et de l’entrée en vigueur de la loi au 1</w:t>
      </w:r>
      <w:r w:rsidRPr="00F91BDD">
        <w:rPr>
          <w:rFonts w:cs="Calibri Light"/>
          <w:vertAlign w:val="superscript"/>
        </w:rPr>
        <w:t>er</w:t>
      </w:r>
      <w:r w:rsidRPr="00F91BDD">
        <w:rPr>
          <w:rFonts w:cs="Calibri Light"/>
        </w:rPr>
        <w:t xml:space="preserve"> août 2018.</w:t>
      </w:r>
    </w:p>
    <w:p w14:paraId="514EAC09" w14:textId="77777777" w:rsidR="00795C3E" w:rsidRPr="00F91BDD" w:rsidRDefault="00795C3E" w:rsidP="00795C3E">
      <w:pPr>
        <w:spacing w:before="120"/>
        <w:textAlignment w:val="baseline"/>
        <w:rPr>
          <w:rFonts w:cs="Calibri Light"/>
        </w:rPr>
      </w:pPr>
      <w:r w:rsidRPr="00F91BDD">
        <w:rPr>
          <w:rFonts w:cs="Calibri Light"/>
        </w:rPr>
        <w:t xml:space="preserve">Cette circulaire rappelle qu’il convient de distinguer le changement de prénoms </w:t>
      </w:r>
      <w:r w:rsidRPr="6FFC1684">
        <w:rPr>
          <w:rFonts w:cs="Calibri Light"/>
          <w:i/>
          <w:iCs/>
        </w:rPr>
        <w:t>stricto sensu</w:t>
      </w:r>
      <w:r w:rsidRPr="00F91BDD">
        <w:rPr>
          <w:rFonts w:cs="Calibri Light"/>
        </w:rPr>
        <w:t xml:space="preserve"> de la rectification de prénoms. Lors de l'élaboration de la loi du 15 mai 1987, le législateur a rappelé que « rectifier, c'est dire le droit »</w:t>
      </w:r>
      <w:r w:rsidRPr="00F91BDD">
        <w:rPr>
          <w:rStyle w:val="Appelnotedebasdep"/>
          <w:rFonts w:cs="Calibri Light"/>
        </w:rPr>
        <w:footnoteReference w:id="76"/>
      </w:r>
      <w:r w:rsidRPr="00F91BDD">
        <w:rPr>
          <w:rFonts w:cs="Calibri Light"/>
        </w:rPr>
        <w:t>, c'est-à-dire remédier à une erreur affectant les prénoms. En revanche, le changement de prénoms suppose que les prénoms soient correctement déterminés mais doivent être modifiés pour une raison quelconque. Le changement de prénoms par cette voie implique l'exercice d'un pouvoir d'appréciation de la demande. De la même manière, en matière de nom, la jurisprudence a pu préciser que « Les tribunaux sont seuls compétents pour ordonner toutes les rectifications qui n'ont pour objet que d'établir ou de rétablir le nom véritable, tandis que l'autorité administrative est compétente pour autoriser tout changement de ce nom</w:t>
      </w:r>
      <w:r w:rsidRPr="00F91BDD">
        <w:rPr>
          <w:rStyle w:val="Appelnotedebasdep"/>
          <w:rFonts w:cs="Calibri Light"/>
        </w:rPr>
        <w:footnoteReference w:id="77"/>
      </w:r>
      <w:r w:rsidRPr="00F91BDD">
        <w:rPr>
          <w:rFonts w:cs="Calibri Light"/>
        </w:rPr>
        <w:t xml:space="preserve"> ».</w:t>
      </w:r>
    </w:p>
    <w:p w14:paraId="522ABFAB" w14:textId="0D1F581C" w:rsidR="00795C3E" w:rsidRPr="00F91BDD" w:rsidRDefault="00795C3E" w:rsidP="00795C3E">
      <w:pPr>
        <w:spacing w:before="120"/>
        <w:textAlignment w:val="baseline"/>
        <w:rPr>
          <w:rFonts w:cs="Calibri Light"/>
        </w:rPr>
      </w:pPr>
      <w:r w:rsidRPr="00F91BDD">
        <w:rPr>
          <w:rFonts w:cs="Calibri Light"/>
        </w:rPr>
        <w:t>L'officier de l'état civil compétent en matière de changement de prénoms est, par principe, celui de la commune où la personne concernée par le changement de prénoms - et non ses représentants légaux - est inscrite dans les registres de la population. Dans les cas exceptionnels dans lesquels une demande de changement de prénoms peut valablement être formulée par une personne reconnue comme réfugiée ou apatride, ou par une personne de nationalité étrangère qui est dépourvue de prénoms et a introduit une procédure d'acquisition de la nationalité belge, l'officier de l'état civil compétent sera celui de la commune dans laquelle la personne concernée est inscrite dans le registre des étrangers ou le registre d'attente.</w:t>
      </w:r>
    </w:p>
    <w:p w14:paraId="4D07DA43" w14:textId="37DD6BDD" w:rsidR="00795C3E" w:rsidRPr="00777637" w:rsidRDefault="00795C3E" w:rsidP="1C6C0DED">
      <w:pPr>
        <w:spacing w:after="0"/>
        <w:textAlignment w:val="baseline"/>
        <w:rPr>
          <w:rFonts w:cs="Calibri Light"/>
          <w:color w:val="000000" w:themeColor="text1"/>
        </w:rPr>
      </w:pPr>
      <w:r w:rsidRPr="00777637">
        <w:rPr>
          <w:rFonts w:cs="Calibri Light"/>
          <w:color w:val="000000" w:themeColor="text1"/>
        </w:rPr>
        <w:t xml:space="preserve">Il est libre d'arrêter un montant fixe ou de prévoir des cas de réduction ou d'exemption. À ce titre, la loi du 15 mai 1987 </w:t>
      </w:r>
      <w:r w:rsidR="3B997A74" w:rsidRPr="00777637">
        <w:rPr>
          <w:rFonts w:cs="Calibri Light"/>
          <w:color w:val="000000" w:themeColor="text1"/>
        </w:rPr>
        <w:t>qui a été abrogée par la loi de 2018 précitée</w:t>
      </w:r>
      <w:r w:rsidRPr="00777637">
        <w:rPr>
          <w:rFonts w:cs="Calibri Light"/>
          <w:color w:val="000000" w:themeColor="text1"/>
        </w:rPr>
        <w:t xml:space="preserve"> prévoyait la possibilité de réduire le montant de la redevance, uniquement dans les cas suivants : si le prénom dont la modification est demandée présente par lui-même ou par son association avec le nom, un caractère ridicule ou odieux, est de consonance étrangère ou de nature à prêter à confusion, si la modification consiste en un ajout ou en la suppression d’un signe de ponctuation ou d’un signe qui en modifie la prononciation ainsi que pour les cas des prénoms abrégés.</w:t>
      </w:r>
      <w:r w:rsidR="49F21AEB" w:rsidRPr="00777637">
        <w:rPr>
          <w:rFonts w:cs="Calibri Light"/>
          <w:color w:val="000000" w:themeColor="text1"/>
        </w:rPr>
        <w:t xml:space="preserve"> Dans le cas où une commune désire adopter ces réductions de taux, il conviendra</w:t>
      </w:r>
      <w:r w:rsidR="017B10C2" w:rsidRPr="00777637">
        <w:rPr>
          <w:rFonts w:cs="Calibri Light"/>
          <w:color w:val="000000" w:themeColor="text1"/>
        </w:rPr>
        <w:t xml:space="preserve"> de justifier ces dernières au moyen d’éléments objectifs soit dans le préambule de la délibération soit dans le dossier administratif. </w:t>
      </w:r>
    </w:p>
    <w:p w14:paraId="414D1FB2" w14:textId="77777777" w:rsidR="00795C3E" w:rsidRPr="00572D06" w:rsidRDefault="00795C3E" w:rsidP="00795C3E">
      <w:pPr>
        <w:spacing w:before="120"/>
        <w:textAlignment w:val="baseline"/>
        <w:rPr>
          <w:rFonts w:cs="Calibri Light"/>
        </w:rPr>
      </w:pPr>
      <w:r w:rsidRPr="00F91BDD">
        <w:rPr>
          <w:rFonts w:cs="Calibri Light"/>
        </w:rPr>
        <w:t>En vertu de l'article 170, § 4, alinéa 2 de la Constitution, le législateur</w:t>
      </w:r>
      <w:r w:rsidRPr="00F91BDD">
        <w:rPr>
          <w:rStyle w:val="Appelnotedebasdep"/>
          <w:rFonts w:cs="Calibri Light"/>
        </w:rPr>
        <w:footnoteReference w:id="78"/>
      </w:r>
      <w:r w:rsidRPr="00F91BDD">
        <w:rPr>
          <w:rFonts w:cs="Calibri Light"/>
        </w:rPr>
        <w:t xml:space="preserve"> apporte des restrictions à l'autonomie fiscale communale dans deux cas :</w:t>
      </w:r>
    </w:p>
    <w:p w14:paraId="46C5C3F5" w14:textId="77777777" w:rsidR="00795C3E" w:rsidRPr="00F91BDD" w:rsidRDefault="00795C3E">
      <w:pPr>
        <w:pStyle w:val="Paragraphedeliste"/>
        <w:numPr>
          <w:ilvl w:val="0"/>
          <w:numId w:val="24"/>
        </w:numPr>
        <w:tabs>
          <w:tab w:val="left" w:pos="360"/>
        </w:tabs>
        <w:spacing w:before="120" w:after="120" w:line="240" w:lineRule="auto"/>
        <w:ind w:left="1094" w:hanging="357"/>
        <w:contextualSpacing w:val="0"/>
        <w:rPr>
          <w:rFonts w:cs="Calibri Light"/>
          <w:bCs/>
        </w:rPr>
      </w:pPr>
      <w:r w:rsidRPr="00F91BDD">
        <w:rPr>
          <w:rFonts w:cs="Calibri Light"/>
          <w:bCs/>
        </w:rPr>
        <w:t xml:space="preserve">La redevance due par les personnes transgenres ne peut pas excéder plus de 10% du tarif ordinaire déterminé par la commune. Si le montant de la redevance </w:t>
      </w:r>
      <w:r w:rsidRPr="00F91BDD">
        <w:rPr>
          <w:rFonts w:cs="Calibri Light"/>
          <w:bCs/>
        </w:rPr>
        <w:lastRenderedPageBreak/>
        <w:t>communale ordinaire vaut 1, la personne transgenre ne peut pas se voir réclamer une redevance supérieure à 1/10ème de ce montant ;</w:t>
      </w:r>
    </w:p>
    <w:p w14:paraId="2BFB751B" w14:textId="77777777" w:rsidR="00795C3E" w:rsidRPr="00F91BDD" w:rsidRDefault="00795C3E">
      <w:pPr>
        <w:pStyle w:val="Paragraphedeliste"/>
        <w:numPr>
          <w:ilvl w:val="0"/>
          <w:numId w:val="24"/>
        </w:numPr>
        <w:tabs>
          <w:tab w:val="left" w:pos="360"/>
        </w:tabs>
        <w:spacing w:before="120" w:after="120" w:line="240" w:lineRule="auto"/>
        <w:ind w:left="1094" w:hanging="357"/>
        <w:contextualSpacing w:val="0"/>
        <w:rPr>
          <w:rFonts w:cs="Calibri Light"/>
          <w:bCs/>
        </w:rPr>
      </w:pPr>
      <w:r w:rsidRPr="00F91BDD">
        <w:rPr>
          <w:rFonts w:cs="Calibri Light"/>
          <w:bCs/>
        </w:rPr>
        <w:t xml:space="preserve">Les personnes de nationalité étrangère qui ont formulé une demande d'acquisition de la nationalité belge et qui sont dénuées de prénom(s) lors de la demande d'adjonction de prénom(s) sont exemptées de toute redevance afin d'y remédier. </w:t>
      </w:r>
    </w:p>
    <w:p w14:paraId="68C8643F" w14:textId="697EC543" w:rsidR="00795C3E" w:rsidRPr="00F91BDD" w:rsidRDefault="00795C3E" w:rsidP="00795C3E">
      <w:pPr>
        <w:spacing w:before="120"/>
        <w:textAlignment w:val="baseline"/>
        <w:rPr>
          <w:rFonts w:cs="Calibri Light"/>
        </w:rPr>
      </w:pPr>
      <w:r w:rsidRPr="00F91BDD">
        <w:rPr>
          <w:rFonts w:cs="Calibri Light"/>
        </w:rPr>
        <w:t xml:space="preserve">Le taux maximum recommandé est de 500,00 </w:t>
      </w:r>
      <w:r w:rsidR="00777637" w:rsidRPr="00F91BDD">
        <w:rPr>
          <w:rFonts w:cs="Calibri Light"/>
        </w:rPr>
        <w:t>euros.</w:t>
      </w:r>
    </w:p>
    <w:p w14:paraId="6ABAC41D" w14:textId="77777777" w:rsidR="00795C3E" w:rsidRPr="00F91BDD" w:rsidRDefault="00795C3E" w:rsidP="00795C3E">
      <w:pPr>
        <w:spacing w:before="120"/>
        <w:textAlignment w:val="baseline"/>
        <w:rPr>
          <w:rFonts w:cs="Calibri Light"/>
          <w:b/>
          <w:bCs/>
        </w:rPr>
      </w:pPr>
      <w:r w:rsidRPr="00F91BDD">
        <w:rPr>
          <w:rFonts w:cs="Calibri Light"/>
          <w:b/>
          <w:bCs/>
        </w:rPr>
        <w:t>J'attire l'attention sur le fait qu’il s’agit d’un taux maximum et que le montant réclamé doit s’apprécier eu égard à la prestation.</w:t>
      </w:r>
    </w:p>
    <w:p w14:paraId="1A0276B6" w14:textId="77777777" w:rsidR="00795C3E" w:rsidRPr="00F91BDD" w:rsidRDefault="00795C3E" w:rsidP="00795C3E">
      <w:pPr>
        <w:spacing w:before="120"/>
        <w:textAlignment w:val="baseline"/>
        <w:rPr>
          <w:rFonts w:cs="Calibri Light"/>
        </w:rPr>
      </w:pPr>
      <w:r w:rsidRPr="00F91BDD">
        <w:rPr>
          <w:rFonts w:cs="Calibri Light"/>
        </w:rPr>
        <w:t xml:space="preserve">Le montant de la redevance peut être exigé soit lors de la demande, soit lorsque l’autorisation en elle-même est donnée. Il paraît cependant plus sécurisant et plus pratique de percevoir le montant au moment de la demande. </w:t>
      </w:r>
    </w:p>
    <w:p w14:paraId="6B90E65A" w14:textId="77777777" w:rsidR="00795C3E" w:rsidRPr="00F91BDD" w:rsidRDefault="00795C3E" w:rsidP="00795C3E">
      <w:pPr>
        <w:spacing w:before="120"/>
        <w:textAlignment w:val="baseline"/>
        <w:rPr>
          <w:rFonts w:cs="Calibri Light"/>
        </w:rPr>
      </w:pPr>
      <w:r w:rsidRPr="00F91BDD">
        <w:rPr>
          <w:rFonts w:cs="Calibri Light"/>
        </w:rPr>
        <w:t>Je vous invite à adopter un règlement redevance spécifique sur la demande de changement de prénom et ce, d’autant plus, que la perception dès la demande peut avoir un effet direct sur le nombre de demandes introduites et est de nature à éviter une certaine légèreté dans le chef du demandeur. </w:t>
      </w:r>
    </w:p>
    <w:p w14:paraId="30E1FA6A" w14:textId="77777777" w:rsidR="00795C3E" w:rsidRPr="00F91BDD" w:rsidRDefault="00795C3E" w:rsidP="00795C3E">
      <w:pPr>
        <w:spacing w:before="120"/>
        <w:textAlignment w:val="baseline"/>
        <w:rPr>
          <w:rFonts w:cs="Calibri Light"/>
        </w:rPr>
      </w:pPr>
      <w:r w:rsidRPr="00F91BDD">
        <w:rPr>
          <w:rFonts w:cs="Calibri Light"/>
        </w:rPr>
        <w:t>A noter qu’à l’instar de la procédure de changement de nom, la commune peut également faire le choix d’un règlement taxe en vertu du principe constitutionnel d’autonomie fiscale.</w:t>
      </w:r>
    </w:p>
    <w:p w14:paraId="685087C0" w14:textId="43358958" w:rsidR="00795C3E" w:rsidRPr="00F91BDD" w:rsidRDefault="00795C3E" w:rsidP="00795C3E">
      <w:pPr>
        <w:spacing w:before="120"/>
        <w:textAlignment w:val="baseline"/>
        <w:rPr>
          <w:rFonts w:cs="Calibri Light"/>
        </w:rPr>
      </w:pPr>
      <w:r w:rsidRPr="00F91BDD">
        <w:rPr>
          <w:rFonts w:cs="Calibri Light"/>
        </w:rPr>
        <w:t xml:space="preserve">Le taux maximum recommandé est de 500,00 </w:t>
      </w:r>
      <w:r w:rsidR="00777637" w:rsidRPr="00F91BDD">
        <w:rPr>
          <w:rFonts w:cs="Calibri Light"/>
        </w:rPr>
        <w:t>euros.</w:t>
      </w:r>
    </w:p>
    <w:p w14:paraId="7474C962" w14:textId="77777777" w:rsidR="00795C3E" w:rsidRPr="001C771A" w:rsidRDefault="00795C3E">
      <w:pPr>
        <w:pStyle w:val="Titre4"/>
        <w:numPr>
          <w:ilvl w:val="0"/>
          <w:numId w:val="88"/>
        </w:numPr>
      </w:pPr>
      <w:bookmarkStart w:id="956" w:name="_Toc40185491"/>
      <w:bookmarkStart w:id="957" w:name="_Toc40186226"/>
      <w:bookmarkStart w:id="958" w:name="_Toc40185492"/>
      <w:bookmarkStart w:id="959" w:name="_Toc40186227"/>
      <w:bookmarkStart w:id="960" w:name="_Toc40185493"/>
      <w:bookmarkStart w:id="961" w:name="_Toc40186228"/>
      <w:bookmarkStart w:id="962" w:name="_Toc40185494"/>
      <w:bookmarkStart w:id="963" w:name="_Toc40186229"/>
      <w:bookmarkStart w:id="964" w:name="_Toc40185495"/>
      <w:bookmarkStart w:id="965" w:name="_Toc40186230"/>
      <w:bookmarkStart w:id="966" w:name="_Toc40185496"/>
      <w:bookmarkStart w:id="967" w:name="_Toc40186231"/>
      <w:bookmarkStart w:id="968" w:name="_Toc40185497"/>
      <w:bookmarkStart w:id="969" w:name="_Toc40186232"/>
      <w:bookmarkStart w:id="970" w:name="_Toc40185498"/>
      <w:bookmarkStart w:id="971" w:name="_Toc40186233"/>
      <w:bookmarkStart w:id="972" w:name="_Toc40185499"/>
      <w:bookmarkStart w:id="973" w:name="_Toc40186234"/>
      <w:bookmarkStart w:id="974" w:name="_Toc208420050"/>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r w:rsidRPr="001C771A">
        <w:t>Taxe pour le changement de nom - Modèle disponible.</w:t>
      </w:r>
      <w:bookmarkStart w:id="975" w:name="_Toc143779149"/>
      <w:bookmarkEnd w:id="974"/>
    </w:p>
    <w:p w14:paraId="3F5E9F60" w14:textId="77777777" w:rsidR="00795C3E" w:rsidRPr="003A3AA1" w:rsidRDefault="00795C3E" w:rsidP="00795C3E">
      <w:pPr>
        <w:pStyle w:val="Sam4"/>
        <w:numPr>
          <w:ilvl w:val="0"/>
          <w:numId w:val="0"/>
        </w:numPr>
        <w:spacing w:before="120"/>
        <w:rPr>
          <w:rFonts w:asciiTheme="minorHAnsi" w:eastAsiaTheme="minorEastAsia" w:hAnsiTheme="minorHAnsi" w:cs="Calibri Light"/>
          <w:i w:val="0"/>
          <w:sz w:val="22"/>
          <w:szCs w:val="22"/>
          <w:u w:val="none"/>
          <w:lang w:eastAsia="en-US"/>
        </w:rPr>
      </w:pPr>
      <w:r w:rsidRPr="003A3AA1">
        <w:rPr>
          <w:rFonts w:asciiTheme="minorHAnsi" w:eastAsiaTheme="minorEastAsia" w:hAnsiTheme="minorHAnsi" w:cs="Calibri Light"/>
          <w:i w:val="0"/>
          <w:sz w:val="22"/>
          <w:szCs w:val="22"/>
          <w:u w:val="none"/>
          <w:lang w:eastAsia="en-US"/>
        </w:rPr>
        <w:t>Taxe indirecte</w:t>
      </w:r>
    </w:p>
    <w:p w14:paraId="2C14F992" w14:textId="3F338A5C" w:rsidR="00795C3E" w:rsidRPr="00F94943" w:rsidRDefault="00795C3E" w:rsidP="00795C3E">
      <w:pPr>
        <w:tabs>
          <w:tab w:val="left" w:pos="360"/>
        </w:tabs>
        <w:spacing w:before="120"/>
        <w:rPr>
          <w:rFonts w:cs="Calibri Light"/>
        </w:rPr>
      </w:pPr>
      <w:r w:rsidRPr="00F94943">
        <w:rPr>
          <w:rFonts w:cs="Calibri Light"/>
        </w:rPr>
        <w:t xml:space="preserve">Taux maximum recommandé : 500 </w:t>
      </w:r>
      <w:r w:rsidR="003A3AA1" w:rsidRPr="00F94943">
        <w:rPr>
          <w:rFonts w:cs="Calibri Light"/>
        </w:rPr>
        <w:t>euros.</w:t>
      </w:r>
    </w:p>
    <w:p w14:paraId="4A085094" w14:textId="621AC36A" w:rsidR="003A3AA1" w:rsidRPr="00F94943" w:rsidRDefault="00795C3E" w:rsidP="003A3AA1">
      <w:pPr>
        <w:tabs>
          <w:tab w:val="left" w:pos="360"/>
        </w:tabs>
        <w:spacing w:before="120"/>
        <w:rPr>
          <w:rFonts w:cs="Calibri Light"/>
        </w:rPr>
      </w:pPr>
      <w:r w:rsidRPr="003A3AA1">
        <w:rPr>
          <w:rFonts w:cs="Calibri Light"/>
        </w:rPr>
        <w:t>À la date du 1er juillet 2024, est entrée en vigueur la loi du 7 janvier 2024, modifiant l’ancien code civil et le Code des droits d’enregistrement, d’hypothèque et de greffe en vue d’assouplir la procédure de changement de nom. Cette loi donne la possibilité aux citoyens de changer de nom mais cette possibilité n’est donnée qu’une seule fois.</w:t>
      </w:r>
      <w:r w:rsidR="7C9DA39C" w:rsidRPr="003A3AA1">
        <w:rPr>
          <w:rFonts w:cs="Calibri Light"/>
        </w:rPr>
        <w:t xml:space="preserve"> Il est important de préciser que ce changement de nom se fait uniquement au profit du nom du père, de la mère ou d’une combinaison de leurs deux noms. Dans tous les autres cas, la demande restera soumise au SPF Justice. </w:t>
      </w:r>
    </w:p>
    <w:p w14:paraId="7D168385" w14:textId="77777777" w:rsidR="00795C3E" w:rsidRPr="00F94943" w:rsidRDefault="00795C3E" w:rsidP="00795C3E">
      <w:pPr>
        <w:tabs>
          <w:tab w:val="left" w:pos="360"/>
        </w:tabs>
        <w:spacing w:before="120"/>
        <w:rPr>
          <w:rFonts w:cs="Calibri Light"/>
        </w:rPr>
      </w:pPr>
      <w:r w:rsidRPr="00F94943">
        <w:rPr>
          <w:rFonts w:cs="Calibri Light"/>
        </w:rPr>
        <w:t>Toutefois, contrairement à ce qui est prévu en matière de changement de prénom, cette loi ne précise pas qu’une redevance peut être établie en la matière et ne prévoit dès lors rien concernant le montant qui pourrait être réclamé pour cette procédure de changement de nom.</w:t>
      </w:r>
    </w:p>
    <w:p w14:paraId="63C0818C" w14:textId="77777777" w:rsidR="00795C3E" w:rsidRPr="00F94943" w:rsidRDefault="00795C3E" w:rsidP="00795C3E">
      <w:pPr>
        <w:tabs>
          <w:tab w:val="left" w:pos="360"/>
        </w:tabs>
        <w:spacing w:before="120"/>
        <w:rPr>
          <w:rFonts w:cs="Calibri Light"/>
        </w:rPr>
      </w:pPr>
      <w:r w:rsidRPr="00F94943">
        <w:rPr>
          <w:rFonts w:cs="Calibri Light"/>
        </w:rPr>
        <w:t xml:space="preserve">Ainsi et  contrairement à la procédure de changement de prénom, la loi ne confèrerait aucune habilitation légale  au sens de l’article 173 de la Constitution qui prévoit que « Hors les provinces, les polders et wateringues et les cas formellement exceptés par la loi, le décret et les règles visées à l'article 134, aucune rétribution ne peut être exigée des citoyens qu'à titre </w:t>
      </w:r>
      <w:r w:rsidRPr="00F94943">
        <w:rPr>
          <w:rFonts w:cs="Calibri Light"/>
        </w:rPr>
        <w:lastRenderedPageBreak/>
        <w:t>d'impôt au profit de l'État, de la communauté, de la région, de l'agglomération, de la fédération de communes ou de la commune. ».</w:t>
      </w:r>
    </w:p>
    <w:p w14:paraId="6B36B7FD" w14:textId="77777777" w:rsidR="00795C3E" w:rsidRPr="00F94943" w:rsidRDefault="00795C3E" w:rsidP="00795C3E">
      <w:pPr>
        <w:tabs>
          <w:tab w:val="left" w:pos="360"/>
        </w:tabs>
        <w:spacing w:before="120"/>
        <w:rPr>
          <w:rFonts w:cs="Calibri Light"/>
        </w:rPr>
      </w:pPr>
      <w:r w:rsidRPr="00F94943">
        <w:rPr>
          <w:rFonts w:cs="Calibri Light"/>
        </w:rPr>
        <w:t>Cependant, en vertu de l’autonomie fiscale des communes reconnue par l’article 170 §4 de la Constitution, rien n’empêche (puisque la loi du 7 janvier 2024 ne contient aucune interdiction à cet égard) la commune de lever une taxe pour la demande de changement de nom.</w:t>
      </w:r>
    </w:p>
    <w:p w14:paraId="2D3D66D6" w14:textId="77777777" w:rsidR="00795C3E" w:rsidRPr="001C771A" w:rsidRDefault="00795C3E" w:rsidP="00795C3E">
      <w:pPr>
        <w:tabs>
          <w:tab w:val="left" w:pos="360"/>
        </w:tabs>
        <w:spacing w:before="120"/>
        <w:rPr>
          <w:rFonts w:cs="Calibri Light"/>
        </w:rPr>
      </w:pPr>
      <w:r w:rsidRPr="00F94943">
        <w:rPr>
          <w:rFonts w:cs="Calibri Light"/>
        </w:rPr>
        <w:t xml:space="preserve">Le montant forfaitaire n’étant pas fixé en fonction du coût de la prestation, il faut éviter de faire référence dans le préambule à un coût de </w:t>
      </w:r>
      <w:r>
        <w:rPr>
          <w:rFonts w:cs="Calibri Light"/>
        </w:rPr>
        <w:t>p</w:t>
      </w:r>
      <w:r w:rsidRPr="00F94943">
        <w:rPr>
          <w:rFonts w:cs="Calibri Light"/>
        </w:rPr>
        <w:t>restation.</w:t>
      </w:r>
    </w:p>
    <w:p w14:paraId="279EF862" w14:textId="77777777" w:rsidR="00795C3E" w:rsidRPr="001C771A" w:rsidRDefault="00795C3E">
      <w:pPr>
        <w:pStyle w:val="Titre4"/>
        <w:numPr>
          <w:ilvl w:val="0"/>
          <w:numId w:val="88"/>
        </w:numPr>
      </w:pPr>
      <w:bookmarkStart w:id="976" w:name="_Toc208420051"/>
      <w:r w:rsidRPr="001C771A">
        <w:t>Documents et travaux urbanistiques</w:t>
      </w:r>
      <w:bookmarkEnd w:id="975"/>
      <w:bookmarkEnd w:id="976"/>
      <w:r w:rsidRPr="001C771A">
        <w:t xml:space="preserve"> </w:t>
      </w:r>
    </w:p>
    <w:p w14:paraId="18AB9CDF" w14:textId="77777777" w:rsidR="00795C3E" w:rsidRPr="00F91BDD" w:rsidRDefault="00795C3E" w:rsidP="00795C3E">
      <w:pPr>
        <w:tabs>
          <w:tab w:val="left" w:pos="360"/>
        </w:tabs>
        <w:spacing w:before="120"/>
        <w:rPr>
          <w:rFonts w:cs="Calibri Light"/>
          <w:spacing w:val="1"/>
        </w:rPr>
      </w:pPr>
      <w:r w:rsidRPr="00F91BDD">
        <w:rPr>
          <w:rFonts w:cs="Calibri Light"/>
          <w:spacing w:val="1"/>
        </w:rPr>
        <w:t>Cfr. infra 040/361-48 : Prestations communales administratives ou techniques en général</w:t>
      </w:r>
    </w:p>
    <w:p w14:paraId="0AADE59D" w14:textId="77777777" w:rsidR="00795C3E" w:rsidRPr="001C771A" w:rsidRDefault="00795C3E">
      <w:pPr>
        <w:pStyle w:val="Titre4"/>
        <w:numPr>
          <w:ilvl w:val="0"/>
          <w:numId w:val="88"/>
        </w:numPr>
      </w:pPr>
      <w:bookmarkStart w:id="977" w:name="_Toc40185501"/>
      <w:bookmarkStart w:id="978" w:name="_Toc40186236"/>
      <w:bookmarkStart w:id="979" w:name="_Toc143779150"/>
      <w:bookmarkStart w:id="980" w:name="_Toc208420052"/>
      <w:bookmarkEnd w:id="977"/>
      <w:bookmarkEnd w:id="978"/>
      <w:r w:rsidRPr="001C771A">
        <w:t>Informations pour un notaire</w:t>
      </w:r>
      <w:bookmarkEnd w:id="979"/>
      <w:bookmarkEnd w:id="980"/>
      <w:r w:rsidRPr="001C771A">
        <w:t xml:space="preserve"> </w:t>
      </w:r>
    </w:p>
    <w:p w14:paraId="4C4E8044" w14:textId="77777777" w:rsidR="00795C3E" w:rsidRPr="00F91BDD" w:rsidRDefault="00795C3E" w:rsidP="00795C3E">
      <w:pPr>
        <w:tabs>
          <w:tab w:val="left" w:pos="360"/>
        </w:tabs>
        <w:spacing w:before="120"/>
        <w:rPr>
          <w:rFonts w:cs="Calibri Light"/>
        </w:rPr>
      </w:pPr>
      <w:r w:rsidRPr="00F91BDD">
        <w:rPr>
          <w:rFonts w:cs="Calibri Light"/>
        </w:rPr>
        <w:t>Aucun impôt ou redevance ne peut être levé sur les informations fournies aux notaires quand ils interpellent les communes conformément aux articles 433 et 434 du code des impôts sur les revenus (renseignements de nature fiscale).</w:t>
      </w:r>
    </w:p>
    <w:p w14:paraId="7A9B8E6F" w14:textId="77777777" w:rsidR="00795C3E" w:rsidRPr="001C771A" w:rsidRDefault="00795C3E">
      <w:pPr>
        <w:pStyle w:val="Titre4"/>
        <w:numPr>
          <w:ilvl w:val="0"/>
          <w:numId w:val="88"/>
        </w:numPr>
      </w:pPr>
      <w:bookmarkStart w:id="981" w:name="_Toc40185503"/>
      <w:bookmarkStart w:id="982" w:name="_Toc40186238"/>
      <w:bookmarkStart w:id="983" w:name="_Toc143779151"/>
      <w:bookmarkStart w:id="984" w:name="_Toc208420053"/>
      <w:bookmarkEnd w:id="981"/>
      <w:bookmarkEnd w:id="982"/>
      <w:r w:rsidRPr="001C771A">
        <w:t>Inhumation et crémation</w:t>
      </w:r>
      <w:bookmarkEnd w:id="983"/>
      <w:bookmarkEnd w:id="984"/>
      <w:r w:rsidRPr="001C771A">
        <w:t xml:space="preserve"> </w:t>
      </w:r>
    </w:p>
    <w:p w14:paraId="3CB44172" w14:textId="77777777" w:rsidR="00795C3E" w:rsidRPr="00F91BDD" w:rsidRDefault="00795C3E" w:rsidP="00795C3E">
      <w:pPr>
        <w:tabs>
          <w:tab w:val="left" w:pos="360"/>
        </w:tabs>
        <w:spacing w:before="120"/>
        <w:rPr>
          <w:rFonts w:cs="Calibri Light"/>
        </w:rPr>
      </w:pPr>
      <w:r w:rsidRPr="00F91BDD">
        <w:rPr>
          <w:rFonts w:cs="Calibri Light"/>
        </w:rPr>
        <w:t>Selon les articles L1232-17bis et L1232-22 du CDLD</w:t>
      </w:r>
      <w:r w:rsidRPr="00F91BDD">
        <w:rPr>
          <w:rStyle w:val="Appelnotedebasdep"/>
          <w:rFonts w:cs="Calibri Light"/>
        </w:rPr>
        <w:footnoteReference w:id="79"/>
      </w:r>
      <w:r w:rsidRPr="00F91BDD">
        <w:rPr>
          <w:rFonts w:cs="Calibri Light"/>
        </w:rPr>
        <w:t>, l'inhumation et la crémation sont subordonnées à une autorisation gratuite, qui ne peut être délivrée, au minimum 24 heures après le décès, que par l'officier de l'état civil du lieu de décès, si la personne est décédée dans une commune de la région de langue française.</w:t>
      </w:r>
    </w:p>
    <w:p w14:paraId="6A3F7579" w14:textId="0D9B7550" w:rsidR="00795C3E" w:rsidRPr="001C771A" w:rsidRDefault="00795C3E">
      <w:pPr>
        <w:pStyle w:val="Titre4"/>
        <w:numPr>
          <w:ilvl w:val="0"/>
          <w:numId w:val="88"/>
        </w:numPr>
      </w:pPr>
      <w:bookmarkStart w:id="985" w:name="_Toc40185505"/>
      <w:bookmarkStart w:id="986" w:name="_Toc40186240"/>
      <w:bookmarkStart w:id="987" w:name="_Toc143779152"/>
      <w:bookmarkStart w:id="988" w:name="_Toc208420054"/>
      <w:bookmarkEnd w:id="985"/>
      <w:bookmarkEnd w:id="986"/>
      <w:r>
        <w:t xml:space="preserve">Légalisation d’un </w:t>
      </w:r>
      <w:bookmarkEnd w:id="987"/>
      <w:bookmarkEnd w:id="988"/>
      <w:r w:rsidR="003A3AA1">
        <w:t>document ou</w:t>
      </w:r>
      <w:r w:rsidR="30E3B3AE" w:rsidRPr="00F8724B">
        <w:t xml:space="preserve"> copie conforme</w:t>
      </w:r>
    </w:p>
    <w:p w14:paraId="1F8A929A" w14:textId="6041236B" w:rsidR="00795C3E" w:rsidRPr="00F91BDD" w:rsidRDefault="00795C3E" w:rsidP="00795C3E">
      <w:pPr>
        <w:tabs>
          <w:tab w:val="left" w:pos="360"/>
        </w:tabs>
        <w:spacing w:before="120"/>
        <w:rPr>
          <w:rFonts w:cs="Calibri Light"/>
        </w:rPr>
      </w:pPr>
      <w:r w:rsidRPr="13B63870">
        <w:rPr>
          <w:rFonts w:cs="Calibri Light"/>
        </w:rPr>
        <w:t xml:space="preserve">Le Conseil communal peut soumettre toute légalisation </w:t>
      </w:r>
      <w:r w:rsidR="5D277864" w:rsidRPr="13B63870">
        <w:rPr>
          <w:rFonts w:cs="Calibri Light"/>
        </w:rPr>
        <w:t>o</w:t>
      </w:r>
      <w:r w:rsidR="5D277864" w:rsidRPr="00F8724B">
        <w:rPr>
          <w:rFonts w:cs="Calibri Light"/>
        </w:rPr>
        <w:t>u copie conforme</w:t>
      </w:r>
      <w:r w:rsidR="5D277864" w:rsidRPr="13B63870">
        <w:rPr>
          <w:rFonts w:cs="Calibri Light"/>
        </w:rPr>
        <w:t xml:space="preserve"> </w:t>
      </w:r>
      <w:r w:rsidRPr="13B63870">
        <w:rPr>
          <w:rFonts w:cs="Calibri Light"/>
        </w:rPr>
        <w:t xml:space="preserve">au paiement d’un montant forfaitaire. Le montant forfaitaire maximum recommandé de la taxe est fixé à un montant de base de 5,00 </w:t>
      </w:r>
      <w:r w:rsidR="003A3AA1" w:rsidRPr="13B63870">
        <w:rPr>
          <w:rFonts w:cs="Calibri Light"/>
        </w:rPr>
        <w:t>euros.</w:t>
      </w:r>
    </w:p>
    <w:p w14:paraId="1D519E8D" w14:textId="4E373F1B" w:rsidR="00891F37" w:rsidRPr="00F91BDD" w:rsidRDefault="00891F37" w:rsidP="00795C3E">
      <w:pPr>
        <w:tabs>
          <w:tab w:val="left" w:pos="360"/>
        </w:tabs>
        <w:spacing w:before="120"/>
        <w:rPr>
          <w:rFonts w:cs="Calibri Light"/>
        </w:rPr>
      </w:pPr>
      <w:r>
        <w:rPr>
          <w:rFonts w:cs="Calibri Light"/>
        </w:rPr>
        <w:t xml:space="preserve">A ce titre il convient de rappeler que </w:t>
      </w:r>
      <w:r w:rsidR="00B3088E" w:rsidRPr="00B3088E">
        <w:rPr>
          <w:rFonts w:cs="Calibri Light"/>
        </w:rPr>
        <w:t>le contrôle des cercueils fait partie intégrante des missions de la commune en matière de funérailles et sépultures. À ce titre, il s’agit d’une compétence exercée dans le cadre de l’intérêt public et relevant des tâches normales du service communal.</w:t>
      </w:r>
    </w:p>
    <w:p w14:paraId="2226EA26" w14:textId="77777777" w:rsidR="00795C3E" w:rsidRPr="001C771A" w:rsidRDefault="00795C3E">
      <w:pPr>
        <w:pStyle w:val="Titre4"/>
        <w:numPr>
          <w:ilvl w:val="0"/>
          <w:numId w:val="88"/>
        </w:numPr>
      </w:pPr>
      <w:bookmarkStart w:id="989" w:name="_Toc40185507"/>
      <w:bookmarkStart w:id="990" w:name="_Toc40186242"/>
      <w:bookmarkStart w:id="991" w:name="_Toc40185508"/>
      <w:bookmarkStart w:id="992" w:name="_Toc40186243"/>
      <w:bookmarkStart w:id="993" w:name="_Toc143779153"/>
      <w:bookmarkStart w:id="994" w:name="_Toc208420055"/>
      <w:bookmarkEnd w:id="989"/>
      <w:bookmarkEnd w:id="990"/>
      <w:bookmarkEnd w:id="991"/>
      <w:bookmarkEnd w:id="992"/>
      <w:r w:rsidRPr="001C771A">
        <w:t>Mariage et cohabitation légale :</w:t>
      </w:r>
      <w:bookmarkEnd w:id="993"/>
      <w:bookmarkEnd w:id="994"/>
      <w:r w:rsidRPr="001C771A">
        <w:t xml:space="preserve"> </w:t>
      </w:r>
    </w:p>
    <w:p w14:paraId="49F1833A" w14:textId="77777777" w:rsidR="00795C3E" w:rsidRPr="00F91BDD" w:rsidRDefault="00795C3E" w:rsidP="00795C3E">
      <w:pPr>
        <w:tabs>
          <w:tab w:val="left" w:pos="360"/>
        </w:tabs>
        <w:spacing w:before="120"/>
        <w:rPr>
          <w:rFonts w:cs="Calibri Light"/>
        </w:rPr>
      </w:pPr>
      <w:r w:rsidRPr="00F91BDD">
        <w:rPr>
          <w:rFonts w:cs="Calibri Light"/>
        </w:rPr>
        <w:t xml:space="preserve">Par la création de la Banque de Données des Actes d’État-Civil (BAEC), la loi du 18 juin 2018 entend moderniser, informatiser et simplifier l’état-civil en centralisant dans un unique registre et sous forme électronique, l’ensemble des registres d’actes de l’état-civil établis par les différentes communes belges. Cela concerne tant les nouveaux actes que les actes établis avant l’entrée en vigueur de ladite loi. </w:t>
      </w:r>
    </w:p>
    <w:p w14:paraId="51443697" w14:textId="77777777" w:rsidR="00795C3E" w:rsidRPr="00F91BDD" w:rsidRDefault="00795C3E" w:rsidP="00795C3E">
      <w:pPr>
        <w:tabs>
          <w:tab w:val="left" w:pos="360"/>
        </w:tabs>
        <w:spacing w:before="120"/>
        <w:rPr>
          <w:rFonts w:cs="Calibri Light"/>
        </w:rPr>
      </w:pPr>
      <w:r w:rsidRPr="00F91BDD">
        <w:rPr>
          <w:rFonts w:cs="Calibri Light"/>
        </w:rPr>
        <w:lastRenderedPageBreak/>
        <w:t>Par conséquent, de part cette informatisation, la délivrance d’un carnet de mariage n’existe plus en pratique.</w:t>
      </w:r>
    </w:p>
    <w:p w14:paraId="40EF159F" w14:textId="77777777" w:rsidR="00795C3E" w:rsidRPr="00F91BDD" w:rsidRDefault="00795C3E" w:rsidP="00795C3E">
      <w:pPr>
        <w:tabs>
          <w:tab w:val="left" w:pos="360"/>
        </w:tabs>
        <w:spacing w:before="120"/>
        <w:rPr>
          <w:rFonts w:cs="Calibri Light"/>
        </w:rPr>
      </w:pPr>
      <w:r w:rsidRPr="00F91BDD">
        <w:rPr>
          <w:rFonts w:cs="Calibri Light"/>
        </w:rPr>
        <w:t xml:space="preserve">Toutefois, la commune peut toujours prévoir une redevance pour couvrir les frais administratifs liés au traitement des demandes de mariage ou de cohabitation légale. Le taux de celle-ci doit être établi sur base d'un décompte des frais réels engagés. </w:t>
      </w:r>
    </w:p>
    <w:p w14:paraId="2F1D5BA4" w14:textId="06A87C72" w:rsidR="00795C3E" w:rsidRPr="00F91BDD" w:rsidRDefault="00795C3E" w:rsidP="00795C3E">
      <w:pPr>
        <w:tabs>
          <w:tab w:val="left" w:pos="360"/>
        </w:tabs>
        <w:spacing w:before="120"/>
        <w:rPr>
          <w:rFonts w:cs="Calibri Light"/>
        </w:rPr>
      </w:pPr>
      <w:r w:rsidRPr="00F91BDD">
        <w:rPr>
          <w:rFonts w:cs="Calibri Light"/>
        </w:rPr>
        <w:t xml:space="preserve">Lorsque la commune instaure un taux forfaitaire, le taux maximum recommandé est de 50,00 </w:t>
      </w:r>
      <w:r w:rsidR="003A3AA1" w:rsidRPr="00F91BDD">
        <w:rPr>
          <w:rFonts w:cs="Calibri Light"/>
        </w:rPr>
        <w:t>euros pour</w:t>
      </w:r>
      <w:r w:rsidRPr="00F91BDD">
        <w:rPr>
          <w:rFonts w:cs="Calibri Light"/>
        </w:rPr>
        <w:t xml:space="preserve"> le traitement des demandes.</w:t>
      </w:r>
    </w:p>
    <w:p w14:paraId="1451651E" w14:textId="77777777" w:rsidR="00795C3E" w:rsidRPr="00F91BDD" w:rsidRDefault="00795C3E" w:rsidP="00795C3E">
      <w:pPr>
        <w:tabs>
          <w:tab w:val="left" w:pos="360"/>
        </w:tabs>
        <w:spacing w:before="120"/>
        <w:rPr>
          <w:rFonts w:cs="Calibri Light"/>
        </w:rPr>
      </w:pPr>
      <w:r w:rsidRPr="00F91BDD">
        <w:rPr>
          <w:rFonts w:cs="Calibri Light"/>
        </w:rPr>
        <w:t>La commune peut également prévoir une redevance pour la délivrance d’un carnet de mariage sur demande expresse des futurs mariés et cela afin qu’ils conservent un souvenir.</w:t>
      </w:r>
    </w:p>
    <w:p w14:paraId="11A0EEC4" w14:textId="77777777" w:rsidR="00795C3E" w:rsidRPr="00F91BDD" w:rsidRDefault="00795C3E" w:rsidP="00795C3E">
      <w:pPr>
        <w:tabs>
          <w:tab w:val="left" w:pos="360"/>
        </w:tabs>
        <w:spacing w:before="120"/>
        <w:rPr>
          <w:rFonts w:cs="Calibri Light"/>
        </w:rPr>
      </w:pPr>
      <w:r w:rsidRPr="00F91BDD">
        <w:rPr>
          <w:rFonts w:cs="Calibri Light"/>
        </w:rPr>
        <w:t>Enfin, permettez-moi de vous rappeler l’article 165/1 alinéa 2 et 3 de l’ancien Code civil qui permet au Conseil communal d’une part de désigner, sur le territoire de la commune, d’autres lieux publics à caractère neutre pour célébrer les mariages</w:t>
      </w:r>
      <w:r>
        <w:rPr>
          <w:rFonts w:cs="Calibri Light"/>
        </w:rPr>
        <w:t xml:space="preserve"> </w:t>
      </w:r>
      <w:r w:rsidRPr="00F91BDD">
        <w:rPr>
          <w:rFonts w:cs="Calibri Light"/>
        </w:rPr>
        <w:t>et d’autre part d’autoriser à célébrer les mariages les dimanches et/ou jours fériés</w:t>
      </w:r>
    </w:p>
    <w:p w14:paraId="65F497E3" w14:textId="77777777" w:rsidR="00795C3E" w:rsidRPr="00F91BDD" w:rsidRDefault="00795C3E" w:rsidP="00795C3E">
      <w:pPr>
        <w:tabs>
          <w:tab w:val="left" w:pos="360"/>
        </w:tabs>
        <w:spacing w:before="120"/>
        <w:rPr>
          <w:rFonts w:eastAsia="Calibri" w:cs="Calibri"/>
        </w:rPr>
      </w:pPr>
      <w:r w:rsidRPr="00F91BDD">
        <w:rPr>
          <w:rFonts w:cs="Calibri Light"/>
        </w:rPr>
        <w:t xml:space="preserve">Concernant l’autorisation de célébrer les mariages les dimanches et/ou jours fériés, les travaux préparatoires de la loi du 23 mars 2019 </w:t>
      </w:r>
      <w:r w:rsidRPr="00F91BDD">
        <w:rPr>
          <w:rFonts w:eastAsia="Calibri" w:cs="Calibri"/>
        </w:rPr>
        <w:t xml:space="preserve">modifiant le Code civil afin d’autoriser la célébration des mariages les dimanches et/ou jours fériés précise que : “ La proposition est rédigée de manière telle que la dérogation accordée par le conseil communal peut être générale (tous les dimanches et/ou jours fériés) ou spécifique (pour un mariage précis).”. </w:t>
      </w:r>
    </w:p>
    <w:p w14:paraId="7373D2A0" w14:textId="77777777" w:rsidR="00795C3E" w:rsidRPr="00F91BDD" w:rsidRDefault="00795C3E" w:rsidP="00795C3E">
      <w:pPr>
        <w:tabs>
          <w:tab w:val="left" w:pos="360"/>
        </w:tabs>
        <w:spacing w:before="120"/>
        <w:rPr>
          <w:rFonts w:eastAsia="Calibri" w:cs="Calibri"/>
        </w:rPr>
      </w:pPr>
      <w:r w:rsidRPr="00F91BDD">
        <w:rPr>
          <w:rFonts w:eastAsia="Calibri" w:cs="Calibri"/>
        </w:rPr>
        <w:t>Concernant la désignation</w:t>
      </w:r>
      <w:r w:rsidRPr="00F91BDD">
        <w:rPr>
          <w:rFonts w:cs="Calibri Light"/>
        </w:rPr>
        <w:t xml:space="preserve"> par le Conseil, sur le territoire de la commune, d’autres lieux publics à caractère neutre pour célébrer les mariages</w:t>
      </w:r>
      <w:r w:rsidRPr="00F91BDD">
        <w:rPr>
          <w:rFonts w:eastAsia="Calibri" w:cs="Calibri"/>
        </w:rPr>
        <w:t>, les travaux préparatoires précisent que :  “Étant donné qu’il doit s’agir d’un lieu public, il n’est pas possible de désigner un lieu de célébration du mariage dans des lieux privés, comme par exemple un restaurant, une salle de concert ou un jardin privé. Le mariage doit aussi toujours être célébré sur le territoire de la commune du domicile d’un des deux futurs époux. .... Les communes sont plus à même de déterminer quels lieux de leur commune sont appropriés pour y célébrer des mariages et s’il s’agit de lieux publics qui remplissent la condition de neutralité. En cas de doute, la commune peut demander l’avis du procureur du Roi compétent (lequel, conformément à l’article 191 de l’ancien Code civil, peut annuler tout mariage qui n’a pas été contracté publiquement).”</w:t>
      </w:r>
    </w:p>
    <w:p w14:paraId="3D644B4C" w14:textId="77777777" w:rsidR="00795C3E" w:rsidRDefault="00795C3E" w:rsidP="00795C3E">
      <w:pPr>
        <w:tabs>
          <w:tab w:val="left" w:pos="360"/>
        </w:tabs>
        <w:spacing w:before="120"/>
        <w:rPr>
          <w:rFonts w:eastAsia="Calibri" w:cs="Calibri"/>
        </w:rPr>
      </w:pPr>
      <w:r w:rsidRPr="00F91BDD">
        <w:rPr>
          <w:rFonts w:eastAsia="Calibri" w:cs="Calibri"/>
        </w:rPr>
        <w:t>Afin de respecter l’article 165/1 de l’Ancien Code civil, si le pouvoir local désire célébrer des mariages les jours fériés et/ou dimanche et/ou dans d’autres lieux publics neutres, une décision du Conseil doit être votée.</w:t>
      </w:r>
    </w:p>
    <w:p w14:paraId="1387DB9E" w14:textId="7AE84585" w:rsidR="00864B85" w:rsidRDefault="00DF48E1">
      <w:pPr>
        <w:pStyle w:val="Titre4"/>
        <w:numPr>
          <w:ilvl w:val="0"/>
          <w:numId w:val="88"/>
        </w:numPr>
      </w:pPr>
      <w:r>
        <w:t>Dossier d’acquisition de la nationalité belge</w:t>
      </w:r>
    </w:p>
    <w:p w14:paraId="71BB700F" w14:textId="5938E0A3" w:rsidR="007F4ED6" w:rsidRPr="00537919" w:rsidRDefault="007F4ED6" w:rsidP="00482E3E">
      <w:pPr>
        <w:spacing w:after="0"/>
      </w:pPr>
      <w:r>
        <w:t>La naturalisation d’un citoyen n’est pas une compétence communale. Toutefois, le traitement de dossier d’acquisition de la nationalité belge peut faire l’objet d’une redevance</w:t>
      </w:r>
      <w:r w:rsidR="00537919">
        <w:t xml:space="preserve"> et l</w:t>
      </w:r>
      <w:r w:rsidRPr="00F91BDD">
        <w:rPr>
          <w:rFonts w:cs="Calibri Light"/>
        </w:rPr>
        <w:t xml:space="preserve">e taux de celle-ci doit être établi sur base d'un décompte des frais réels engagés. </w:t>
      </w:r>
    </w:p>
    <w:p w14:paraId="460BB153" w14:textId="316AEA9B" w:rsidR="007F4ED6" w:rsidRDefault="007F4ED6" w:rsidP="002D501D">
      <w:pPr>
        <w:tabs>
          <w:tab w:val="left" w:pos="360"/>
        </w:tabs>
        <w:spacing w:after="0"/>
        <w:rPr>
          <w:rFonts w:cs="Calibri Light"/>
        </w:rPr>
      </w:pPr>
      <w:r w:rsidRPr="00F91BDD">
        <w:rPr>
          <w:rFonts w:cs="Calibri Light"/>
        </w:rPr>
        <w:t>Lorsque la commune instaure un taux forfaitaire, le taux maximum recommandé est de 50,00 euros pour le traitement des demandes.</w:t>
      </w:r>
    </w:p>
    <w:p w14:paraId="24CAF69D" w14:textId="77777777" w:rsidR="002D501D" w:rsidRPr="002D501D" w:rsidRDefault="002D501D" w:rsidP="002D501D">
      <w:pPr>
        <w:tabs>
          <w:tab w:val="left" w:pos="360"/>
        </w:tabs>
        <w:spacing w:after="0"/>
        <w:rPr>
          <w:rFonts w:cs="Calibri Light"/>
        </w:rPr>
      </w:pPr>
    </w:p>
    <w:p w14:paraId="4BA97029" w14:textId="77777777" w:rsidR="00795C3E" w:rsidRPr="001C771A" w:rsidRDefault="00795C3E">
      <w:pPr>
        <w:pStyle w:val="Titre4"/>
        <w:numPr>
          <w:ilvl w:val="0"/>
          <w:numId w:val="88"/>
        </w:numPr>
      </w:pPr>
      <w:bookmarkStart w:id="995" w:name="_Toc40185513"/>
      <w:bookmarkStart w:id="996" w:name="_Toc40186248"/>
      <w:bookmarkStart w:id="997" w:name="_Toc40185514"/>
      <w:bookmarkStart w:id="998" w:name="_Toc40186249"/>
      <w:bookmarkStart w:id="999" w:name="_Toc40185515"/>
      <w:bookmarkStart w:id="1000" w:name="_Toc40186250"/>
      <w:bookmarkStart w:id="1001" w:name="_Toc40185516"/>
      <w:bookmarkStart w:id="1002" w:name="_Toc40186251"/>
      <w:bookmarkStart w:id="1003" w:name="_Toc143779154"/>
      <w:bookmarkStart w:id="1004" w:name="_Toc208420056"/>
      <w:bookmarkEnd w:id="995"/>
      <w:bookmarkEnd w:id="996"/>
      <w:bookmarkEnd w:id="997"/>
      <w:bookmarkEnd w:id="998"/>
      <w:bookmarkEnd w:id="999"/>
      <w:bookmarkEnd w:id="1000"/>
      <w:bookmarkEnd w:id="1001"/>
      <w:bookmarkEnd w:id="1002"/>
      <w:r w:rsidRPr="001C771A">
        <w:lastRenderedPageBreak/>
        <w:t>Permis de Location</w:t>
      </w:r>
      <w:bookmarkStart w:id="1005" w:name="_Hlk128465866"/>
      <w:bookmarkEnd w:id="1003"/>
      <w:bookmarkEnd w:id="1004"/>
      <w:r w:rsidRPr="001C771A">
        <w:t xml:space="preserve">  </w:t>
      </w:r>
    </w:p>
    <w:p w14:paraId="3E40AEA9" w14:textId="77777777" w:rsidR="00795C3E" w:rsidRPr="00F91BDD" w:rsidRDefault="00795C3E" w:rsidP="00795C3E">
      <w:pPr>
        <w:tabs>
          <w:tab w:val="left" w:pos="360"/>
        </w:tabs>
        <w:spacing w:before="120"/>
        <w:rPr>
          <w:rFonts w:cs="Calibri Light"/>
        </w:rPr>
      </w:pPr>
      <w:r w:rsidRPr="00F91BDD">
        <w:rPr>
          <w:rFonts w:cs="Calibri Light"/>
        </w:rPr>
        <w:t>L'arrêté du Gouvernement wallon du 3 décembre 2020 relatif au permis de location</w:t>
      </w:r>
      <w:r w:rsidRPr="00F91BDD">
        <w:rPr>
          <w:rStyle w:val="Appelnotedebasdep"/>
          <w:rFonts w:cs="Calibri Light"/>
        </w:rPr>
        <w:footnoteReference w:id="80"/>
      </w:r>
      <w:r w:rsidRPr="00F91BDD">
        <w:rPr>
          <w:rFonts w:cs="Calibri Light"/>
        </w:rPr>
        <w:t xml:space="preserve"> dispose, en son article 5, qu'une commune ne peut exiger, du bailleur, pour une enquête menée dans le cadre de l'octroi d'un permis de location, une rémunération qui excède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51"/>
        <w:gridCol w:w="2464"/>
      </w:tblGrid>
      <w:tr w:rsidR="00930623" w:rsidRPr="00F91BDD" w14:paraId="484FC2D0" w14:textId="77777777" w:rsidTr="00930623">
        <w:trPr>
          <w:jc w:val="center"/>
        </w:trPr>
        <w:tc>
          <w:tcPr>
            <w:tcW w:w="4051" w:type="dxa"/>
            <w:tcMar>
              <w:top w:w="0" w:type="dxa"/>
              <w:left w:w="108" w:type="dxa"/>
              <w:bottom w:w="0" w:type="dxa"/>
              <w:right w:w="108" w:type="dxa"/>
            </w:tcMar>
          </w:tcPr>
          <w:p w14:paraId="52795419" w14:textId="77777777" w:rsidR="00930623" w:rsidRPr="00F91BDD" w:rsidRDefault="00930623" w:rsidP="00F323D9">
            <w:pPr>
              <w:tabs>
                <w:tab w:val="left" w:pos="360"/>
              </w:tabs>
              <w:spacing w:before="120"/>
              <w:rPr>
                <w:rFonts w:cs="Calibri Light"/>
              </w:rPr>
            </w:pPr>
          </w:p>
        </w:tc>
        <w:tc>
          <w:tcPr>
            <w:tcW w:w="2464" w:type="dxa"/>
            <w:tcMar>
              <w:top w:w="0" w:type="dxa"/>
              <w:left w:w="108" w:type="dxa"/>
              <w:bottom w:w="0" w:type="dxa"/>
              <w:right w:w="108" w:type="dxa"/>
            </w:tcMar>
            <w:hideMark/>
          </w:tcPr>
          <w:p w14:paraId="139C2098" w14:textId="132189BF" w:rsidR="00930623" w:rsidRPr="00F91BDD" w:rsidRDefault="00930623" w:rsidP="00F323D9">
            <w:pPr>
              <w:tabs>
                <w:tab w:val="left" w:pos="360"/>
              </w:tabs>
              <w:spacing w:before="120"/>
              <w:rPr>
                <w:rFonts w:cs="Calibri Light"/>
              </w:rPr>
            </w:pPr>
            <w:r w:rsidRPr="00F91BDD">
              <w:rPr>
                <w:rFonts w:cs="Calibri Light"/>
              </w:rPr>
              <w:t xml:space="preserve">Montant de base </w:t>
            </w:r>
          </w:p>
        </w:tc>
      </w:tr>
      <w:tr w:rsidR="00930623" w:rsidRPr="004D0FF9" w14:paraId="132662DD" w14:textId="77777777" w:rsidTr="00930623">
        <w:trPr>
          <w:trHeight w:val="721"/>
          <w:jc w:val="center"/>
        </w:trPr>
        <w:tc>
          <w:tcPr>
            <w:tcW w:w="4051" w:type="dxa"/>
            <w:tcMar>
              <w:top w:w="0" w:type="dxa"/>
              <w:left w:w="108" w:type="dxa"/>
              <w:bottom w:w="0" w:type="dxa"/>
              <w:right w:w="108" w:type="dxa"/>
            </w:tcMar>
            <w:hideMark/>
          </w:tcPr>
          <w:p w14:paraId="36F18625" w14:textId="77777777" w:rsidR="00930623" w:rsidRPr="004D0FF9" w:rsidRDefault="00930623">
            <w:pPr>
              <w:numPr>
                <w:ilvl w:val="0"/>
                <w:numId w:val="22"/>
              </w:numPr>
              <w:tabs>
                <w:tab w:val="left" w:pos="360"/>
              </w:tabs>
              <w:spacing w:before="120" w:after="120" w:line="240" w:lineRule="auto"/>
              <w:rPr>
                <w:rFonts w:cs="Calibri Light"/>
              </w:rPr>
            </w:pPr>
            <w:r w:rsidRPr="004D0FF9">
              <w:rPr>
                <w:rFonts w:cs="Calibri Light"/>
              </w:rPr>
              <w:t>en cas de logement individuel</w:t>
            </w:r>
          </w:p>
        </w:tc>
        <w:tc>
          <w:tcPr>
            <w:tcW w:w="2464" w:type="dxa"/>
            <w:tcMar>
              <w:top w:w="0" w:type="dxa"/>
              <w:left w:w="108" w:type="dxa"/>
              <w:bottom w:w="0" w:type="dxa"/>
              <w:right w:w="108" w:type="dxa"/>
            </w:tcMar>
            <w:hideMark/>
          </w:tcPr>
          <w:p w14:paraId="6AB41873" w14:textId="77777777" w:rsidR="00930623" w:rsidRPr="004D0FF9" w:rsidRDefault="00930623" w:rsidP="00F323D9">
            <w:pPr>
              <w:tabs>
                <w:tab w:val="left" w:pos="360"/>
              </w:tabs>
              <w:spacing w:before="120"/>
              <w:jc w:val="right"/>
              <w:rPr>
                <w:rFonts w:cs="Calibri Light"/>
              </w:rPr>
            </w:pPr>
            <w:r w:rsidRPr="004D0FF9">
              <w:rPr>
                <w:rFonts w:cs="Calibri Light"/>
              </w:rPr>
              <w:t>125,00 euros</w:t>
            </w:r>
          </w:p>
        </w:tc>
      </w:tr>
      <w:tr w:rsidR="00930623" w:rsidRPr="004D0FF9" w14:paraId="76A194D4" w14:textId="77777777" w:rsidTr="00930623">
        <w:trPr>
          <w:trHeight w:val="1408"/>
          <w:jc w:val="center"/>
        </w:trPr>
        <w:tc>
          <w:tcPr>
            <w:tcW w:w="4051" w:type="dxa"/>
            <w:tcMar>
              <w:top w:w="0" w:type="dxa"/>
              <w:left w:w="108" w:type="dxa"/>
              <w:bottom w:w="0" w:type="dxa"/>
              <w:right w:w="108" w:type="dxa"/>
            </w:tcMar>
            <w:hideMark/>
          </w:tcPr>
          <w:p w14:paraId="42AB79FF" w14:textId="77777777" w:rsidR="00930623" w:rsidRPr="004D0FF9" w:rsidRDefault="00930623">
            <w:pPr>
              <w:numPr>
                <w:ilvl w:val="0"/>
                <w:numId w:val="22"/>
              </w:numPr>
              <w:tabs>
                <w:tab w:val="left" w:pos="360"/>
              </w:tabs>
              <w:spacing w:before="120" w:after="120" w:line="240" w:lineRule="auto"/>
              <w:rPr>
                <w:rFonts w:cs="Calibri Light"/>
              </w:rPr>
            </w:pPr>
            <w:r w:rsidRPr="004D0FF9">
              <w:rPr>
                <w:rFonts w:cs="Calibri Light"/>
              </w:rPr>
              <w:t>en cas de logement collectif</w:t>
            </w:r>
          </w:p>
        </w:tc>
        <w:tc>
          <w:tcPr>
            <w:tcW w:w="2464" w:type="dxa"/>
            <w:tcMar>
              <w:top w:w="0" w:type="dxa"/>
              <w:left w:w="108" w:type="dxa"/>
              <w:bottom w:w="0" w:type="dxa"/>
              <w:right w:w="108" w:type="dxa"/>
            </w:tcMar>
            <w:hideMark/>
          </w:tcPr>
          <w:p w14:paraId="477410F1" w14:textId="77777777" w:rsidR="00930623" w:rsidRPr="004D0FF9" w:rsidRDefault="00930623" w:rsidP="00F323D9">
            <w:pPr>
              <w:tabs>
                <w:tab w:val="left" w:pos="360"/>
              </w:tabs>
              <w:spacing w:before="120"/>
              <w:jc w:val="right"/>
              <w:rPr>
                <w:rFonts w:cs="Calibri Light"/>
              </w:rPr>
            </w:pPr>
            <w:r w:rsidRPr="004D0FF9">
              <w:rPr>
                <w:rFonts w:cs="Calibri Light"/>
              </w:rPr>
              <w:t>125,00 euros</w:t>
            </w:r>
          </w:p>
          <w:p w14:paraId="4ABAB734" w14:textId="77777777" w:rsidR="00930623" w:rsidRPr="004D0FF9" w:rsidRDefault="00930623" w:rsidP="00F323D9">
            <w:pPr>
              <w:tabs>
                <w:tab w:val="left" w:pos="360"/>
              </w:tabs>
              <w:spacing w:before="120"/>
              <w:rPr>
                <w:rFonts w:cs="Calibri Light"/>
              </w:rPr>
            </w:pPr>
            <w:r w:rsidRPr="004D0FF9">
              <w:rPr>
                <w:rFonts w:cs="Calibri Light"/>
              </w:rPr>
              <w:t>à majorer de 25,00 euros par pièce d'habitation à usage individuel</w:t>
            </w:r>
          </w:p>
        </w:tc>
      </w:tr>
    </w:tbl>
    <w:p w14:paraId="2FD77B82" w14:textId="2DB7B977" w:rsidR="00795C3E" w:rsidRPr="004D0FF9" w:rsidRDefault="00795C3E" w:rsidP="00795C3E">
      <w:pPr>
        <w:tabs>
          <w:tab w:val="left" w:pos="360"/>
        </w:tabs>
        <w:spacing w:before="120"/>
        <w:rPr>
          <w:rFonts w:cs="Calibri Light"/>
        </w:rPr>
      </w:pPr>
      <w:r w:rsidRPr="004D0FF9">
        <w:rPr>
          <w:rFonts w:cs="Calibri Light"/>
        </w:rPr>
        <w:t>Ces montants sont rattachés à l'indice des prix à la consommation de septembre 2003 (80,48 à l’indice 2013) et sont indexés le 1</w:t>
      </w:r>
      <w:r w:rsidRPr="004D0FF9">
        <w:rPr>
          <w:rFonts w:cs="Calibri Light"/>
          <w:vertAlign w:val="superscript"/>
        </w:rPr>
        <w:t>er</w:t>
      </w:r>
      <w:r w:rsidRPr="004D0FF9">
        <w:rPr>
          <w:rFonts w:cs="Calibri Light"/>
        </w:rPr>
        <w:t xml:space="preserve"> janvier de chaque année sur la base de l'indice des prix à la consommation du mois de septembre de l'année précédente.</w:t>
      </w:r>
      <w:r w:rsidRPr="004D0FF9">
        <w:t xml:space="preserve"> </w:t>
      </w:r>
      <w:r w:rsidRPr="004D0FF9">
        <w:rPr>
          <w:rFonts w:cs="Calibri Light"/>
        </w:rPr>
        <w:t xml:space="preserve">L’indice de septembre </w:t>
      </w:r>
      <w:r w:rsidR="00BF0E04" w:rsidRPr="00C3284C">
        <w:rPr>
          <w:rFonts w:cs="Calibri Light"/>
        </w:rPr>
        <w:t>2026</w:t>
      </w:r>
      <w:r w:rsidR="00BF0E04" w:rsidRPr="004D0FF9">
        <w:rPr>
          <w:rFonts w:cs="Calibri Light"/>
        </w:rPr>
        <w:t xml:space="preserve"> </w:t>
      </w:r>
      <w:r w:rsidRPr="004D0FF9">
        <w:rPr>
          <w:rFonts w:cs="Calibri Light"/>
        </w:rPr>
        <w:t xml:space="preserve">pas encore connu au moment de la rédaction de la présente, il conviendra d’en tenir compte pour connaître le montant maximum pour </w:t>
      </w:r>
      <w:r w:rsidR="00BF0E04" w:rsidRPr="00C3284C">
        <w:rPr>
          <w:rFonts w:cs="Calibri Light"/>
        </w:rPr>
        <w:t>2027</w:t>
      </w:r>
      <w:r w:rsidRPr="004D0FF9">
        <w:rPr>
          <w:rFonts w:cs="Calibri Light"/>
        </w:rPr>
        <w:t>.</w:t>
      </w:r>
    </w:p>
    <w:p w14:paraId="78A9F2AE" w14:textId="77777777" w:rsidR="00795C3E" w:rsidRPr="00F91BDD" w:rsidRDefault="00795C3E" w:rsidP="00795C3E">
      <w:pPr>
        <w:spacing w:before="120"/>
        <w:rPr>
          <w:rFonts w:cstheme="minorHAnsi"/>
          <w:bCs/>
        </w:rPr>
      </w:pPr>
      <w:r w:rsidRPr="00F91BDD">
        <w:rPr>
          <w:rFonts w:cstheme="minorHAnsi"/>
          <w:bCs/>
        </w:rPr>
        <w:t xml:space="preserve">Avant cette modification de l’arrêté du Gouvernement wallon du 3 juin 2004, les enquêtes étaient effectuées au sein de la commune exclusivement par un enquêteur privé. De ce fait, les enquêtes n’étaient donc pas effectuées par un enquêteur communal agréé. </w:t>
      </w:r>
    </w:p>
    <w:p w14:paraId="2ACFEFDA" w14:textId="77777777" w:rsidR="00795C3E" w:rsidRPr="00F91BDD" w:rsidRDefault="00795C3E" w:rsidP="00795C3E">
      <w:pPr>
        <w:spacing w:before="120"/>
        <w:rPr>
          <w:rFonts w:cstheme="minorHAnsi"/>
          <w:bCs/>
        </w:rPr>
      </w:pPr>
      <w:r w:rsidRPr="00F91BDD">
        <w:rPr>
          <w:rFonts w:cstheme="minorHAnsi"/>
          <w:bCs/>
        </w:rPr>
        <w:t xml:space="preserve">Afin de tenir compte de cette réalité, il faut maintenant faire une distinction entre </w:t>
      </w:r>
    </w:p>
    <w:p w14:paraId="063154BE" w14:textId="77777777" w:rsidR="00795C3E" w:rsidRPr="00F91BDD" w:rsidRDefault="00795C3E">
      <w:pPr>
        <w:numPr>
          <w:ilvl w:val="0"/>
          <w:numId w:val="36"/>
        </w:numPr>
        <w:spacing w:before="120" w:after="120" w:line="240" w:lineRule="auto"/>
        <w:rPr>
          <w:rFonts w:cstheme="minorHAnsi"/>
          <w:bCs/>
        </w:rPr>
      </w:pPr>
      <w:r w:rsidRPr="00F91BDD">
        <w:rPr>
          <w:rFonts w:cstheme="minorHAnsi"/>
          <w:bCs/>
        </w:rPr>
        <w:t>L’enquête qui est effectuée par un fonctionnaire communal :  dans ce cas, les taux doivent être conformes à l’arrêté du gouvernement du 3 décembre 2020 précité. Etant donné que l’enquête est effectuée par un fonctionnaire communal agréé, le coût administratif de l’analyse des documents est inclus dans les taux établis ;</w:t>
      </w:r>
    </w:p>
    <w:p w14:paraId="2D8CA8A2" w14:textId="4AE0C2C5" w:rsidR="00795C3E" w:rsidRPr="00F91BDD" w:rsidRDefault="00795C3E">
      <w:pPr>
        <w:numPr>
          <w:ilvl w:val="0"/>
          <w:numId w:val="36"/>
        </w:numPr>
        <w:spacing w:before="120" w:after="120" w:line="240" w:lineRule="auto"/>
      </w:pPr>
      <w:r w:rsidRPr="00F91BDD">
        <w:t xml:space="preserve">L’enquête est effectuée par un enquêteur privé agréé, dans ce cas, seul le coût administratif de la délivrance du permis de location peut être exigé au redevable (maximum 30 euros ) puisque la commune ne fait que vérifier l’ensemble des documents remis par le demandeur afin d’octroyer (ou non) le permis. </w:t>
      </w:r>
    </w:p>
    <w:p w14:paraId="082E1DC1" w14:textId="77777777" w:rsidR="00795C3E" w:rsidRPr="00F91BDD" w:rsidRDefault="00795C3E" w:rsidP="00795C3E">
      <w:pPr>
        <w:spacing w:before="120"/>
        <w:rPr>
          <w:rFonts w:cstheme="minorHAnsi"/>
          <w:bCs/>
        </w:rPr>
      </w:pPr>
      <w:r w:rsidRPr="00F91BDD">
        <w:rPr>
          <w:rFonts w:cstheme="minorHAnsi"/>
          <w:bCs/>
        </w:rPr>
        <w:t>Pour plus d’information sur le permis de location, il y a lieu de consulter le site du SPW-ARNE à l’adresse suivante :</w:t>
      </w:r>
    </w:p>
    <w:p w14:paraId="6C3832DA" w14:textId="77777777" w:rsidR="00795C3E" w:rsidRPr="008F4812" w:rsidRDefault="00795C3E" w:rsidP="00795C3E">
      <w:pPr>
        <w:spacing w:before="120"/>
        <w:rPr>
          <w:rFonts w:ascii="Arial" w:hAnsi="Arial" w:cs="Arial"/>
          <w:bCs/>
        </w:rPr>
      </w:pPr>
      <w:hyperlink r:id="rId15" w:history="1">
        <w:r w:rsidRPr="00F91BDD">
          <w:rPr>
            <w:rStyle w:val="Lienhypertexte"/>
            <w:rFonts w:cstheme="minorHAnsi"/>
            <w:bCs/>
          </w:rPr>
          <w:t>http://lampspw.wallonie.be/dgo4/site_logement//site/divers?page=location</w:t>
        </w:r>
      </w:hyperlink>
      <w:bookmarkEnd w:id="1005"/>
    </w:p>
    <w:p w14:paraId="4303C8CF" w14:textId="77777777" w:rsidR="00795C3E" w:rsidRPr="008F4812" w:rsidRDefault="00795C3E">
      <w:pPr>
        <w:pStyle w:val="Titre4"/>
        <w:numPr>
          <w:ilvl w:val="0"/>
          <w:numId w:val="88"/>
        </w:numPr>
      </w:pPr>
      <w:bookmarkStart w:id="1006" w:name="_Toc143779155"/>
      <w:bookmarkStart w:id="1007" w:name="_Toc208420057"/>
      <w:r w:rsidRPr="008F4812">
        <w:lastRenderedPageBreak/>
        <w:t>Publicité de l’administration – délivrance d’une copie d’un acte administratif (Obligatoirement sous forme de redevance)</w:t>
      </w:r>
      <w:bookmarkEnd w:id="1006"/>
      <w:bookmarkEnd w:id="1007"/>
    </w:p>
    <w:p w14:paraId="033B9188" w14:textId="77777777" w:rsidR="00795C3E" w:rsidRPr="00F91BDD" w:rsidRDefault="00795C3E" w:rsidP="00795C3E">
      <w:pPr>
        <w:tabs>
          <w:tab w:val="left" w:pos="360"/>
        </w:tabs>
        <w:spacing w:before="120"/>
        <w:rPr>
          <w:rFonts w:cs="Calibri Light"/>
        </w:rPr>
      </w:pPr>
      <w:r w:rsidRPr="00F91BDD">
        <w:rPr>
          <w:rFonts w:cs="Calibri Light"/>
        </w:rPr>
        <w:t>Cette matière est régie par les articles L3211-1 à L3231-9 du CDLD mais ceux-ci se contentent de préciser que la copie doit être délivrée au prix coûtant.</w:t>
      </w:r>
    </w:p>
    <w:p w14:paraId="1F4ACA34" w14:textId="77777777" w:rsidR="00795C3E" w:rsidRPr="00F91BDD" w:rsidRDefault="00795C3E" w:rsidP="00795C3E">
      <w:pPr>
        <w:tabs>
          <w:tab w:val="left" w:pos="360"/>
        </w:tabs>
        <w:spacing w:before="120"/>
        <w:rPr>
          <w:rFonts w:cs="Calibri Light"/>
        </w:rPr>
      </w:pPr>
      <w:r w:rsidRPr="00F91BDD">
        <w:rPr>
          <w:rFonts w:cs="Calibri Light"/>
        </w:rPr>
        <w:t xml:space="preserve">Il est habituellement admis que ce coût comprend le prix de revient de la copie, à savoir le coût du papier, l'amortissement et l'entretien de la machine et, le cas échéant, les frais d'envoi, mais ne comprend ni les frais de personnel, ni les frais de recherche des documents, ni les frais engendrés pour la tenue de la base de données, ces frais étant inhérents au fonctionnement du service public. Ainsi, il n’est pas possible de réclamer le paiement d'une redevance couvrant les heures de prestations de travail d'un agent communal sauf dans des cas exceptionnels, par exemple, quand il faut immobiliser un membre du personnel pendant toute la journée à cause de la quantité de photocopies à faire. </w:t>
      </w:r>
    </w:p>
    <w:p w14:paraId="133BDE6C" w14:textId="77777777" w:rsidR="00795C3E" w:rsidRPr="00F91BDD" w:rsidRDefault="00795C3E" w:rsidP="00795C3E">
      <w:pPr>
        <w:tabs>
          <w:tab w:val="left" w:pos="360"/>
        </w:tabs>
        <w:spacing w:before="120"/>
        <w:rPr>
          <w:rFonts w:cs="Calibri Light"/>
        </w:rPr>
      </w:pPr>
      <w:r w:rsidRPr="00F91BDD">
        <w:rPr>
          <w:rFonts w:cs="Calibri Light"/>
        </w:rPr>
        <w:t>En aucun cas, la rétribution demandée ne peut avoir pour but d’entraver la publicité et elle ne peut donc être dissuasive.″.</w:t>
      </w:r>
    </w:p>
    <w:p w14:paraId="7AD0A22F" w14:textId="77777777" w:rsidR="00795C3E" w:rsidRPr="00F91BDD" w:rsidRDefault="00795C3E" w:rsidP="00795C3E">
      <w:pPr>
        <w:tabs>
          <w:tab w:val="left" w:pos="360"/>
        </w:tabs>
        <w:spacing w:before="120"/>
        <w:rPr>
          <w:rFonts w:cs="Calibri Light"/>
        </w:rPr>
      </w:pPr>
      <w:r w:rsidRPr="00F91BDD">
        <w:rPr>
          <w:rFonts w:cs="Calibri Light"/>
        </w:rPr>
        <w:t>Le point de référence pour apprécier le prix coûtant est le montant de la rétribution qui peut être réclamée à l'occasion de la délivrance d'une copie d'un document administratif en application du décret du 30 mars 1995 relatif à la publicité de l'administration, lesquels montants ne peuvent être supérieurs au prix coûtant</w:t>
      </w:r>
      <w:r w:rsidRPr="00F91BDD">
        <w:rPr>
          <w:rStyle w:val="Appelnotedebasdep"/>
          <w:rFonts w:cs="Calibri Light"/>
        </w:rPr>
        <w:footnoteReference w:id="81"/>
      </w:r>
      <w:r w:rsidRPr="00F91BDD">
        <w:rPr>
          <w:rFonts w:cs="Calibri Light"/>
        </w:rPr>
        <w:t xml:space="preserve">. En vertu de l'article 3, 1° à 5°, de l'arrêté du gouvernement wallon du 9 juillet 1998 fixant les modèles de documents à utiliser et le montant de la rétribution à réclamer, le prix de la photocopie sur les documents suivants est fixé comme suit : </w:t>
      </w:r>
    </w:p>
    <w:p w14:paraId="30EAD3D2" w14:textId="77777777" w:rsidR="00795C3E" w:rsidRPr="00F91BDD" w:rsidRDefault="00795C3E" w:rsidP="00795C3E">
      <w:pPr>
        <w:tabs>
          <w:tab w:val="left" w:pos="360"/>
          <w:tab w:val="left" w:pos="504"/>
        </w:tabs>
        <w:spacing w:before="120"/>
        <w:ind w:left="567" w:hanging="567"/>
        <w:textAlignment w:val="baseline"/>
        <w:rPr>
          <w:rFonts w:cs="Calibri Light"/>
          <w:sz w:val="10"/>
          <w:szCs w:val="10"/>
        </w:rPr>
      </w:pPr>
    </w:p>
    <w:tbl>
      <w:tblPr>
        <w:tblW w:w="8921" w:type="dxa"/>
        <w:tblInd w:w="242" w:type="dxa"/>
        <w:tblCellMar>
          <w:left w:w="0" w:type="dxa"/>
          <w:right w:w="0" w:type="dxa"/>
        </w:tblCellMar>
        <w:tblLook w:val="04A0" w:firstRow="1" w:lastRow="0" w:firstColumn="1" w:lastColumn="0" w:noHBand="0" w:noVBand="1"/>
      </w:tblPr>
      <w:tblGrid>
        <w:gridCol w:w="5985"/>
        <w:gridCol w:w="2936"/>
      </w:tblGrid>
      <w:tr w:rsidR="00795C3E" w:rsidRPr="00F91BDD" w14:paraId="77800285" w14:textId="77777777" w:rsidTr="00F323D9">
        <w:tc>
          <w:tcPr>
            <w:tcW w:w="5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CCE4C0" w14:textId="77777777" w:rsidR="00795C3E" w:rsidRPr="00F91BDD" w:rsidRDefault="00795C3E" w:rsidP="00F323D9">
            <w:pPr>
              <w:tabs>
                <w:tab w:val="left" w:pos="360"/>
                <w:tab w:val="left" w:pos="504"/>
              </w:tabs>
              <w:spacing w:before="120"/>
              <w:ind w:left="567" w:hanging="567"/>
              <w:textAlignment w:val="baseline"/>
              <w:rPr>
                <w:rFonts w:cs="Calibri Light"/>
                <w:sz w:val="20"/>
                <w:szCs w:val="20"/>
              </w:rPr>
            </w:pPr>
          </w:p>
        </w:tc>
        <w:tc>
          <w:tcPr>
            <w:tcW w:w="29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705BD6" w14:textId="77777777" w:rsidR="00795C3E" w:rsidRPr="00F91BDD" w:rsidRDefault="00795C3E" w:rsidP="00F323D9">
            <w:pPr>
              <w:tabs>
                <w:tab w:val="left" w:pos="360"/>
                <w:tab w:val="left" w:pos="504"/>
              </w:tabs>
              <w:spacing w:before="120"/>
              <w:ind w:left="567" w:hanging="567"/>
              <w:textAlignment w:val="baseline"/>
              <w:rPr>
                <w:rFonts w:cs="Calibri Light"/>
                <w:sz w:val="20"/>
                <w:szCs w:val="20"/>
              </w:rPr>
            </w:pPr>
            <w:r w:rsidRPr="00F91BDD">
              <w:rPr>
                <w:rFonts w:cs="Calibri Light"/>
                <w:sz w:val="20"/>
                <w:szCs w:val="20"/>
              </w:rPr>
              <w:t xml:space="preserve">Prix de la photocopie par page – Pas d’indexation </w:t>
            </w:r>
          </w:p>
        </w:tc>
      </w:tr>
      <w:tr w:rsidR="00795C3E" w:rsidRPr="00F91BDD" w14:paraId="09D9BE02" w14:textId="77777777" w:rsidTr="00F323D9">
        <w:tc>
          <w:tcPr>
            <w:tcW w:w="5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DAA19" w14:textId="77777777" w:rsidR="00795C3E" w:rsidRPr="00F91BDD" w:rsidRDefault="00795C3E">
            <w:pPr>
              <w:numPr>
                <w:ilvl w:val="0"/>
                <w:numId w:val="22"/>
              </w:numPr>
              <w:tabs>
                <w:tab w:val="left" w:pos="360"/>
                <w:tab w:val="left" w:pos="504"/>
              </w:tabs>
              <w:spacing w:before="120" w:after="120" w:line="240" w:lineRule="auto"/>
              <w:textAlignment w:val="baseline"/>
              <w:rPr>
                <w:rFonts w:cs="Calibri Light"/>
                <w:sz w:val="20"/>
                <w:szCs w:val="20"/>
              </w:rPr>
            </w:pPr>
            <w:r w:rsidRPr="00F91BDD">
              <w:rPr>
                <w:rFonts w:cs="Calibri Light"/>
                <w:sz w:val="20"/>
                <w:szCs w:val="20"/>
              </w:rPr>
              <w:t>du papier blanc et impression noire format A4 :</w:t>
            </w:r>
          </w:p>
        </w:tc>
        <w:tc>
          <w:tcPr>
            <w:tcW w:w="2936" w:type="dxa"/>
            <w:tcBorders>
              <w:top w:val="nil"/>
              <w:left w:val="nil"/>
              <w:bottom w:val="single" w:sz="8" w:space="0" w:color="auto"/>
              <w:right w:val="single" w:sz="8" w:space="0" w:color="auto"/>
            </w:tcBorders>
            <w:tcMar>
              <w:top w:w="0" w:type="dxa"/>
              <w:left w:w="108" w:type="dxa"/>
              <w:bottom w:w="0" w:type="dxa"/>
              <w:right w:w="108" w:type="dxa"/>
            </w:tcMar>
            <w:hideMark/>
          </w:tcPr>
          <w:p w14:paraId="2CA32546" w14:textId="77777777" w:rsidR="00795C3E" w:rsidRPr="00F91BDD" w:rsidRDefault="00795C3E" w:rsidP="00F323D9">
            <w:pPr>
              <w:tabs>
                <w:tab w:val="left" w:pos="360"/>
                <w:tab w:val="left" w:pos="504"/>
              </w:tabs>
              <w:spacing w:before="120"/>
              <w:ind w:left="567" w:hanging="567"/>
              <w:jc w:val="right"/>
              <w:textAlignment w:val="baseline"/>
              <w:rPr>
                <w:rFonts w:cs="Calibri Light"/>
                <w:sz w:val="20"/>
                <w:szCs w:val="20"/>
              </w:rPr>
            </w:pPr>
            <w:r w:rsidRPr="00F91BDD">
              <w:rPr>
                <w:rFonts w:cs="Calibri Light"/>
                <w:sz w:val="20"/>
                <w:szCs w:val="20"/>
              </w:rPr>
              <w:t>0,15 euros</w:t>
            </w:r>
          </w:p>
        </w:tc>
      </w:tr>
      <w:tr w:rsidR="00795C3E" w:rsidRPr="00F91BDD" w14:paraId="34EC212C" w14:textId="77777777" w:rsidTr="00F323D9">
        <w:tc>
          <w:tcPr>
            <w:tcW w:w="5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B0276" w14:textId="77777777" w:rsidR="00795C3E" w:rsidRPr="00F91BDD" w:rsidRDefault="00795C3E">
            <w:pPr>
              <w:numPr>
                <w:ilvl w:val="0"/>
                <w:numId w:val="22"/>
              </w:numPr>
              <w:tabs>
                <w:tab w:val="left" w:pos="360"/>
                <w:tab w:val="left" w:pos="504"/>
              </w:tabs>
              <w:spacing w:before="120" w:after="120" w:line="240" w:lineRule="auto"/>
              <w:textAlignment w:val="baseline"/>
              <w:rPr>
                <w:rFonts w:cs="Calibri Light"/>
                <w:sz w:val="20"/>
                <w:szCs w:val="20"/>
              </w:rPr>
            </w:pPr>
            <w:r w:rsidRPr="00F91BDD">
              <w:rPr>
                <w:rFonts w:cs="Calibri Light"/>
                <w:sz w:val="20"/>
                <w:szCs w:val="20"/>
              </w:rPr>
              <w:t>du papier blanc et impression noire format A3 :</w:t>
            </w:r>
          </w:p>
        </w:tc>
        <w:tc>
          <w:tcPr>
            <w:tcW w:w="2936" w:type="dxa"/>
            <w:tcBorders>
              <w:top w:val="nil"/>
              <w:left w:val="nil"/>
              <w:bottom w:val="single" w:sz="8" w:space="0" w:color="auto"/>
              <w:right w:val="single" w:sz="8" w:space="0" w:color="auto"/>
            </w:tcBorders>
            <w:tcMar>
              <w:top w:w="0" w:type="dxa"/>
              <w:left w:w="108" w:type="dxa"/>
              <w:bottom w:w="0" w:type="dxa"/>
              <w:right w:w="108" w:type="dxa"/>
            </w:tcMar>
            <w:hideMark/>
          </w:tcPr>
          <w:p w14:paraId="1B7A1108" w14:textId="77777777" w:rsidR="00795C3E" w:rsidRPr="00F91BDD" w:rsidRDefault="00795C3E" w:rsidP="00F323D9">
            <w:pPr>
              <w:tabs>
                <w:tab w:val="left" w:pos="360"/>
                <w:tab w:val="left" w:pos="504"/>
              </w:tabs>
              <w:spacing w:before="120"/>
              <w:ind w:left="567" w:hanging="567"/>
              <w:jc w:val="right"/>
              <w:textAlignment w:val="baseline"/>
              <w:rPr>
                <w:rFonts w:cs="Calibri Light"/>
                <w:sz w:val="20"/>
                <w:szCs w:val="20"/>
              </w:rPr>
            </w:pPr>
            <w:r w:rsidRPr="00F91BDD">
              <w:rPr>
                <w:rFonts w:cs="Calibri Light"/>
                <w:sz w:val="20"/>
                <w:szCs w:val="20"/>
              </w:rPr>
              <w:t>0,17 euros</w:t>
            </w:r>
          </w:p>
        </w:tc>
      </w:tr>
      <w:tr w:rsidR="00795C3E" w:rsidRPr="00F91BDD" w14:paraId="5DC65013" w14:textId="77777777" w:rsidTr="00F323D9">
        <w:tc>
          <w:tcPr>
            <w:tcW w:w="5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15BFA" w14:textId="77777777" w:rsidR="00795C3E" w:rsidRPr="00F91BDD" w:rsidRDefault="00795C3E">
            <w:pPr>
              <w:numPr>
                <w:ilvl w:val="0"/>
                <w:numId w:val="22"/>
              </w:numPr>
              <w:tabs>
                <w:tab w:val="left" w:pos="360"/>
                <w:tab w:val="left" w:pos="504"/>
              </w:tabs>
              <w:spacing w:before="120" w:after="120" w:line="240" w:lineRule="auto"/>
              <w:textAlignment w:val="baseline"/>
              <w:rPr>
                <w:rFonts w:cs="Calibri Light"/>
                <w:sz w:val="20"/>
                <w:szCs w:val="20"/>
              </w:rPr>
            </w:pPr>
            <w:r w:rsidRPr="00F91BDD">
              <w:rPr>
                <w:rFonts w:cs="Calibri Light"/>
                <w:sz w:val="20"/>
                <w:szCs w:val="20"/>
              </w:rPr>
              <w:t>du papier blanc et impression en couleur format A4 :</w:t>
            </w:r>
          </w:p>
        </w:tc>
        <w:tc>
          <w:tcPr>
            <w:tcW w:w="2936" w:type="dxa"/>
            <w:tcBorders>
              <w:top w:val="nil"/>
              <w:left w:val="nil"/>
              <w:bottom w:val="single" w:sz="8" w:space="0" w:color="auto"/>
              <w:right w:val="single" w:sz="8" w:space="0" w:color="auto"/>
            </w:tcBorders>
            <w:tcMar>
              <w:top w:w="0" w:type="dxa"/>
              <w:left w:w="108" w:type="dxa"/>
              <w:bottom w:w="0" w:type="dxa"/>
              <w:right w:w="108" w:type="dxa"/>
            </w:tcMar>
            <w:hideMark/>
          </w:tcPr>
          <w:p w14:paraId="51F276D9" w14:textId="77777777" w:rsidR="00795C3E" w:rsidRPr="00F91BDD" w:rsidRDefault="00795C3E" w:rsidP="00F323D9">
            <w:pPr>
              <w:tabs>
                <w:tab w:val="left" w:pos="360"/>
                <w:tab w:val="left" w:pos="504"/>
              </w:tabs>
              <w:spacing w:before="120"/>
              <w:ind w:left="567" w:hanging="567"/>
              <w:jc w:val="right"/>
              <w:textAlignment w:val="baseline"/>
              <w:rPr>
                <w:rFonts w:cs="Calibri Light"/>
                <w:sz w:val="20"/>
                <w:szCs w:val="20"/>
              </w:rPr>
            </w:pPr>
            <w:r w:rsidRPr="00F91BDD">
              <w:rPr>
                <w:rFonts w:cs="Calibri Light"/>
                <w:sz w:val="20"/>
                <w:szCs w:val="20"/>
              </w:rPr>
              <w:t>0,62 euros</w:t>
            </w:r>
          </w:p>
        </w:tc>
      </w:tr>
      <w:tr w:rsidR="00795C3E" w:rsidRPr="00F91BDD" w14:paraId="726BEF79" w14:textId="77777777" w:rsidTr="00F323D9">
        <w:tc>
          <w:tcPr>
            <w:tcW w:w="5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AE2AA" w14:textId="77777777" w:rsidR="00795C3E" w:rsidRPr="00F91BDD" w:rsidRDefault="00795C3E">
            <w:pPr>
              <w:numPr>
                <w:ilvl w:val="0"/>
                <w:numId w:val="22"/>
              </w:numPr>
              <w:tabs>
                <w:tab w:val="left" w:pos="360"/>
                <w:tab w:val="left" w:pos="504"/>
              </w:tabs>
              <w:spacing w:before="120" w:after="120" w:line="240" w:lineRule="auto"/>
              <w:textAlignment w:val="baseline"/>
              <w:rPr>
                <w:rFonts w:cs="Calibri Light"/>
                <w:sz w:val="20"/>
                <w:szCs w:val="20"/>
              </w:rPr>
            </w:pPr>
            <w:r w:rsidRPr="00F91BDD">
              <w:rPr>
                <w:rFonts w:cs="Calibri Light"/>
                <w:sz w:val="20"/>
                <w:szCs w:val="20"/>
              </w:rPr>
              <w:t>du papier blanc et impression en couleur format A3 :</w:t>
            </w:r>
          </w:p>
        </w:tc>
        <w:tc>
          <w:tcPr>
            <w:tcW w:w="2936" w:type="dxa"/>
            <w:tcBorders>
              <w:top w:val="nil"/>
              <w:left w:val="nil"/>
              <w:bottom w:val="single" w:sz="8" w:space="0" w:color="auto"/>
              <w:right w:val="single" w:sz="8" w:space="0" w:color="auto"/>
            </w:tcBorders>
            <w:tcMar>
              <w:top w:w="0" w:type="dxa"/>
              <w:left w:w="108" w:type="dxa"/>
              <w:bottom w:w="0" w:type="dxa"/>
              <w:right w:w="108" w:type="dxa"/>
            </w:tcMar>
            <w:hideMark/>
          </w:tcPr>
          <w:p w14:paraId="02D64D9B" w14:textId="77777777" w:rsidR="00795C3E" w:rsidRPr="00F91BDD" w:rsidRDefault="00795C3E" w:rsidP="00F323D9">
            <w:pPr>
              <w:tabs>
                <w:tab w:val="left" w:pos="360"/>
                <w:tab w:val="left" w:pos="504"/>
              </w:tabs>
              <w:spacing w:before="120"/>
              <w:ind w:left="567" w:hanging="567"/>
              <w:jc w:val="right"/>
              <w:textAlignment w:val="baseline"/>
              <w:rPr>
                <w:rFonts w:cs="Calibri Light"/>
                <w:sz w:val="20"/>
                <w:szCs w:val="20"/>
              </w:rPr>
            </w:pPr>
            <w:r w:rsidRPr="00F91BDD">
              <w:rPr>
                <w:rFonts w:cs="Calibri Light"/>
                <w:sz w:val="20"/>
                <w:szCs w:val="20"/>
              </w:rPr>
              <w:t>1,04 euros</w:t>
            </w:r>
          </w:p>
        </w:tc>
      </w:tr>
      <w:tr w:rsidR="00795C3E" w:rsidRPr="00F91BDD" w14:paraId="044A7538" w14:textId="77777777" w:rsidTr="00F323D9">
        <w:tc>
          <w:tcPr>
            <w:tcW w:w="5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EEFB1" w14:textId="77777777" w:rsidR="00795C3E" w:rsidRPr="00F91BDD" w:rsidRDefault="00795C3E">
            <w:pPr>
              <w:numPr>
                <w:ilvl w:val="0"/>
                <w:numId w:val="22"/>
              </w:numPr>
              <w:tabs>
                <w:tab w:val="left" w:pos="360"/>
                <w:tab w:val="left" w:pos="504"/>
              </w:tabs>
              <w:spacing w:before="120" w:after="120" w:line="240" w:lineRule="auto"/>
              <w:textAlignment w:val="baseline"/>
              <w:rPr>
                <w:rFonts w:cs="Calibri Light"/>
                <w:sz w:val="20"/>
                <w:szCs w:val="20"/>
              </w:rPr>
            </w:pPr>
            <w:r w:rsidRPr="00F91BDD">
              <w:rPr>
                <w:rFonts w:cs="Calibri Light"/>
                <w:sz w:val="20"/>
                <w:szCs w:val="20"/>
              </w:rPr>
              <w:t>d’un plan sur papier blanc et impression noire de 90 cm sur 1 m :</w:t>
            </w:r>
          </w:p>
        </w:tc>
        <w:tc>
          <w:tcPr>
            <w:tcW w:w="2936" w:type="dxa"/>
            <w:tcBorders>
              <w:top w:val="nil"/>
              <w:left w:val="nil"/>
              <w:bottom w:val="single" w:sz="8" w:space="0" w:color="auto"/>
              <w:right w:val="single" w:sz="8" w:space="0" w:color="auto"/>
            </w:tcBorders>
            <w:tcMar>
              <w:top w:w="0" w:type="dxa"/>
              <w:left w:w="108" w:type="dxa"/>
              <w:bottom w:w="0" w:type="dxa"/>
              <w:right w:w="108" w:type="dxa"/>
            </w:tcMar>
            <w:hideMark/>
          </w:tcPr>
          <w:p w14:paraId="6ACE3815" w14:textId="77777777" w:rsidR="00795C3E" w:rsidRPr="00F91BDD" w:rsidRDefault="00795C3E" w:rsidP="00F323D9">
            <w:pPr>
              <w:tabs>
                <w:tab w:val="left" w:pos="360"/>
                <w:tab w:val="left" w:pos="504"/>
              </w:tabs>
              <w:spacing w:before="120"/>
              <w:ind w:left="567" w:hanging="567"/>
              <w:jc w:val="right"/>
              <w:textAlignment w:val="baseline"/>
              <w:rPr>
                <w:rFonts w:cs="Calibri Light"/>
                <w:sz w:val="20"/>
                <w:szCs w:val="20"/>
              </w:rPr>
            </w:pPr>
            <w:r w:rsidRPr="00F91BDD">
              <w:rPr>
                <w:rFonts w:cs="Calibri Light"/>
                <w:sz w:val="20"/>
                <w:szCs w:val="20"/>
              </w:rPr>
              <w:t>0,92 euros</w:t>
            </w:r>
          </w:p>
        </w:tc>
      </w:tr>
    </w:tbl>
    <w:p w14:paraId="377F94ED" w14:textId="77777777" w:rsidR="00795C3E" w:rsidRPr="00F91BDD" w:rsidRDefault="00795C3E" w:rsidP="00795C3E">
      <w:pPr>
        <w:tabs>
          <w:tab w:val="right" w:pos="8352"/>
        </w:tabs>
        <w:spacing w:before="120"/>
        <w:textAlignment w:val="baseline"/>
        <w:rPr>
          <w:rFonts w:cs="Calibri Light"/>
        </w:rPr>
      </w:pPr>
      <w:r w:rsidRPr="00F91BDD">
        <w:rPr>
          <w:rFonts w:cs="Calibri Light"/>
        </w:rPr>
        <w:t>En ce qui concerne les frais d'envoi, il y a lieu de se conformer aux tarifs postaux en vigueur.</w:t>
      </w:r>
    </w:p>
    <w:p w14:paraId="348108B0" w14:textId="77777777" w:rsidR="00795C3E" w:rsidRPr="00F91BDD" w:rsidRDefault="00795C3E" w:rsidP="00795C3E">
      <w:pPr>
        <w:tabs>
          <w:tab w:val="right" w:pos="8352"/>
        </w:tabs>
        <w:spacing w:before="120"/>
        <w:textAlignment w:val="baseline"/>
        <w:rPr>
          <w:rFonts w:cs="Calibri Light"/>
        </w:rPr>
      </w:pPr>
      <w:r w:rsidRPr="00F91BDD">
        <w:rPr>
          <w:rFonts w:cs="Calibri Light"/>
        </w:rPr>
        <w:lastRenderedPageBreak/>
        <w:t>L’article 4 dudit arrêté précise que la rétribution est payée, par virement ou versement, préalablement à la transmission des copies demandées.</w:t>
      </w:r>
    </w:p>
    <w:p w14:paraId="55371171" w14:textId="77777777" w:rsidR="00795C3E" w:rsidRPr="008F4812" w:rsidRDefault="00795C3E" w:rsidP="00795C3E">
      <w:pPr>
        <w:pStyle w:val="Titre4"/>
      </w:pPr>
      <w:bookmarkStart w:id="1008" w:name="_Toc40185519"/>
      <w:bookmarkStart w:id="1009" w:name="_Toc40186254"/>
      <w:bookmarkStart w:id="1010" w:name="_Toc143779156"/>
      <w:bookmarkStart w:id="1011" w:name="_Toc208420058"/>
      <w:bookmarkEnd w:id="1008"/>
      <w:bookmarkEnd w:id="1009"/>
      <w:r w:rsidRPr="008F4812">
        <w:t>Publicité de l’administration en matière d’environnement (Obligatoirement sous forme de redevance)</w:t>
      </w:r>
      <w:bookmarkEnd w:id="1010"/>
      <w:bookmarkEnd w:id="1011"/>
    </w:p>
    <w:p w14:paraId="3CA4FD29" w14:textId="77777777" w:rsidR="00795C3E" w:rsidRPr="00F91BDD" w:rsidRDefault="00795C3E" w:rsidP="00795C3E">
      <w:pPr>
        <w:tabs>
          <w:tab w:val="left" w:pos="360"/>
        </w:tabs>
        <w:spacing w:before="120"/>
        <w:rPr>
          <w:rFonts w:cs="Calibri Light"/>
        </w:rPr>
      </w:pPr>
      <w:r w:rsidRPr="00F91BDD">
        <w:rPr>
          <w:rFonts w:cs="Calibri Light"/>
        </w:rPr>
        <w:t xml:space="preserve">En cette matière c’est l’article D.13 alinéa 3 du Code de l’Environnement qui est d’application, lequel dispose que « la consultation sur place des informations est gratuite, tandis qu'un prix peut être réclamé lorsque le demandeur souhaite que l'information lui soit adressée. Ce prix ne peut toutefois pas dépasser le </w:t>
      </w:r>
      <w:r w:rsidRPr="00F91BDD">
        <w:rPr>
          <w:rFonts w:cs="Calibri Light"/>
          <w:b/>
          <w:u w:val="single"/>
        </w:rPr>
        <w:t>coût du support</w:t>
      </w:r>
      <w:r w:rsidRPr="00F91BDD">
        <w:rPr>
          <w:rFonts w:cs="Calibri Light"/>
        </w:rPr>
        <w:t xml:space="preserve"> de l'information </w:t>
      </w:r>
      <w:r w:rsidRPr="00F91BDD">
        <w:rPr>
          <w:rFonts w:cs="Calibri Light"/>
          <w:b/>
          <w:u w:val="single"/>
        </w:rPr>
        <w:t>et de sa communication</w:t>
      </w:r>
      <w:r w:rsidRPr="00F91BDD">
        <w:rPr>
          <w:rFonts w:cs="Calibri Light"/>
        </w:rPr>
        <w:t xml:space="preserve">, </w:t>
      </w:r>
      <w:r w:rsidRPr="00F91BDD">
        <w:rPr>
          <w:rFonts w:cs="Calibri Light"/>
          <w:b/>
        </w:rPr>
        <w:t>et doit être</w:t>
      </w:r>
      <w:r w:rsidRPr="00F91BDD">
        <w:rPr>
          <w:rFonts w:cs="Calibri Light"/>
        </w:rPr>
        <w:t xml:space="preserve"> </w:t>
      </w:r>
      <w:r w:rsidRPr="00F91BDD">
        <w:rPr>
          <w:rFonts w:cs="Calibri Light"/>
          <w:b/>
        </w:rPr>
        <w:t>communiqué</w:t>
      </w:r>
      <w:r w:rsidRPr="00F91BDD">
        <w:rPr>
          <w:rFonts w:cs="Calibri Light"/>
        </w:rPr>
        <w:t xml:space="preserve"> au demandeur </w:t>
      </w:r>
      <w:r w:rsidRPr="00F91BDD">
        <w:rPr>
          <w:rFonts w:cs="Calibri Light"/>
          <w:b/>
          <w:u w:val="single"/>
        </w:rPr>
        <w:t>au moment de sa demande</w:t>
      </w:r>
      <w:r w:rsidRPr="00F91BDD">
        <w:rPr>
          <w:rFonts w:cs="Calibri Light"/>
        </w:rPr>
        <w:t xml:space="preserve"> ».</w:t>
      </w:r>
    </w:p>
    <w:p w14:paraId="2090D0F5" w14:textId="77777777" w:rsidR="00795C3E" w:rsidRPr="00F91BDD" w:rsidRDefault="00795C3E" w:rsidP="00795C3E">
      <w:pPr>
        <w:tabs>
          <w:tab w:val="left" w:pos="360"/>
        </w:tabs>
        <w:spacing w:before="120"/>
        <w:rPr>
          <w:rFonts w:cs="Calibri Light"/>
        </w:rPr>
      </w:pPr>
      <w:r w:rsidRPr="00F91BDD">
        <w:rPr>
          <w:rFonts w:cs="Calibri Light"/>
        </w:rPr>
        <w:t xml:space="preserve">Lorsqu'une copie de documents contenant des informations à caractère environnemental est sollicitée auprès d'une autorité publique au sens du Livre 1er du Code de l'Environnement, cette autorité pourra subordonner l'envoi de ces documents au demandeur au paiement préalable par ce dernier. L'autorité doit avertir le demandeur du montant réclamé et, si le demandeur ne souhaite pas régler le montant réclamé, il lui est loisible de se rendre au siège de l'autorité publique pour consulter les documents sur place, cette consultation étant gratuite. </w:t>
      </w:r>
    </w:p>
    <w:p w14:paraId="6EAD1048" w14:textId="77777777" w:rsidR="00795C3E" w:rsidRDefault="00795C3E" w:rsidP="00795C3E">
      <w:pPr>
        <w:tabs>
          <w:tab w:val="left" w:pos="360"/>
        </w:tabs>
        <w:spacing w:before="120"/>
        <w:rPr>
          <w:rFonts w:cs="Calibri Light"/>
        </w:rPr>
      </w:pPr>
      <w:r w:rsidRPr="00F91BDD">
        <w:rPr>
          <w:rFonts w:cs="Calibri Light"/>
        </w:rPr>
        <w:t>Selon le Conseil d'Etat</w:t>
      </w:r>
      <w:r w:rsidRPr="00F91BDD">
        <w:rPr>
          <w:rStyle w:val="Appelnotedebasdep"/>
          <w:rFonts w:cs="Calibri Light"/>
        </w:rPr>
        <w:footnoteReference w:id="82"/>
      </w:r>
      <w:r w:rsidRPr="00F91BDD">
        <w:rPr>
          <w:rFonts w:cs="Calibri Light"/>
        </w:rPr>
        <w:t xml:space="preserve"> « Les éléments constitutifs du « coût du support de l’information », visé à l’article D.1.3, alinéa 3, précité, ne sont pas précisés dans le Code wallon de l’environnement. Cette terminologie n’exclut pas en soi la prise en compte du coût de</w:t>
      </w:r>
      <w:r w:rsidRPr="00F91BDD">
        <w:t xml:space="preserve"> </w:t>
      </w:r>
      <w:r w:rsidRPr="00F91BDD">
        <w:rPr>
          <w:rFonts w:cs="Calibri Light"/>
        </w:rPr>
        <w:t>la main d’œuvre des employés administratifs chargés de rechercher les informations demandées et de les produire dans le format requis. ».</w:t>
      </w:r>
    </w:p>
    <w:p w14:paraId="0BF4A3FA" w14:textId="3FF8894B" w:rsidR="00A874EE" w:rsidRDefault="00A874EE">
      <w:pPr>
        <w:pStyle w:val="Titre4"/>
        <w:numPr>
          <w:ilvl w:val="0"/>
          <w:numId w:val="88"/>
        </w:numPr>
      </w:pPr>
      <w:r w:rsidRPr="004E2C46">
        <w:t xml:space="preserve">Arrêté de police </w:t>
      </w:r>
    </w:p>
    <w:p w14:paraId="4343590E" w14:textId="77777777" w:rsidR="00A874EE" w:rsidRDefault="00A874EE" w:rsidP="00A874EE">
      <w:r>
        <w:t xml:space="preserve">De plus en plus de communes établissent des redevances pour la délivrance d’arrêté de police en matière de circulation et de sécurité à l’occasion de chantiers en voie publique. Il y a lieu d’être attentif dans l’application de cette redevance. </w:t>
      </w:r>
    </w:p>
    <w:p w14:paraId="09BC4083" w14:textId="77777777" w:rsidR="00A874EE" w:rsidRDefault="00A874EE" w:rsidP="00A874EE">
      <w:r>
        <w:t>En effet, au vu de la jurisprudence et de la doctrine il y a une distinction fondamentale entre l’exercice du pouvoir de police administrative, qui relève de missions d’autorité poursuivant l’intérêt général, et l’éventuelle perception d’une redevance, qui suppose l’existence d’une prestation identifiable et individualisable bénéficiant directement à un usager déterminé.</w:t>
      </w:r>
    </w:p>
    <w:p w14:paraId="16038D93" w14:textId="77777777" w:rsidR="00A874EE" w:rsidRDefault="00A874EE" w:rsidP="00A874EE">
      <w:r>
        <w:t xml:space="preserve">La doctrine souligne que, si l’action de police est en principe à charge des pouvoirs publics, des mécanismes de répercussion de certains coûts peuvent être envisagés dans des hypothèses strictement encadrées, sous réserve du respect de principes tels que la proportionnalité, la justification, la transparence et l’égalité de traitement. </w:t>
      </w:r>
    </w:p>
    <w:p w14:paraId="215B0BC8" w14:textId="77777777" w:rsidR="00A874EE" w:rsidRDefault="00A874EE" w:rsidP="00A874EE">
      <w:r>
        <w:t xml:space="preserve">Ces considérations doivent être examinées en tenant compte de la nature de l’intervention concernée et de la qualité du demandeur, selon qu’il s’agit d’un particulier agissant pour son </w:t>
      </w:r>
      <w:r>
        <w:lastRenderedPageBreak/>
        <w:t>propre compte ou d’une autre autorité publique intervenant dans l’exercice de compétences que la loi ou le règlement lui attribuent.</w:t>
      </w:r>
    </w:p>
    <w:p w14:paraId="0C2F3401" w14:textId="77777777" w:rsidR="005D2D9D" w:rsidRDefault="00A874EE" w:rsidP="00A874EE">
      <w:r>
        <w:t xml:space="preserve">Ainsi, lorsque la demande d’intervention sur la voirie communale émane d’un particulier agissant pour son propre compte, la prestation est individualisée et fait au profit individuel du demandeur et ce, même si l’autorisation de police administrative et les mesures de circulation ou de sécurité qui y sont attachées demeurent des actes de police administrative pris unilatéralement dans l’intérêt général. </w:t>
      </w:r>
    </w:p>
    <w:p w14:paraId="3CDFC728" w14:textId="4BF60904" w:rsidR="00A874EE" w:rsidRDefault="005D2D9D" w:rsidP="00A874EE">
      <w:r w:rsidRPr="005D2D9D">
        <w:t>Il convient toutefois de distinguer cette hypothèse de celle dans laquelle la demande d’arrêté de police émane d’un particulier en raison d’une situation présentant un danger objectif pour la sécurité publique, telle que le risque d’effondrement d’une cheminée, d’une façade ou de tout autre élément susceptible de compromettre la sécurité des usagers de la voie publique. Dans ce cas, même si la demande est matériellement introduite par un particulier, l’intervention de l’autorité communale répond avant tout à une nécessité de police administrative visant à prévenir un péril pour les citoyens et à assurer la sécurité publique. L’arrêté de police et les mesures de circulation ou de sécurisation qui l’accompagnent ne peuvent dès lors être regardés comme une prestation rendue au bénéfice propre et individualisable du demandeur. Il est par conséquent recommandé de ne pas prélever de redevance dans une telle hypothèse.</w:t>
      </w:r>
      <w:r w:rsidR="00A874EE">
        <w:t xml:space="preserve"> </w:t>
      </w:r>
    </w:p>
    <w:p w14:paraId="6FE818A7" w14:textId="57291C11" w:rsidR="00A874EE" w:rsidRPr="004E2C46" w:rsidRDefault="00A874EE" w:rsidP="00A874EE">
      <w:r>
        <w:t>En revanche, lorsque la demande émane d’une autre autorité publique agissant dans l’exercice de compétences que la loi ou le règlement lui attribuent, la situation présente des caractéristiques différentes. Dans ce cas, l’autorité concernée n’agit pas comme usager d’un service communal, mais comme organe participant à l’action publique dans l’intérêt général.</w:t>
      </w:r>
      <w:r w:rsidR="00C03D54">
        <w:t xml:space="preserve"> </w:t>
      </w:r>
      <w:r>
        <w:t>Il est recommandé dans ce cas de ne pas prélever de redevance (puisque l’arrêté n’est pas délivré dans le cadre d’un service individualisable rendu à son bénéfice propre).</w:t>
      </w:r>
    </w:p>
    <w:p w14:paraId="320BDB9B" w14:textId="77777777" w:rsidR="00A874EE" w:rsidRPr="00F91BDD" w:rsidRDefault="00A874EE" w:rsidP="00795C3E">
      <w:pPr>
        <w:tabs>
          <w:tab w:val="left" w:pos="360"/>
        </w:tabs>
        <w:spacing w:before="120"/>
        <w:rPr>
          <w:rFonts w:cs="Calibri Light"/>
        </w:rPr>
      </w:pPr>
    </w:p>
    <w:p w14:paraId="00568CBA" w14:textId="515E624C" w:rsidR="00795C3E" w:rsidRPr="00354C0C" w:rsidRDefault="00795C3E" w:rsidP="35BD9115">
      <w:pPr>
        <w:pStyle w:val="Titre3"/>
        <w:rPr>
          <w:caps/>
        </w:rPr>
      </w:pPr>
      <w:bookmarkStart w:id="1012" w:name="_Toc143779157"/>
      <w:bookmarkStart w:id="1013" w:name="_Toc512525473"/>
      <w:bookmarkStart w:id="1014" w:name="_Toc515896786"/>
      <w:bookmarkStart w:id="1015" w:name="_Toc208420059"/>
      <w:bookmarkStart w:id="1016" w:name="_Toc225504300"/>
      <w:bookmarkStart w:id="1017" w:name="_Toc225772389"/>
      <w:bookmarkStart w:id="1018" w:name="_Toc233626258"/>
      <w:r w:rsidRPr="00354C0C">
        <w:t>040/361-48 : Prestations communales administratives ou techniques en général</w:t>
      </w:r>
      <w:bookmarkStart w:id="1019" w:name="_Hlk68534160"/>
      <w:bookmarkEnd w:id="1012"/>
      <w:bookmarkEnd w:id="1013"/>
      <w:bookmarkEnd w:id="1014"/>
      <w:bookmarkEnd w:id="1015"/>
      <w:bookmarkEnd w:id="1016"/>
      <w:bookmarkEnd w:id="1017"/>
      <w:bookmarkEnd w:id="1018"/>
    </w:p>
    <w:bookmarkEnd w:id="1019"/>
    <w:p w14:paraId="136164B6" w14:textId="77777777" w:rsidR="00795C3E" w:rsidRPr="00F91BDD" w:rsidRDefault="00795C3E" w:rsidP="00795C3E">
      <w:pPr>
        <w:spacing w:before="120"/>
        <w:textAlignment w:val="baseline"/>
        <w:rPr>
          <w:rFonts w:cs="Calibri Light"/>
        </w:rPr>
      </w:pPr>
      <w:r w:rsidRPr="00F91BDD">
        <w:rPr>
          <w:rFonts w:cs="Calibri Light"/>
        </w:rPr>
        <w:t>Il s'impose de tenir compte des coûts réellement engagés (redevance).</w:t>
      </w:r>
    </w:p>
    <w:p w14:paraId="1A6142E2" w14:textId="77777777" w:rsidR="00795C3E" w:rsidRPr="008F4812" w:rsidRDefault="00795C3E">
      <w:pPr>
        <w:pStyle w:val="Titre4"/>
        <w:numPr>
          <w:ilvl w:val="0"/>
          <w:numId w:val="107"/>
        </w:numPr>
      </w:pPr>
      <w:bookmarkStart w:id="1020" w:name="_Toc143779158"/>
      <w:bookmarkStart w:id="1021" w:name="_Toc208420060"/>
      <w:r w:rsidRPr="008F4812">
        <w:t>Documents et travaux urbanistiques</w:t>
      </w:r>
      <w:bookmarkEnd w:id="1020"/>
      <w:bookmarkEnd w:id="1021"/>
      <w:r w:rsidRPr="008F4812">
        <w:t xml:space="preserve"> </w:t>
      </w:r>
    </w:p>
    <w:p w14:paraId="204F92C1" w14:textId="77777777" w:rsidR="00795C3E" w:rsidRPr="00F91BDD" w:rsidRDefault="00795C3E" w:rsidP="00795C3E">
      <w:pPr>
        <w:tabs>
          <w:tab w:val="left" w:pos="360"/>
          <w:tab w:val="left" w:pos="567"/>
        </w:tabs>
        <w:spacing w:before="120"/>
        <w:contextualSpacing/>
        <w:textAlignment w:val="baseline"/>
        <w:rPr>
          <w:rFonts w:cs="Calibri Light"/>
          <w:spacing w:val="1"/>
          <w:sz w:val="2"/>
          <w:szCs w:val="2"/>
        </w:rPr>
      </w:pPr>
    </w:p>
    <w:p w14:paraId="27BDBA0E" w14:textId="461DC2D5" w:rsidR="00795C3E" w:rsidRPr="00F91BDD" w:rsidRDefault="00795C3E" w:rsidP="00795C3E">
      <w:pPr>
        <w:tabs>
          <w:tab w:val="left" w:pos="360"/>
          <w:tab w:val="left" w:pos="567"/>
        </w:tabs>
        <w:spacing w:before="120"/>
        <w:contextualSpacing/>
        <w:textAlignment w:val="baseline"/>
        <w:rPr>
          <w:rFonts w:cs="Calibri Light"/>
          <w:spacing w:val="1"/>
        </w:rPr>
      </w:pPr>
      <w:r w:rsidRPr="00F91BDD">
        <w:rPr>
          <w:rFonts w:cs="Calibri Light"/>
          <w:spacing w:val="1"/>
        </w:rPr>
        <w:t>Outre une taxe ou une redevance pour la délivrance d'un document administratif sans caractère répétitif (30,00 euros), la commune</w:t>
      </w:r>
      <w:r w:rsidRPr="00F91BDD">
        <w:t xml:space="preserve"> </w:t>
      </w:r>
      <w:r w:rsidRPr="00F91BDD">
        <w:rPr>
          <w:rFonts w:cs="Calibri Light"/>
          <w:spacing w:val="1"/>
        </w:rPr>
        <w:t xml:space="preserve">peut prévoir une redevance pour récupérer le coût des travaux administratifs effectués (coûts réels) pour l’instruction du dossier. </w:t>
      </w:r>
    </w:p>
    <w:p w14:paraId="34978321" w14:textId="77777777" w:rsidR="00795C3E" w:rsidRPr="00F91BDD" w:rsidRDefault="00795C3E" w:rsidP="00795C3E">
      <w:pPr>
        <w:tabs>
          <w:tab w:val="left" w:pos="360"/>
          <w:tab w:val="left" w:pos="567"/>
        </w:tabs>
        <w:spacing w:before="120"/>
        <w:contextualSpacing/>
        <w:textAlignment w:val="baseline"/>
        <w:rPr>
          <w:rFonts w:cs="Calibri Light"/>
          <w:spacing w:val="1"/>
          <w:sz w:val="6"/>
          <w:szCs w:val="6"/>
        </w:rPr>
      </w:pPr>
    </w:p>
    <w:p w14:paraId="338E4CE0" w14:textId="77777777" w:rsidR="00795C3E" w:rsidRPr="0089192B" w:rsidRDefault="00795C3E" w:rsidP="00795C3E">
      <w:pPr>
        <w:tabs>
          <w:tab w:val="left" w:pos="360"/>
          <w:tab w:val="left" w:pos="567"/>
        </w:tabs>
        <w:spacing w:before="120"/>
        <w:contextualSpacing/>
        <w:textAlignment w:val="baseline"/>
        <w:rPr>
          <w:rFonts w:cs="Calibri Light"/>
          <w:spacing w:val="1"/>
        </w:rPr>
      </w:pPr>
      <w:r w:rsidRPr="00F91BDD">
        <w:rPr>
          <w:rFonts w:cs="Calibri Light"/>
          <w:spacing w:val="1"/>
        </w:rPr>
        <w:t>Lorsque, la commune établit sa redevance</w:t>
      </w:r>
      <w:r w:rsidRPr="00F91BDD">
        <w:t xml:space="preserve"> </w:t>
      </w:r>
      <w:r w:rsidRPr="00F91BDD">
        <w:rPr>
          <w:rFonts w:cs="Calibri Light"/>
          <w:spacing w:val="1"/>
        </w:rPr>
        <w:t>pour l’instruction du dossier en fixant un taux forfaitaire, le taux maximum recommandé est :</w:t>
      </w:r>
    </w:p>
    <w:p w14:paraId="7527F694" w14:textId="77777777" w:rsidR="00795C3E" w:rsidRPr="00F91BDD" w:rsidRDefault="00795C3E" w:rsidP="00795C3E">
      <w:pPr>
        <w:tabs>
          <w:tab w:val="left" w:pos="360"/>
          <w:tab w:val="left" w:pos="567"/>
        </w:tabs>
        <w:spacing w:before="120"/>
        <w:contextualSpacing/>
        <w:rPr>
          <w:rFonts w:cs="Calibri Light"/>
        </w:rPr>
      </w:pPr>
    </w:p>
    <w:tbl>
      <w:tblPr>
        <w:tblW w:w="5660" w:type="dxa"/>
        <w:jc w:val="center"/>
        <w:tblCellMar>
          <w:left w:w="0" w:type="dxa"/>
          <w:right w:w="0" w:type="dxa"/>
        </w:tblCellMar>
        <w:tblLook w:val="04A0" w:firstRow="1" w:lastRow="0" w:firstColumn="1" w:lastColumn="0" w:noHBand="0" w:noVBand="1"/>
      </w:tblPr>
      <w:tblGrid>
        <w:gridCol w:w="4101"/>
        <w:gridCol w:w="1559"/>
      </w:tblGrid>
      <w:tr w:rsidR="00C11861" w:rsidRPr="00F91BDD" w14:paraId="4BCE8FAF" w14:textId="77777777" w:rsidTr="00C11861">
        <w:trPr>
          <w:trHeight w:val="300"/>
          <w:jc w:val="center"/>
        </w:trPr>
        <w:tc>
          <w:tcPr>
            <w:tcW w:w="4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2B775E" w14:textId="77777777" w:rsidR="00C11861" w:rsidRPr="00F91BDD" w:rsidRDefault="00C11861" w:rsidP="00F323D9">
            <w:pPr>
              <w:tabs>
                <w:tab w:val="left" w:pos="360"/>
                <w:tab w:val="left" w:pos="567"/>
              </w:tabs>
              <w:spacing w:before="120"/>
              <w:contextualSpacing/>
              <w:textAlignment w:val="baseline"/>
              <w:rPr>
                <w:rFonts w:cs="Calibri Light"/>
                <w:spacing w:val="1"/>
                <w:sz w:val="20"/>
                <w:szCs w:val="20"/>
              </w:rPr>
            </w:pPr>
          </w:p>
        </w:tc>
        <w:tc>
          <w:tcPr>
            <w:tcW w:w="1559" w:type="dxa"/>
            <w:tcBorders>
              <w:top w:val="single" w:sz="8" w:space="0" w:color="auto"/>
              <w:left w:val="nil"/>
              <w:bottom w:val="single" w:sz="8" w:space="0" w:color="auto"/>
              <w:right w:val="single" w:sz="4" w:space="0" w:color="auto"/>
            </w:tcBorders>
          </w:tcPr>
          <w:p w14:paraId="338EFE55" w14:textId="77777777" w:rsidR="00C11861" w:rsidRPr="00F91BDD" w:rsidRDefault="00C11861" w:rsidP="00F323D9">
            <w:pPr>
              <w:tabs>
                <w:tab w:val="left" w:pos="360"/>
                <w:tab w:val="left" w:pos="567"/>
              </w:tabs>
              <w:spacing w:before="120"/>
              <w:contextualSpacing/>
              <w:jc w:val="center"/>
              <w:textAlignment w:val="baseline"/>
              <w:rPr>
                <w:rFonts w:cs="Calibri Light"/>
                <w:spacing w:val="1"/>
                <w:sz w:val="20"/>
                <w:szCs w:val="20"/>
              </w:rPr>
            </w:pPr>
            <w:r w:rsidRPr="00F91BDD">
              <w:rPr>
                <w:rFonts w:cs="Calibri Light"/>
                <w:spacing w:val="1"/>
                <w:sz w:val="20"/>
                <w:szCs w:val="20"/>
              </w:rPr>
              <w:t xml:space="preserve">Montant non indexé </w:t>
            </w:r>
          </w:p>
        </w:tc>
      </w:tr>
      <w:tr w:rsidR="00C11861" w:rsidRPr="00F91BDD" w14:paraId="6CDD6F0B" w14:textId="77777777" w:rsidTr="00C11861">
        <w:trPr>
          <w:trHeight w:val="300"/>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B01B1" w14:textId="77777777" w:rsidR="00C11861" w:rsidRPr="00F91BDD" w:rsidRDefault="00C11861">
            <w:pPr>
              <w:numPr>
                <w:ilvl w:val="0"/>
                <w:numId w:val="22"/>
              </w:numPr>
              <w:tabs>
                <w:tab w:val="left" w:pos="360"/>
                <w:tab w:val="left" w:pos="567"/>
              </w:tabs>
              <w:spacing w:before="120" w:after="120" w:line="240" w:lineRule="auto"/>
              <w:contextualSpacing/>
              <w:textAlignment w:val="baseline"/>
              <w:rPr>
                <w:rFonts w:cs="Calibri Light"/>
                <w:spacing w:val="1"/>
                <w:sz w:val="20"/>
                <w:szCs w:val="20"/>
              </w:rPr>
            </w:pPr>
            <w:r w:rsidRPr="00F91BDD">
              <w:rPr>
                <w:rFonts w:cs="Calibri Light"/>
                <w:spacing w:val="1"/>
                <w:sz w:val="20"/>
                <w:szCs w:val="20"/>
              </w:rPr>
              <w:t>pour le traitement des demandes de certificat d’urbanisme n°1 </w:t>
            </w:r>
          </w:p>
        </w:tc>
        <w:tc>
          <w:tcPr>
            <w:tcW w:w="1559" w:type="dxa"/>
            <w:tcBorders>
              <w:top w:val="single" w:sz="8" w:space="0" w:color="auto"/>
              <w:left w:val="nil"/>
              <w:bottom w:val="single" w:sz="8" w:space="0" w:color="auto"/>
              <w:right w:val="single" w:sz="4" w:space="0" w:color="auto"/>
            </w:tcBorders>
            <w:vAlign w:val="center"/>
          </w:tcPr>
          <w:p w14:paraId="7A2CCA53" w14:textId="77777777" w:rsidR="00C11861" w:rsidRPr="00F91BDD" w:rsidRDefault="00C11861" w:rsidP="00F323D9">
            <w:pPr>
              <w:tabs>
                <w:tab w:val="left" w:pos="360"/>
                <w:tab w:val="left" w:pos="567"/>
              </w:tabs>
              <w:spacing w:before="120"/>
              <w:contextualSpacing/>
              <w:jc w:val="center"/>
              <w:textAlignment w:val="baseline"/>
              <w:rPr>
                <w:rFonts w:cs="Calibri Light"/>
                <w:spacing w:val="1"/>
                <w:sz w:val="20"/>
                <w:szCs w:val="20"/>
              </w:rPr>
            </w:pPr>
            <w:r w:rsidRPr="00F91BDD">
              <w:rPr>
                <w:rFonts w:cs="Calibri Light"/>
                <w:spacing w:val="1"/>
                <w:sz w:val="20"/>
                <w:szCs w:val="20"/>
              </w:rPr>
              <w:t>60,00 euros</w:t>
            </w:r>
          </w:p>
        </w:tc>
      </w:tr>
      <w:tr w:rsidR="00C11861" w:rsidRPr="00F91BDD" w14:paraId="6FA55E76" w14:textId="77777777" w:rsidTr="00C11861">
        <w:trPr>
          <w:trHeight w:val="300"/>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F9F0BC" w14:textId="77777777" w:rsidR="00C11861" w:rsidRPr="00F91BDD" w:rsidRDefault="00C11861">
            <w:pPr>
              <w:numPr>
                <w:ilvl w:val="0"/>
                <w:numId w:val="22"/>
              </w:numPr>
              <w:tabs>
                <w:tab w:val="left" w:pos="360"/>
                <w:tab w:val="left" w:pos="567"/>
              </w:tabs>
              <w:spacing w:before="120" w:after="120" w:line="240" w:lineRule="auto"/>
              <w:contextualSpacing/>
              <w:textAlignment w:val="baseline"/>
              <w:rPr>
                <w:rFonts w:cs="Calibri Light"/>
                <w:spacing w:val="1"/>
                <w:sz w:val="20"/>
                <w:szCs w:val="20"/>
              </w:rPr>
            </w:pPr>
            <w:r w:rsidRPr="00F91BDD">
              <w:rPr>
                <w:rFonts w:cs="Calibri Light"/>
                <w:spacing w:val="1"/>
                <w:sz w:val="20"/>
                <w:szCs w:val="20"/>
              </w:rPr>
              <w:lastRenderedPageBreak/>
              <w:t>pour le traitement des demandes de permis d'urbanisme, de permis d’urbanisation et de certificat d’urbanisme n°2</w:t>
            </w:r>
          </w:p>
        </w:tc>
        <w:tc>
          <w:tcPr>
            <w:tcW w:w="1559" w:type="dxa"/>
            <w:tcBorders>
              <w:top w:val="single" w:sz="8" w:space="0" w:color="auto"/>
              <w:left w:val="nil"/>
              <w:bottom w:val="single" w:sz="8" w:space="0" w:color="auto"/>
              <w:right w:val="single" w:sz="4" w:space="0" w:color="auto"/>
            </w:tcBorders>
            <w:vAlign w:val="center"/>
          </w:tcPr>
          <w:p w14:paraId="609519F6" w14:textId="77777777" w:rsidR="00C11861" w:rsidRPr="00F91BDD" w:rsidRDefault="00C11861" w:rsidP="00F323D9">
            <w:pPr>
              <w:tabs>
                <w:tab w:val="left" w:pos="360"/>
                <w:tab w:val="left" w:pos="567"/>
              </w:tabs>
              <w:spacing w:before="120"/>
              <w:contextualSpacing/>
              <w:jc w:val="center"/>
              <w:textAlignment w:val="baseline"/>
              <w:rPr>
                <w:rFonts w:cs="Calibri Light"/>
                <w:spacing w:val="1"/>
                <w:sz w:val="20"/>
                <w:szCs w:val="20"/>
              </w:rPr>
            </w:pPr>
            <w:r w:rsidRPr="00F91BDD">
              <w:rPr>
                <w:rFonts w:cs="Calibri Light"/>
                <w:spacing w:val="1"/>
                <w:sz w:val="20"/>
                <w:szCs w:val="20"/>
              </w:rPr>
              <w:t>200,00 euros</w:t>
            </w:r>
          </w:p>
        </w:tc>
      </w:tr>
      <w:tr w:rsidR="00C11861" w:rsidRPr="00F91BDD" w14:paraId="14168797" w14:textId="77777777" w:rsidTr="00C11861">
        <w:trPr>
          <w:trHeight w:val="300"/>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25D60B" w14:textId="77777777" w:rsidR="00C11861" w:rsidRPr="00F91BDD" w:rsidRDefault="00C11861">
            <w:pPr>
              <w:numPr>
                <w:ilvl w:val="0"/>
                <w:numId w:val="22"/>
              </w:numPr>
              <w:tabs>
                <w:tab w:val="left" w:pos="360"/>
                <w:tab w:val="left" w:pos="567"/>
              </w:tabs>
              <w:spacing w:before="120" w:after="120" w:line="240" w:lineRule="auto"/>
              <w:contextualSpacing/>
              <w:textAlignment w:val="baseline"/>
              <w:rPr>
                <w:rFonts w:cs="Calibri Light"/>
                <w:spacing w:val="1"/>
                <w:sz w:val="20"/>
                <w:szCs w:val="20"/>
              </w:rPr>
            </w:pPr>
            <w:r w:rsidRPr="00F91BDD">
              <w:rPr>
                <w:rFonts w:cs="Calibri Light"/>
                <w:spacing w:val="1"/>
                <w:sz w:val="20"/>
                <w:szCs w:val="20"/>
              </w:rPr>
              <w:t>pour le traitement des demandes de permis d’urbanisme de constructions groupées, les permis d’urbanisme ou certificats avec écart du schéma de développement du territoire ou avec dérogation au plan de secteur</w:t>
            </w:r>
          </w:p>
        </w:tc>
        <w:tc>
          <w:tcPr>
            <w:tcW w:w="1559" w:type="dxa"/>
            <w:tcBorders>
              <w:top w:val="single" w:sz="8" w:space="0" w:color="auto"/>
              <w:left w:val="nil"/>
              <w:bottom w:val="single" w:sz="8" w:space="0" w:color="auto"/>
              <w:right w:val="single" w:sz="4" w:space="0" w:color="auto"/>
            </w:tcBorders>
            <w:vAlign w:val="center"/>
          </w:tcPr>
          <w:p w14:paraId="64914387" w14:textId="77777777" w:rsidR="00C11861" w:rsidRPr="00F91BDD" w:rsidRDefault="00C11861" w:rsidP="00F323D9">
            <w:pPr>
              <w:tabs>
                <w:tab w:val="left" w:pos="360"/>
                <w:tab w:val="left" w:pos="567"/>
              </w:tabs>
              <w:spacing w:before="120"/>
              <w:contextualSpacing/>
              <w:jc w:val="center"/>
              <w:textAlignment w:val="baseline"/>
              <w:rPr>
                <w:rFonts w:cs="Calibri Light"/>
                <w:spacing w:val="1"/>
                <w:sz w:val="20"/>
                <w:szCs w:val="20"/>
              </w:rPr>
            </w:pPr>
            <w:r w:rsidRPr="00F91BDD">
              <w:rPr>
                <w:rFonts w:cs="Calibri Light"/>
                <w:spacing w:val="1"/>
                <w:sz w:val="20"/>
                <w:szCs w:val="20"/>
              </w:rPr>
              <w:t>350,00 euros</w:t>
            </w:r>
          </w:p>
        </w:tc>
      </w:tr>
      <w:tr w:rsidR="00C11861" w:rsidRPr="00F91BDD" w14:paraId="3296FDE2" w14:textId="77777777" w:rsidTr="00C11861">
        <w:trPr>
          <w:trHeight w:val="300"/>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5C7031" w14:textId="77777777" w:rsidR="00C11861" w:rsidRPr="00F91BDD" w:rsidRDefault="00C11861">
            <w:pPr>
              <w:pStyle w:val="Paragraphedeliste"/>
              <w:numPr>
                <w:ilvl w:val="0"/>
                <w:numId w:val="22"/>
              </w:numPr>
              <w:spacing w:after="120" w:line="240" w:lineRule="auto"/>
              <w:contextualSpacing w:val="0"/>
              <w:rPr>
                <w:rFonts w:cs="Calibri Light"/>
                <w:spacing w:val="1"/>
                <w:sz w:val="20"/>
                <w:szCs w:val="20"/>
              </w:rPr>
            </w:pPr>
            <w:r w:rsidRPr="00F91BDD">
              <w:rPr>
                <w:rFonts w:cs="Calibri Light"/>
                <w:spacing w:val="1"/>
                <w:sz w:val="20"/>
                <w:szCs w:val="20"/>
              </w:rPr>
              <w:t>pour l'indication sur place de l'implantation et l'établissement du procès-verbal y afférent (visés à l'article D.IV.72 du CoDT)</w:t>
            </w:r>
          </w:p>
        </w:tc>
        <w:tc>
          <w:tcPr>
            <w:tcW w:w="1559" w:type="dxa"/>
            <w:tcBorders>
              <w:top w:val="single" w:sz="8" w:space="0" w:color="auto"/>
              <w:left w:val="nil"/>
              <w:bottom w:val="single" w:sz="8" w:space="0" w:color="auto"/>
              <w:right w:val="single" w:sz="4" w:space="0" w:color="auto"/>
            </w:tcBorders>
            <w:vAlign w:val="center"/>
          </w:tcPr>
          <w:p w14:paraId="5848D474" w14:textId="77777777" w:rsidR="00C11861" w:rsidRPr="00F91BDD" w:rsidRDefault="00C11861" w:rsidP="00F323D9">
            <w:pPr>
              <w:tabs>
                <w:tab w:val="left" w:pos="360"/>
                <w:tab w:val="left" w:pos="567"/>
              </w:tabs>
              <w:spacing w:before="120"/>
              <w:contextualSpacing/>
              <w:jc w:val="center"/>
              <w:textAlignment w:val="baseline"/>
              <w:rPr>
                <w:rFonts w:cs="Calibri Light"/>
                <w:spacing w:val="1"/>
                <w:sz w:val="20"/>
                <w:szCs w:val="20"/>
              </w:rPr>
            </w:pPr>
            <w:r w:rsidRPr="00F91BDD">
              <w:rPr>
                <w:rFonts w:cs="Calibri Light"/>
                <w:spacing w:val="1"/>
                <w:sz w:val="20"/>
                <w:szCs w:val="20"/>
              </w:rPr>
              <w:t>300,00 euros</w:t>
            </w:r>
          </w:p>
        </w:tc>
      </w:tr>
      <w:tr w:rsidR="00C11861" w:rsidRPr="00F91BDD" w14:paraId="51828647" w14:textId="77777777" w:rsidTr="00C11861">
        <w:trPr>
          <w:trHeight w:val="300"/>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96A030" w14:textId="77777777" w:rsidR="00C11861" w:rsidRPr="00F91BDD" w:rsidRDefault="00C11861">
            <w:pPr>
              <w:numPr>
                <w:ilvl w:val="0"/>
                <w:numId w:val="22"/>
              </w:numPr>
              <w:tabs>
                <w:tab w:val="left" w:pos="360"/>
                <w:tab w:val="left" w:pos="567"/>
              </w:tabs>
              <w:spacing w:before="120" w:after="120" w:line="240" w:lineRule="auto"/>
              <w:contextualSpacing/>
              <w:textAlignment w:val="baseline"/>
              <w:rPr>
                <w:rFonts w:cs="Calibri Light"/>
                <w:spacing w:val="1"/>
                <w:sz w:val="20"/>
                <w:szCs w:val="20"/>
              </w:rPr>
            </w:pPr>
            <w:r w:rsidRPr="00F91BDD">
              <w:rPr>
                <w:rFonts w:cs="Calibri Light"/>
                <w:spacing w:val="1"/>
                <w:sz w:val="20"/>
                <w:szCs w:val="20"/>
              </w:rPr>
              <w:t>pour le traitement des demandes de permis d’urbanisme de régularisation</w:t>
            </w:r>
          </w:p>
        </w:tc>
        <w:tc>
          <w:tcPr>
            <w:tcW w:w="1559" w:type="dxa"/>
            <w:tcBorders>
              <w:top w:val="single" w:sz="8" w:space="0" w:color="auto"/>
              <w:left w:val="nil"/>
              <w:bottom w:val="single" w:sz="8" w:space="0" w:color="auto"/>
              <w:right w:val="single" w:sz="4" w:space="0" w:color="auto"/>
            </w:tcBorders>
            <w:vAlign w:val="center"/>
          </w:tcPr>
          <w:p w14:paraId="5E8C5084" w14:textId="77777777" w:rsidR="00C11861" w:rsidRPr="00F91BDD" w:rsidRDefault="00C11861" w:rsidP="00F323D9">
            <w:pPr>
              <w:tabs>
                <w:tab w:val="left" w:pos="360"/>
                <w:tab w:val="left" w:pos="567"/>
              </w:tabs>
              <w:spacing w:before="120"/>
              <w:contextualSpacing/>
              <w:jc w:val="center"/>
              <w:textAlignment w:val="baseline"/>
              <w:rPr>
                <w:rFonts w:cs="Calibri Light"/>
                <w:spacing w:val="1"/>
                <w:sz w:val="20"/>
                <w:szCs w:val="20"/>
              </w:rPr>
            </w:pPr>
            <w:r w:rsidRPr="00F91BDD">
              <w:rPr>
                <w:rFonts w:cs="Calibri Light"/>
                <w:spacing w:val="1"/>
                <w:sz w:val="20"/>
                <w:szCs w:val="20"/>
              </w:rPr>
              <w:t>500,00 euros</w:t>
            </w:r>
          </w:p>
        </w:tc>
      </w:tr>
    </w:tbl>
    <w:p w14:paraId="176640C4" w14:textId="77777777" w:rsidR="00795C3E" w:rsidRPr="00F91BDD" w:rsidRDefault="00795C3E" w:rsidP="00795C3E">
      <w:pPr>
        <w:tabs>
          <w:tab w:val="right" w:pos="8352"/>
        </w:tabs>
        <w:spacing w:before="120"/>
        <w:textAlignment w:val="baseline"/>
        <w:rPr>
          <w:rFonts w:cs="Calibri Light"/>
        </w:rPr>
      </w:pPr>
    </w:p>
    <w:p w14:paraId="48CF530E" w14:textId="77777777" w:rsidR="00795C3E" w:rsidRPr="00F91BDD" w:rsidRDefault="00795C3E" w:rsidP="00795C3E">
      <w:pPr>
        <w:tabs>
          <w:tab w:val="right" w:pos="8352"/>
        </w:tabs>
        <w:spacing w:before="120"/>
        <w:textAlignment w:val="baseline"/>
        <w:rPr>
          <w:rFonts w:cs="Calibri Light"/>
        </w:rPr>
      </w:pPr>
      <w:r w:rsidRPr="00F91BDD">
        <w:rPr>
          <w:rFonts w:cs="Calibri Light"/>
        </w:rPr>
        <w:t>En ce qui concerne le permis d’urbanisme de régularisation, si l’on peut comprendre que l’instruction d’un tel permis nécessite un travail spécifique et des recherches, il convient de rappeler qu’en aucun cas le forfait demandé ne doit être susceptible d’être requalifié en amende ou sanction. Il convient donc d’être particulièrement attentif afin d’éviter une disproportion entre le montant fixé pour la régularisation et les montants réclamés en cas de demande de permis respectant la procédure « normale ».</w:t>
      </w:r>
    </w:p>
    <w:p w14:paraId="54B20E3C" w14:textId="2CA411FF" w:rsidR="00795C3E" w:rsidRPr="00F91BDD" w:rsidRDefault="00795C3E" w:rsidP="00795C3E">
      <w:pPr>
        <w:tabs>
          <w:tab w:val="right" w:pos="8352"/>
        </w:tabs>
        <w:spacing w:before="120"/>
        <w:textAlignment w:val="baseline"/>
        <w:rPr>
          <w:rFonts w:cs="Calibri Light"/>
        </w:rPr>
      </w:pPr>
      <w:r w:rsidRPr="00F91BDD">
        <w:rPr>
          <w:rFonts w:cs="Calibri Light"/>
        </w:rPr>
        <w:t>L’idéal serait d’établir le montant du permis de régularisation en fonction des différents types de permis. Par ailleurs, si vous souhaitez adopter un montant forfaitaire supérieur à 500 euros , le préambule devra impérativement contenir une justification chiffrée et détaillée des éléments qui composent ce montant.</w:t>
      </w:r>
    </w:p>
    <w:p w14:paraId="4DD8FEF2" w14:textId="77777777" w:rsidR="00795C3E" w:rsidRPr="00F91BDD" w:rsidRDefault="00795C3E" w:rsidP="00795C3E">
      <w:pPr>
        <w:tabs>
          <w:tab w:val="right" w:pos="8352"/>
        </w:tabs>
        <w:spacing w:before="120"/>
        <w:textAlignment w:val="baseline"/>
        <w:rPr>
          <w:rFonts w:cs="Calibri Light"/>
        </w:rPr>
      </w:pPr>
      <w:r w:rsidRPr="00F91BDD">
        <w:rPr>
          <w:rFonts w:cs="Calibri Light"/>
        </w:rPr>
        <w:t>Dans l’hypothèse où le règlement-redevance prévoit des forfaits, on peut toujours y prévoir une disposition qui précise que si le traitement du dossier entraîne une dépense supérieure au taux forfaitaire prévu pour la catégorie concernée, le coût sera facturé sur base d'un décompte des frais réels. A défaut de prévoir une disposition en ce sens, la commune serait dans l'impossibilité de se rémunérer correctement et de récupérer la différence entre le coût réel et le forfait établi.</w:t>
      </w:r>
    </w:p>
    <w:p w14:paraId="18B95A04" w14:textId="77777777" w:rsidR="00795C3E" w:rsidRPr="0089192B" w:rsidRDefault="00795C3E">
      <w:pPr>
        <w:pStyle w:val="Titre4"/>
        <w:numPr>
          <w:ilvl w:val="0"/>
          <w:numId w:val="108"/>
        </w:numPr>
      </w:pPr>
      <w:bookmarkStart w:id="1022" w:name="_Toc40185524"/>
      <w:bookmarkStart w:id="1023" w:name="_Toc40186259"/>
      <w:bookmarkStart w:id="1024" w:name="_Toc40185525"/>
      <w:bookmarkStart w:id="1025" w:name="_Toc40186260"/>
      <w:bookmarkStart w:id="1026" w:name="_Toc40185526"/>
      <w:bookmarkStart w:id="1027" w:name="_Toc40186261"/>
      <w:bookmarkStart w:id="1028" w:name="_Toc40185527"/>
      <w:bookmarkStart w:id="1029" w:name="_Toc40186262"/>
      <w:bookmarkStart w:id="1030" w:name="_Toc143779159"/>
      <w:bookmarkStart w:id="1031" w:name="_Toc208420061"/>
      <w:bookmarkEnd w:id="1022"/>
      <w:bookmarkEnd w:id="1023"/>
      <w:bookmarkEnd w:id="1024"/>
      <w:bookmarkEnd w:id="1025"/>
      <w:bookmarkEnd w:id="1026"/>
      <w:bookmarkEnd w:id="1027"/>
      <w:bookmarkEnd w:id="1028"/>
      <w:bookmarkEnd w:id="1029"/>
      <w:r w:rsidRPr="0089192B">
        <w:t>Travaux administratifs spéciaux</w:t>
      </w:r>
      <w:bookmarkStart w:id="1032" w:name="_Hlk99544811"/>
      <w:bookmarkStart w:id="1033" w:name="_Hlk128465755"/>
      <w:bookmarkEnd w:id="1030"/>
      <w:bookmarkEnd w:id="1031"/>
      <w:r w:rsidRPr="0089192B">
        <w:t xml:space="preserve"> </w:t>
      </w:r>
      <w:bookmarkEnd w:id="1032"/>
    </w:p>
    <w:p w14:paraId="19BF059A" w14:textId="0746ED88" w:rsidR="00795C3E" w:rsidRPr="00F91BDD" w:rsidRDefault="00795C3E" w:rsidP="00795C3E">
      <w:pPr>
        <w:tabs>
          <w:tab w:val="left" w:pos="360"/>
          <w:tab w:val="left" w:pos="567"/>
        </w:tabs>
        <w:spacing w:before="120"/>
        <w:contextualSpacing/>
        <w:textAlignment w:val="baseline"/>
        <w:rPr>
          <w:rFonts w:cs="Calibri Light"/>
        </w:rPr>
      </w:pPr>
      <w:r w:rsidRPr="00F91BDD">
        <w:rPr>
          <w:rFonts w:cs="Calibri Light"/>
          <w:spacing w:val="1"/>
        </w:rPr>
        <w:t xml:space="preserve">La redevance pour des travaux administratifs spéciaux sera </w:t>
      </w:r>
      <w:r w:rsidRPr="00F91BDD">
        <w:rPr>
          <w:rFonts w:cs="Calibri Light"/>
        </w:rPr>
        <w:t xml:space="preserve">établie en fonction des frais réels (temps, coût salarial, autres charges). Une redevance pourra être prévue pour récupérer les frais engagés par la commune lors de l'établissement de dossiers sortant du cadre habituel des services rendus (délivrance de permis présentant un caractère exceptionnel, frais d'enquêtes publiques, </w:t>
      </w:r>
      <w:r w:rsidRPr="00F91BDD">
        <w:rPr>
          <w:rFonts w:cs="Calibri Light"/>
          <w:spacing w:val="1"/>
        </w:rPr>
        <w:t xml:space="preserve">demande de création, de modification, de confirmation ou de suppression d’une voirie communale sur base du décret relatif à la voirie communale du 6 février 2014, </w:t>
      </w:r>
      <w:r w:rsidRPr="00F91BDD">
        <w:rPr>
          <w:rFonts w:cs="Calibri Light"/>
        </w:rPr>
        <w:t>etc.).</w:t>
      </w:r>
      <w:r w:rsidR="332D951C" w:rsidRPr="20BF8FC0">
        <w:rPr>
          <w:rFonts w:cs="Calibri Light"/>
        </w:rPr>
        <w:t xml:space="preserve"> Si vous souhaitez adopter un montant forfaitaire, le préambule devra </w:t>
      </w:r>
      <w:r w:rsidR="332D951C" w:rsidRPr="20BF8FC0">
        <w:rPr>
          <w:rFonts w:cs="Calibri Light"/>
        </w:rPr>
        <w:lastRenderedPageBreak/>
        <w:t>impérativement contenir une justification chiffrée et détaillée des éléments qui composent ce montant.</w:t>
      </w:r>
    </w:p>
    <w:p w14:paraId="5046969F" w14:textId="77777777" w:rsidR="00795C3E" w:rsidRPr="00F91BDD" w:rsidRDefault="00795C3E" w:rsidP="00795C3E">
      <w:pPr>
        <w:spacing w:before="120"/>
        <w:textAlignment w:val="baseline"/>
        <w:rPr>
          <w:rFonts w:cs="Calibri Light"/>
        </w:rPr>
      </w:pPr>
      <w:r w:rsidRPr="00F91BDD">
        <w:rPr>
          <w:rFonts w:cs="Calibri Light"/>
        </w:rPr>
        <w:t>Les communes sont tenues de rembourser la redevance dans les cas visés à l’article D.IV.47§4 (à savoir, lorsque la commune n’a pas rendu, dans le délai prescrit, sa décision sur les demandes de permis et de certificats d’urbanisme n°2).</w:t>
      </w:r>
      <w:bookmarkEnd w:id="1033"/>
    </w:p>
    <w:p w14:paraId="3F0D3C03" w14:textId="77777777" w:rsidR="00795C3E" w:rsidRPr="006865F9" w:rsidRDefault="00795C3E">
      <w:pPr>
        <w:pStyle w:val="Titre4"/>
        <w:numPr>
          <w:ilvl w:val="0"/>
          <w:numId w:val="108"/>
        </w:numPr>
      </w:pPr>
      <w:bookmarkStart w:id="1034" w:name="_Toc40185529"/>
      <w:bookmarkStart w:id="1035" w:name="_Toc40186264"/>
      <w:bookmarkStart w:id="1036" w:name="_Toc34813752"/>
      <w:bookmarkStart w:id="1037" w:name="_Toc143779160"/>
      <w:bookmarkStart w:id="1038" w:name="_Toc208420062"/>
      <w:bookmarkEnd w:id="1034"/>
      <w:bookmarkEnd w:id="1035"/>
      <w:r w:rsidRPr="006865F9">
        <w:t>Recherches généalogiques</w:t>
      </w:r>
      <w:bookmarkStart w:id="1039" w:name="_Hlk68534184"/>
      <w:bookmarkEnd w:id="1036"/>
      <w:bookmarkEnd w:id="1037"/>
      <w:bookmarkEnd w:id="1038"/>
    </w:p>
    <w:p w14:paraId="79C4084B" w14:textId="77777777" w:rsidR="00795C3E" w:rsidRPr="00F91BDD" w:rsidRDefault="00795C3E" w:rsidP="00795C3E">
      <w:pPr>
        <w:tabs>
          <w:tab w:val="left" w:pos="360"/>
          <w:tab w:val="left" w:pos="567"/>
        </w:tabs>
        <w:spacing w:before="120"/>
        <w:textAlignment w:val="baseline"/>
        <w:rPr>
          <w:rFonts w:cstheme="minorHAnsi"/>
          <w:shd w:val="clear" w:color="auto" w:fill="FFFFFF"/>
        </w:rPr>
      </w:pPr>
      <w:bookmarkStart w:id="1040" w:name="_Hlk129080303"/>
      <w:bookmarkEnd w:id="1039"/>
      <w:r w:rsidRPr="00F91BDD">
        <w:rPr>
          <w:spacing w:val="1"/>
        </w:rPr>
        <w:t xml:space="preserve">La loi du 21 décembre 2018 portant des dispositions diverses en matière de justice </w:t>
      </w:r>
      <w:r w:rsidRPr="00F91BDD">
        <w:rPr>
          <w:rStyle w:val="Appelnotedebasdep"/>
          <w:spacing w:val="1"/>
        </w:rPr>
        <w:footnoteReference w:id="83"/>
      </w:r>
      <w:r w:rsidRPr="00F91BDD">
        <w:rPr>
          <w:spacing w:val="1"/>
        </w:rPr>
        <w:t xml:space="preserve">a modifié depuis </w:t>
      </w:r>
      <w:r w:rsidRPr="00F91BDD">
        <w:rPr>
          <w:shd w:val="clear" w:color="auto" w:fill="FFFFFF"/>
        </w:rPr>
        <w:t>1er avril 2019, la législation concernant l’accès aux actes d’Etat civil.</w:t>
      </w:r>
    </w:p>
    <w:p w14:paraId="707F10D7" w14:textId="77777777" w:rsidR="00795C3E" w:rsidRPr="00F91BDD" w:rsidRDefault="00795C3E" w:rsidP="00795C3E">
      <w:pPr>
        <w:tabs>
          <w:tab w:val="left" w:pos="360"/>
          <w:tab w:val="left" w:pos="567"/>
        </w:tabs>
        <w:spacing w:before="120"/>
        <w:textAlignment w:val="baseline"/>
        <w:rPr>
          <w:rFonts w:cstheme="minorHAnsi"/>
          <w:shd w:val="clear" w:color="auto" w:fill="FFFFFF"/>
        </w:rPr>
      </w:pPr>
      <w:r w:rsidRPr="00F91BDD">
        <w:rPr>
          <w:rFonts w:cstheme="minorHAnsi"/>
          <w:shd w:val="clear" w:color="auto" w:fill="FFFFFF"/>
        </w:rPr>
        <w:t>Les délais de communication des actes sont désormais les suivants :</w:t>
      </w:r>
    </w:p>
    <w:p w14:paraId="55B60203" w14:textId="77777777" w:rsidR="00795C3E" w:rsidRPr="00F91BDD" w:rsidRDefault="00795C3E">
      <w:pPr>
        <w:pStyle w:val="Paragraphedeliste"/>
        <w:numPr>
          <w:ilvl w:val="0"/>
          <w:numId w:val="22"/>
        </w:numPr>
        <w:tabs>
          <w:tab w:val="left" w:pos="360"/>
          <w:tab w:val="left" w:pos="567"/>
        </w:tabs>
        <w:spacing w:before="120" w:after="120" w:line="240" w:lineRule="auto"/>
        <w:contextualSpacing w:val="0"/>
        <w:textAlignment w:val="baseline"/>
        <w:rPr>
          <w:rFonts w:cstheme="minorHAnsi"/>
          <w:spacing w:val="1"/>
        </w:rPr>
      </w:pPr>
      <w:r w:rsidRPr="00F91BDD">
        <w:rPr>
          <w:rFonts w:cstheme="minorHAnsi"/>
          <w:shd w:val="clear" w:color="auto" w:fill="FFFFFF"/>
        </w:rPr>
        <w:t>100 ans pour les autres actes (actes de naissance) ;</w:t>
      </w:r>
    </w:p>
    <w:p w14:paraId="42781B4F" w14:textId="77777777" w:rsidR="00795C3E" w:rsidRPr="00F91BDD" w:rsidRDefault="00795C3E">
      <w:pPr>
        <w:pStyle w:val="Paragraphedeliste"/>
        <w:numPr>
          <w:ilvl w:val="0"/>
          <w:numId w:val="22"/>
        </w:numPr>
        <w:tabs>
          <w:tab w:val="left" w:pos="360"/>
          <w:tab w:val="left" w:pos="567"/>
        </w:tabs>
        <w:spacing w:before="120" w:after="120" w:line="240" w:lineRule="auto"/>
        <w:contextualSpacing w:val="0"/>
        <w:textAlignment w:val="baseline"/>
        <w:rPr>
          <w:rFonts w:cstheme="minorHAnsi"/>
          <w:spacing w:val="1"/>
        </w:rPr>
      </w:pPr>
      <w:r w:rsidRPr="00F91BDD">
        <w:rPr>
          <w:rFonts w:cstheme="minorHAnsi"/>
          <w:shd w:val="clear" w:color="auto" w:fill="FFFFFF"/>
        </w:rPr>
        <w:t>75 ans pour les actes de mariage ;</w:t>
      </w:r>
    </w:p>
    <w:p w14:paraId="14BC86F6" w14:textId="77777777" w:rsidR="00795C3E" w:rsidRPr="00F91BDD" w:rsidRDefault="00795C3E">
      <w:pPr>
        <w:pStyle w:val="Paragraphedeliste"/>
        <w:numPr>
          <w:ilvl w:val="0"/>
          <w:numId w:val="22"/>
        </w:numPr>
        <w:tabs>
          <w:tab w:val="left" w:pos="360"/>
          <w:tab w:val="left" w:pos="567"/>
        </w:tabs>
        <w:spacing w:before="120" w:after="120" w:line="240" w:lineRule="auto"/>
        <w:contextualSpacing w:val="0"/>
        <w:textAlignment w:val="baseline"/>
        <w:rPr>
          <w:rFonts w:cstheme="minorHAnsi"/>
          <w:spacing w:val="1"/>
        </w:rPr>
      </w:pPr>
      <w:r w:rsidRPr="00F91BDD">
        <w:rPr>
          <w:rFonts w:cstheme="minorHAnsi"/>
          <w:shd w:val="clear" w:color="auto" w:fill="FFFFFF"/>
        </w:rPr>
        <w:t xml:space="preserve">50 ans pour les actes de décès. </w:t>
      </w:r>
    </w:p>
    <w:p w14:paraId="1F923601" w14:textId="19969DC2" w:rsidR="00795C3E" w:rsidRPr="00F91BDD" w:rsidRDefault="00795C3E" w:rsidP="00795C3E">
      <w:pPr>
        <w:tabs>
          <w:tab w:val="left" w:pos="360"/>
          <w:tab w:val="left" w:pos="567"/>
        </w:tabs>
        <w:spacing w:before="120"/>
        <w:textAlignment w:val="baseline"/>
        <w:rPr>
          <w:rFonts w:cs="Calibri Light"/>
          <w:spacing w:val="1"/>
        </w:rPr>
      </w:pPr>
      <w:r w:rsidRPr="00F91BDD">
        <w:rPr>
          <w:shd w:val="clear" w:color="auto" w:fill="FFFFFF"/>
        </w:rPr>
        <w:t xml:space="preserve">En deçà de ces délais, il n’est pas possible actuellement d’obtenir de copies ou d’extraits des actes d’Etat civil excepté pour les autorités publiques, la personne que l'acte concerne, son conjoint ou son conjoint survivant, son représentant légal, ses ascendants/descendants en ligne directe, ses héritiers, leur notaire et leur avocat </w:t>
      </w:r>
      <w:r w:rsidR="2BAB171F">
        <w:t xml:space="preserve">(avec mandat exprès) </w:t>
      </w:r>
      <w:r w:rsidRPr="00F91BDD">
        <w:rPr>
          <w:shd w:val="clear" w:color="auto" w:fill="FFFFFF"/>
        </w:rPr>
        <w:t>ou une personne ayant une autorisation explicite de la personne concernée</w:t>
      </w:r>
      <w:r w:rsidRPr="00F91BDD">
        <w:rPr>
          <w:rFonts w:cs="Calibri Light"/>
          <w:spacing w:val="1"/>
        </w:rPr>
        <w:t>. Si cette personne est décédée, l’autorisation d’un des héritiers suffit</w:t>
      </w:r>
      <w:r w:rsidRPr="00F91BDD">
        <w:rPr>
          <w:rStyle w:val="Appelnotedebasdep"/>
          <w:rFonts w:cs="Calibri Light"/>
          <w:spacing w:val="1"/>
        </w:rPr>
        <w:footnoteReference w:id="84"/>
      </w:r>
      <w:r w:rsidRPr="00F91BDD">
        <w:rPr>
          <w:rFonts w:cs="Calibri Light"/>
          <w:spacing w:val="1"/>
        </w:rPr>
        <w:t xml:space="preserve">. </w:t>
      </w:r>
    </w:p>
    <w:p w14:paraId="472E8567" w14:textId="77777777" w:rsidR="00795C3E" w:rsidRPr="00F91BDD" w:rsidRDefault="00795C3E" w:rsidP="00795C3E">
      <w:pPr>
        <w:tabs>
          <w:tab w:val="left" w:pos="360"/>
          <w:tab w:val="left" w:pos="567"/>
        </w:tabs>
        <w:spacing w:before="120"/>
        <w:textAlignment w:val="baseline"/>
        <w:rPr>
          <w:rFonts w:cs="Calibri Light"/>
          <w:spacing w:val="1"/>
        </w:rPr>
      </w:pPr>
      <w:r w:rsidRPr="00F91BDD">
        <w:rPr>
          <w:rFonts w:cs="Calibri Light"/>
          <w:spacing w:val="1"/>
        </w:rPr>
        <w:t>Cette loi du 18 juin 2018, modifiée par la loi du 21 décembre 2018 portant des dispositions diverses en matière de justice, a retiré au tribunal de la famille la compétence d’octroi du consentement à l’exécution de certaines recherches ou à la délivrance d’une copie conforme ou d’un extrait sur la filiation des personnes que l’acte concerne.</w:t>
      </w:r>
    </w:p>
    <w:bookmarkEnd w:id="1040"/>
    <w:p w14:paraId="5EC08D5E" w14:textId="77777777" w:rsidR="00795C3E" w:rsidRPr="00F91BDD" w:rsidRDefault="00795C3E" w:rsidP="00795C3E">
      <w:pPr>
        <w:tabs>
          <w:tab w:val="left" w:pos="360"/>
          <w:tab w:val="left" w:pos="567"/>
        </w:tabs>
        <w:spacing w:before="120"/>
        <w:textAlignment w:val="baseline"/>
        <w:rPr>
          <w:rFonts w:cs="Calibri Light"/>
          <w:spacing w:val="1"/>
        </w:rPr>
      </w:pPr>
      <w:r w:rsidRPr="00F91BDD">
        <w:rPr>
          <w:rFonts w:cs="Calibri Light"/>
          <w:spacing w:val="1"/>
        </w:rPr>
        <w:t>C’est désormais l’arrêté royal du 17 mars 2021</w:t>
      </w:r>
      <w:r w:rsidRPr="00F91BDD">
        <w:rPr>
          <w:rStyle w:val="Appelnotedebasdep"/>
          <w:rFonts w:cs="Calibri Light"/>
          <w:spacing w:val="1"/>
        </w:rPr>
        <w:footnoteReference w:id="85"/>
      </w:r>
      <w:r w:rsidRPr="00F91BDD">
        <w:rPr>
          <w:rFonts w:cs="Calibri Light"/>
          <w:spacing w:val="1"/>
        </w:rPr>
        <w:t xml:space="preserve"> relatif aux recherches à des fins généalogiques dans les actes de l’état civil, à l’obtention des extraits et des copies de et la consultation d’actes publics de l’état civil, et accordant l’accès à la BAEC aux Archives générales du Royaume et Archives de l’Etat qui règle les modalités de consultation et de délivrances de copies des actes d’état civil.</w:t>
      </w:r>
    </w:p>
    <w:p w14:paraId="1BFC3DE5" w14:textId="77777777" w:rsidR="00795C3E" w:rsidRPr="00F91BDD" w:rsidRDefault="00795C3E" w:rsidP="00795C3E">
      <w:pPr>
        <w:tabs>
          <w:tab w:val="left" w:pos="360"/>
          <w:tab w:val="left" w:pos="567"/>
        </w:tabs>
        <w:spacing w:before="120"/>
        <w:textAlignment w:val="baseline"/>
        <w:rPr>
          <w:rFonts w:cs="Calibri Light"/>
          <w:spacing w:val="1"/>
        </w:rPr>
      </w:pPr>
      <w:r w:rsidRPr="00F91BDD">
        <w:rPr>
          <w:rFonts w:cs="Calibri Light"/>
          <w:spacing w:val="1"/>
        </w:rPr>
        <w:t>Cet arrêté ne se prononce pas sur la gratuité ou non de la délivrance de ces documents mais, dans l’avis qu’il a rendu le Conseil d'Etat</w:t>
      </w:r>
      <w:r w:rsidRPr="00F91BDD">
        <w:rPr>
          <w:rStyle w:val="Appelnotedebasdep"/>
          <w:rFonts w:cs="Calibri Light"/>
          <w:spacing w:val="1"/>
        </w:rPr>
        <w:footnoteReference w:id="86"/>
      </w:r>
      <w:r w:rsidRPr="00F91BDD">
        <w:rPr>
          <w:rFonts w:cs="Calibri Light"/>
          <w:spacing w:val="1"/>
        </w:rPr>
        <w:t xml:space="preserve"> se base sur l’art 173 de la Constitution et sur l’article 13 de la loi du 12 novembre 1997 relative à la publicité de l’administration dans les provinces et les communes pour justifier l’établissement d’une redevance pour la délivrance </w:t>
      </w:r>
      <w:r w:rsidRPr="00F91BDD">
        <w:rPr>
          <w:rFonts w:cs="Calibri Light"/>
          <w:spacing w:val="1"/>
        </w:rPr>
        <w:lastRenderedPageBreak/>
        <w:t>de la copie d’un document administratif (laquelle ne peut en aucun cas excéder le prix coûtant).</w:t>
      </w:r>
    </w:p>
    <w:p w14:paraId="36DF3F80" w14:textId="77777777" w:rsidR="00795C3E" w:rsidRPr="00F91BDD" w:rsidRDefault="00795C3E" w:rsidP="00795C3E">
      <w:pPr>
        <w:tabs>
          <w:tab w:val="left" w:pos="360"/>
          <w:tab w:val="left" w:pos="567"/>
        </w:tabs>
        <w:spacing w:before="120"/>
        <w:textAlignment w:val="baseline"/>
        <w:rPr>
          <w:rFonts w:cs="Calibri Light"/>
          <w:spacing w:val="1"/>
        </w:rPr>
      </w:pPr>
      <w:r w:rsidRPr="00F91BDD">
        <w:rPr>
          <w:rFonts w:cs="Calibri Light"/>
          <w:spacing w:val="1"/>
        </w:rPr>
        <w:t xml:space="preserve">Il rappelle qu’en principe, l’accès à l’information (y compris la délivrance d’une copie) est donc gratuit mais que la possibilité existe de demander une rétribution visant uniquement à prévenir et à combattre les abus. </w:t>
      </w:r>
    </w:p>
    <w:p w14:paraId="5B919C6B" w14:textId="77777777" w:rsidR="002600A2" w:rsidRDefault="00795C3E" w:rsidP="00795C3E">
      <w:pPr>
        <w:tabs>
          <w:tab w:val="left" w:pos="360"/>
          <w:tab w:val="left" w:pos="567"/>
        </w:tabs>
        <w:spacing w:before="120"/>
        <w:textAlignment w:val="baseline"/>
        <w:rPr>
          <w:rFonts w:cs="Calibri Light"/>
          <w:spacing w:val="1"/>
        </w:rPr>
      </w:pPr>
      <w:r w:rsidRPr="00F91BDD">
        <w:rPr>
          <w:rFonts w:cs="Calibri Light"/>
          <w:spacing w:val="1"/>
        </w:rPr>
        <w:t>Pour déterminer le prix coûtant, on peut tenir compte des frais de papier et éventuellement de l’amortissement de la machine à photocopier. En principe, les frais de personnel, de port, etc. ne peuvent pas être pris en considération, sauf dans des cas exceptionnels, par exemple, quand il faut immobiliser un membre du personnel pendant toute la journée à cause de la quantité de photocopies à faire. Pourtant, la rétribution demandée ne peut avoir pour but d’entraver la publicité et elle ne peut donc être dissuasive.″.</w:t>
      </w:r>
    </w:p>
    <w:p w14:paraId="7D1A4832" w14:textId="76DB712C" w:rsidR="00795C3E" w:rsidRPr="00F91BDD" w:rsidRDefault="59FBA4E5" w:rsidP="00795C3E">
      <w:pPr>
        <w:tabs>
          <w:tab w:val="left" w:pos="360"/>
          <w:tab w:val="left" w:pos="567"/>
        </w:tabs>
        <w:spacing w:before="120"/>
        <w:textAlignment w:val="baseline"/>
        <w:rPr>
          <w:rFonts w:cs="Calibri Light"/>
          <w:spacing w:val="1"/>
        </w:rPr>
      </w:pPr>
      <w:r w:rsidRPr="00F91BDD">
        <w:rPr>
          <w:rFonts w:cs="Calibri Light"/>
          <w:spacing w:val="1"/>
        </w:rPr>
        <w:t>L</w:t>
      </w:r>
      <w:r w:rsidR="18F34A95" w:rsidRPr="00F91BDD">
        <w:rPr>
          <w:rFonts w:cs="Calibri Light"/>
          <w:spacing w:val="1"/>
        </w:rPr>
        <w:t>’article</w:t>
      </w:r>
      <w:r w:rsidR="00795C3E" w:rsidRPr="00F91BDD">
        <w:rPr>
          <w:rFonts w:cs="Calibri Light"/>
          <w:spacing w:val="1"/>
        </w:rPr>
        <w:t xml:space="preserve"> 6 de cet AR prévoit que la consultation des actes de l’état civil non publics à des fins généalogiques s’effectue par la délivrance des copies ou des extraits par l’officier de l’état civil de la commune dans laquelle l’acte a été établi. Il prévoit aussi que la demande comprend :</w:t>
      </w:r>
    </w:p>
    <w:p w14:paraId="74509E1F" w14:textId="77777777" w:rsidR="00795C3E" w:rsidRPr="00F91BDD" w:rsidRDefault="00795C3E" w:rsidP="00795C3E">
      <w:pPr>
        <w:tabs>
          <w:tab w:val="left" w:pos="360"/>
          <w:tab w:val="left" w:pos="567"/>
        </w:tabs>
        <w:spacing w:before="120"/>
        <w:textAlignment w:val="baseline"/>
        <w:rPr>
          <w:rFonts w:cs="Calibri Light"/>
          <w:i/>
          <w:iCs/>
          <w:spacing w:val="1"/>
        </w:rPr>
      </w:pPr>
      <w:r w:rsidRPr="00F91BDD">
        <w:rPr>
          <w:rFonts w:cs="Calibri Light"/>
          <w:i/>
          <w:iCs/>
          <w:spacing w:val="1"/>
        </w:rPr>
        <w:t>1° les données d’identification :</w:t>
      </w:r>
    </w:p>
    <w:p w14:paraId="53CF041F" w14:textId="77777777" w:rsidR="00795C3E" w:rsidRPr="00F91BDD" w:rsidRDefault="00795C3E" w:rsidP="00795C3E">
      <w:pPr>
        <w:tabs>
          <w:tab w:val="left" w:pos="360"/>
          <w:tab w:val="left" w:pos="567"/>
        </w:tabs>
        <w:spacing w:before="120"/>
        <w:ind w:left="142" w:hanging="142"/>
        <w:textAlignment w:val="baseline"/>
        <w:rPr>
          <w:rFonts w:cs="Calibri Light"/>
          <w:i/>
          <w:iCs/>
          <w:spacing w:val="1"/>
        </w:rPr>
      </w:pPr>
      <w:r w:rsidRPr="00F91BDD">
        <w:rPr>
          <w:rFonts w:cs="Calibri Light"/>
          <w:i/>
          <w:iCs/>
          <w:spacing w:val="1"/>
        </w:rPr>
        <w:t>a) pour les personnes physiques : le nom, les prénoms et le numéro de registre national du demandeur ou, en son absence, le numéro de la Banque Carrefour de la Sécurité Sociale ;</w:t>
      </w:r>
    </w:p>
    <w:p w14:paraId="47DDF2A7" w14:textId="77777777" w:rsidR="00795C3E" w:rsidRPr="00F91BDD" w:rsidRDefault="00795C3E" w:rsidP="00795C3E">
      <w:pPr>
        <w:tabs>
          <w:tab w:val="left" w:pos="360"/>
          <w:tab w:val="left" w:pos="567"/>
        </w:tabs>
        <w:spacing w:before="120"/>
        <w:ind w:left="142" w:hanging="142"/>
        <w:textAlignment w:val="baseline"/>
        <w:rPr>
          <w:rFonts w:cs="Calibri Light"/>
          <w:i/>
          <w:iCs/>
          <w:spacing w:val="1"/>
        </w:rPr>
      </w:pPr>
      <w:r w:rsidRPr="00F91BDD">
        <w:rPr>
          <w:rFonts w:cs="Calibri Light"/>
          <w:i/>
          <w:iCs/>
          <w:spacing w:val="1"/>
        </w:rPr>
        <w:t>b) pour les personnes morales et les entreprises : le numéro d’entreprise de la Banque Carrefour des Entreprises ;</w:t>
      </w:r>
    </w:p>
    <w:p w14:paraId="28B2BEE5" w14:textId="77777777" w:rsidR="00795C3E" w:rsidRPr="00F91BDD" w:rsidRDefault="00795C3E" w:rsidP="00795C3E">
      <w:pPr>
        <w:tabs>
          <w:tab w:val="left" w:pos="360"/>
          <w:tab w:val="left" w:pos="567"/>
        </w:tabs>
        <w:spacing w:before="120"/>
        <w:ind w:left="142" w:hanging="142"/>
        <w:textAlignment w:val="baseline"/>
        <w:rPr>
          <w:rFonts w:cs="Calibri Light"/>
          <w:i/>
          <w:iCs/>
          <w:spacing w:val="1"/>
        </w:rPr>
      </w:pPr>
      <w:r w:rsidRPr="00F91BDD">
        <w:rPr>
          <w:rFonts w:cs="Calibri Light"/>
          <w:i/>
          <w:iCs/>
          <w:spacing w:val="1"/>
        </w:rPr>
        <w:t>c) pour les personnes physiques ou morales étrangères, qui ne disposent pas d’un numéro d’identification belge : tout document qui, selon le droit applicable dans l’Etat d’origine de la personne physique ou morale, garantit l’identification de celle-ci ;</w:t>
      </w:r>
    </w:p>
    <w:p w14:paraId="6C5222F1" w14:textId="77777777" w:rsidR="00795C3E" w:rsidRPr="00F91BDD" w:rsidRDefault="00795C3E" w:rsidP="00795C3E">
      <w:pPr>
        <w:tabs>
          <w:tab w:val="left" w:pos="360"/>
          <w:tab w:val="left" w:pos="567"/>
        </w:tabs>
        <w:spacing w:before="120"/>
        <w:textAlignment w:val="baseline"/>
        <w:rPr>
          <w:rFonts w:cs="Calibri Light"/>
          <w:i/>
          <w:iCs/>
          <w:spacing w:val="1"/>
        </w:rPr>
      </w:pPr>
      <w:r w:rsidRPr="00F91BDD">
        <w:rPr>
          <w:rFonts w:cs="Calibri Light"/>
          <w:i/>
          <w:iCs/>
          <w:spacing w:val="1"/>
        </w:rPr>
        <w:t>2° la mention des actes faisant l’objet de la demande ;</w:t>
      </w:r>
    </w:p>
    <w:p w14:paraId="261369E5" w14:textId="77777777" w:rsidR="00795C3E" w:rsidRPr="00F91BDD" w:rsidRDefault="00795C3E" w:rsidP="00795C3E">
      <w:pPr>
        <w:tabs>
          <w:tab w:val="left" w:pos="360"/>
          <w:tab w:val="left" w:pos="567"/>
        </w:tabs>
        <w:spacing w:before="120"/>
        <w:textAlignment w:val="baseline"/>
        <w:rPr>
          <w:rFonts w:cs="Calibri Light"/>
          <w:i/>
          <w:iCs/>
          <w:spacing w:val="1"/>
        </w:rPr>
      </w:pPr>
      <w:r w:rsidRPr="00F91BDD">
        <w:rPr>
          <w:rFonts w:cs="Calibri Light"/>
          <w:i/>
          <w:iCs/>
          <w:spacing w:val="1"/>
        </w:rPr>
        <w:t>3° une motivation et une description circonstanciées des fins généalogiques ;</w:t>
      </w:r>
    </w:p>
    <w:p w14:paraId="51D230DC" w14:textId="77777777" w:rsidR="00795C3E" w:rsidRPr="00F91BDD" w:rsidRDefault="00795C3E" w:rsidP="00795C3E">
      <w:pPr>
        <w:tabs>
          <w:tab w:val="left" w:pos="360"/>
          <w:tab w:val="left" w:pos="567"/>
        </w:tabs>
        <w:spacing w:before="120"/>
        <w:textAlignment w:val="baseline"/>
        <w:rPr>
          <w:rFonts w:cs="Calibri Light"/>
          <w:i/>
          <w:iCs/>
          <w:spacing w:val="1"/>
        </w:rPr>
      </w:pPr>
      <w:r w:rsidRPr="00F91BDD">
        <w:rPr>
          <w:rFonts w:cs="Calibri Light"/>
          <w:i/>
          <w:iCs/>
          <w:spacing w:val="1"/>
        </w:rPr>
        <w:t>4° les moyens de diffusion des résultats de la recherche ;</w:t>
      </w:r>
    </w:p>
    <w:p w14:paraId="07A94A62" w14:textId="77777777" w:rsidR="00795C3E" w:rsidRPr="00F91BDD" w:rsidRDefault="00795C3E" w:rsidP="00795C3E">
      <w:pPr>
        <w:tabs>
          <w:tab w:val="left" w:pos="360"/>
          <w:tab w:val="left" w:pos="567"/>
        </w:tabs>
        <w:spacing w:before="120"/>
        <w:textAlignment w:val="baseline"/>
        <w:rPr>
          <w:rFonts w:cs="Calibri Light"/>
          <w:i/>
          <w:iCs/>
          <w:spacing w:val="1"/>
        </w:rPr>
      </w:pPr>
      <w:r w:rsidRPr="00F91BDD">
        <w:rPr>
          <w:rFonts w:cs="Calibri Light"/>
          <w:i/>
          <w:iCs/>
          <w:spacing w:val="1"/>
        </w:rPr>
        <w:t>5° le consentement de toutes les personnes sur lesquelles porte l’acte ;</w:t>
      </w:r>
    </w:p>
    <w:p w14:paraId="049738A5" w14:textId="77777777" w:rsidR="00795C3E" w:rsidRPr="00F91BDD" w:rsidRDefault="00795C3E" w:rsidP="00795C3E">
      <w:pPr>
        <w:tabs>
          <w:tab w:val="left" w:pos="360"/>
          <w:tab w:val="left" w:pos="567"/>
        </w:tabs>
        <w:spacing w:before="120"/>
        <w:ind w:left="142" w:hanging="142"/>
        <w:textAlignment w:val="baseline"/>
        <w:rPr>
          <w:rFonts w:cs="Calibri Light"/>
          <w:i/>
          <w:iCs/>
          <w:spacing w:val="1"/>
        </w:rPr>
      </w:pPr>
      <w:r w:rsidRPr="00F91BDD">
        <w:rPr>
          <w:rFonts w:cs="Calibri Light"/>
          <w:i/>
          <w:iCs/>
          <w:spacing w:val="1"/>
        </w:rPr>
        <w:t>6° la confirmation du fait que le demandeur a communiqué son identité et ses coordonnées, en sa qualité de responsable du traitement au sens de l’article 4.7 du Règlement général sur la protection des données, à la personne qui doit donner son consentement.</w:t>
      </w:r>
    </w:p>
    <w:p w14:paraId="3864B768" w14:textId="77777777" w:rsidR="00795C3E" w:rsidRPr="00F91BDD" w:rsidRDefault="00795C3E" w:rsidP="00795C3E">
      <w:pPr>
        <w:tabs>
          <w:tab w:val="left" w:pos="360"/>
          <w:tab w:val="left" w:pos="567"/>
        </w:tabs>
        <w:spacing w:before="120"/>
        <w:textAlignment w:val="baseline"/>
        <w:rPr>
          <w:rFonts w:cs="Calibri Light"/>
          <w:i/>
          <w:iCs/>
          <w:spacing w:val="1"/>
        </w:rPr>
      </w:pPr>
      <w:r w:rsidRPr="00F91BDD">
        <w:rPr>
          <w:rFonts w:cs="Calibri Light"/>
          <w:i/>
          <w:iCs/>
          <w:spacing w:val="1"/>
        </w:rPr>
        <w:t>§ 3. Si la personne qui doit donner son consentement est décédée ou est, en raison de son état de santé, totalement ou partiellement hors d’état d’exprimer sa volonté, fût-ce temporairement, l’époux survivant ou le cohabitant légal survivant, ou à défaut, son représentant légal ou à défaut, au moins l’un des descendants au premier degré de la personne concernée, peut donner ce consentement.</w:t>
      </w:r>
    </w:p>
    <w:p w14:paraId="0ADCE3BB" w14:textId="77777777" w:rsidR="00795C3E" w:rsidRPr="00F91BDD" w:rsidRDefault="00795C3E" w:rsidP="00795C3E">
      <w:pPr>
        <w:tabs>
          <w:tab w:val="left" w:pos="360"/>
          <w:tab w:val="left" w:pos="567"/>
        </w:tabs>
        <w:spacing w:before="120"/>
        <w:textAlignment w:val="baseline"/>
        <w:rPr>
          <w:rFonts w:cs="Calibri Light"/>
          <w:i/>
          <w:iCs/>
          <w:spacing w:val="1"/>
        </w:rPr>
      </w:pPr>
      <w:r w:rsidRPr="00F91BDD">
        <w:rPr>
          <w:rFonts w:cs="Calibri Light"/>
          <w:i/>
          <w:iCs/>
          <w:spacing w:val="1"/>
        </w:rPr>
        <w:lastRenderedPageBreak/>
        <w:t>Si la personne qui doit donner son consentement est mineure, le consentement est donné par le représentant légal.</w:t>
      </w:r>
    </w:p>
    <w:p w14:paraId="57193355" w14:textId="77777777" w:rsidR="00795C3E" w:rsidRPr="00F91BDD" w:rsidRDefault="00795C3E" w:rsidP="00795C3E">
      <w:pPr>
        <w:tabs>
          <w:tab w:val="left" w:pos="360"/>
          <w:tab w:val="left" w:pos="567"/>
        </w:tabs>
        <w:spacing w:before="120"/>
        <w:textAlignment w:val="baseline"/>
        <w:rPr>
          <w:rFonts w:cs="Calibri Light"/>
          <w:i/>
          <w:iCs/>
          <w:spacing w:val="1"/>
        </w:rPr>
      </w:pPr>
      <w:r w:rsidRPr="00F91BDD">
        <w:rPr>
          <w:rFonts w:cs="Calibri Light"/>
          <w:i/>
          <w:iCs/>
          <w:spacing w:val="1"/>
        </w:rPr>
        <w:t>§ 4. Si le demandeur ne connaît pas les coordonnées des personnes devant donner leur consentement, il peut, lors de la demande, joindre une communication adressée à la personne dont le consentement est requis. L’officier de l’état civil envoie alors cette communication au destinataire, pour autant que cette personne ait une adresse connue en</w:t>
      </w:r>
    </w:p>
    <w:p w14:paraId="7CD318C5" w14:textId="77777777" w:rsidR="00795C3E" w:rsidRPr="00F91BDD" w:rsidRDefault="00795C3E" w:rsidP="00795C3E">
      <w:pPr>
        <w:tabs>
          <w:tab w:val="left" w:pos="360"/>
          <w:tab w:val="left" w:pos="567"/>
        </w:tabs>
        <w:spacing w:before="120"/>
        <w:textAlignment w:val="baseline"/>
        <w:rPr>
          <w:rFonts w:cs="Calibri Light"/>
          <w:i/>
          <w:iCs/>
          <w:spacing w:val="1"/>
        </w:rPr>
      </w:pPr>
      <w:r w:rsidRPr="00F91BDD">
        <w:rPr>
          <w:rFonts w:cs="Calibri Light"/>
          <w:i/>
          <w:iCs/>
          <w:spacing w:val="1"/>
        </w:rPr>
        <w:t>Belgique. Le destinataire décide ensuite de donner suite ou non à la requête du demandeur. L’officier de l’état civil ne communique pas les coordonnées du destinataire au demandeur.</w:t>
      </w:r>
    </w:p>
    <w:p w14:paraId="496A360D" w14:textId="77777777" w:rsidR="00795C3E" w:rsidRPr="00F91BDD" w:rsidRDefault="00795C3E" w:rsidP="00795C3E">
      <w:pPr>
        <w:tabs>
          <w:tab w:val="left" w:pos="360"/>
          <w:tab w:val="left" w:pos="567"/>
        </w:tabs>
        <w:spacing w:before="120"/>
        <w:textAlignment w:val="baseline"/>
        <w:rPr>
          <w:rFonts w:cs="Calibri Light"/>
          <w:i/>
          <w:iCs/>
          <w:spacing w:val="1"/>
        </w:rPr>
      </w:pPr>
      <w:r w:rsidRPr="00F91BDD">
        <w:rPr>
          <w:rFonts w:cs="Calibri Light"/>
          <w:i/>
          <w:iCs/>
          <w:spacing w:val="1"/>
        </w:rPr>
        <w:t>§ 5. La commune où l’acte a été établi, visée au paragraphe 1er, est le responsable du traitement au sens de l’article 4.7 du Règlement général sur la protection des données, en ce qui concerne les données à caractère personnel collectées dans le cadre de la demande prévue au paragraphe 2.</w:t>
      </w:r>
    </w:p>
    <w:p w14:paraId="0AA86D90" w14:textId="77777777" w:rsidR="00795C3E" w:rsidRPr="00F91BDD" w:rsidRDefault="00795C3E" w:rsidP="00795C3E">
      <w:pPr>
        <w:tabs>
          <w:tab w:val="left" w:pos="360"/>
          <w:tab w:val="left" w:pos="567"/>
        </w:tabs>
        <w:spacing w:before="120"/>
        <w:textAlignment w:val="baseline"/>
        <w:rPr>
          <w:rFonts w:cs="Calibri Light"/>
          <w:i/>
          <w:iCs/>
          <w:spacing w:val="1"/>
        </w:rPr>
      </w:pPr>
      <w:r w:rsidRPr="00F91BDD">
        <w:rPr>
          <w:rFonts w:cs="Calibri Light"/>
          <w:i/>
          <w:iCs/>
          <w:spacing w:val="1"/>
        </w:rPr>
        <w:t>Les données sont conservées pendant une durée de 5 ans au maximum.</w:t>
      </w:r>
    </w:p>
    <w:p w14:paraId="7A7FE2CF" w14:textId="77777777" w:rsidR="00795C3E" w:rsidRPr="00F91BDD" w:rsidRDefault="00795C3E" w:rsidP="00795C3E">
      <w:pPr>
        <w:tabs>
          <w:tab w:val="left" w:pos="360"/>
          <w:tab w:val="left" w:pos="567"/>
        </w:tabs>
        <w:spacing w:before="120"/>
        <w:textAlignment w:val="baseline"/>
        <w:rPr>
          <w:rFonts w:cs="Calibri Light"/>
          <w:i/>
          <w:iCs/>
          <w:spacing w:val="1"/>
        </w:rPr>
      </w:pPr>
      <w:r w:rsidRPr="00F91BDD">
        <w:rPr>
          <w:rFonts w:cs="Calibri Light"/>
          <w:i/>
          <w:iCs/>
          <w:spacing w:val="1"/>
        </w:rPr>
        <w:t>§ 6. Si l’acte est disponible dans la BAEC, la copie ou l’extrait est délivré à partir de la BAEC.</w:t>
      </w:r>
    </w:p>
    <w:p w14:paraId="172D1391" w14:textId="77777777" w:rsidR="00795C3E" w:rsidRPr="00572D06" w:rsidRDefault="00795C3E" w:rsidP="00795C3E">
      <w:pPr>
        <w:tabs>
          <w:tab w:val="left" w:pos="360"/>
          <w:tab w:val="left" w:pos="567"/>
        </w:tabs>
        <w:spacing w:before="120"/>
        <w:textAlignment w:val="baseline"/>
        <w:rPr>
          <w:rFonts w:cs="Calibri Light"/>
          <w:i/>
          <w:iCs/>
          <w:spacing w:val="1"/>
        </w:rPr>
      </w:pPr>
      <w:r w:rsidRPr="00F91BDD">
        <w:rPr>
          <w:rFonts w:cs="Calibri Light"/>
          <w:i/>
          <w:iCs/>
          <w:spacing w:val="1"/>
        </w:rPr>
        <w:t>Si l’acte n’est pas disponible dans la BAEC, la copie ou l’extrait est établi sur la base des registres papier.</w:t>
      </w:r>
    </w:p>
    <w:p w14:paraId="37545899" w14:textId="77777777" w:rsidR="00795C3E" w:rsidRPr="009F235F" w:rsidRDefault="00795C3E">
      <w:pPr>
        <w:pStyle w:val="Titre4"/>
        <w:numPr>
          <w:ilvl w:val="0"/>
          <w:numId w:val="108"/>
        </w:numPr>
      </w:pPr>
      <w:bookmarkStart w:id="1041" w:name="_Toc40185531"/>
      <w:bookmarkStart w:id="1042" w:name="_Toc40186266"/>
      <w:bookmarkStart w:id="1043" w:name="_Toc208420063"/>
      <w:bookmarkEnd w:id="1041"/>
      <w:bookmarkEnd w:id="1042"/>
      <w:r w:rsidRPr="009F235F">
        <w:t>Le paiement par terminal bancaire</w:t>
      </w:r>
      <w:bookmarkStart w:id="1044" w:name="_Toc143779161"/>
      <w:bookmarkEnd w:id="1043"/>
      <w:r w:rsidRPr="009F235F">
        <w:t> </w:t>
      </w:r>
      <w:bookmarkEnd w:id="1044"/>
    </w:p>
    <w:p w14:paraId="39D7C4E4" w14:textId="77777777" w:rsidR="00795C3E" w:rsidRDefault="00795C3E" w:rsidP="00795C3E">
      <w:pPr>
        <w:spacing w:before="120"/>
        <w:textAlignment w:val="baseline"/>
        <w:rPr>
          <w:rFonts w:cs="Calibri Light"/>
        </w:rPr>
      </w:pPr>
      <w:r w:rsidRPr="00F91BDD">
        <w:rPr>
          <w:rFonts w:cs="Calibri Light"/>
        </w:rPr>
        <w:t>La loi du 19 juillet 2018</w:t>
      </w:r>
      <w:r w:rsidRPr="00F91BDD">
        <w:rPr>
          <w:rStyle w:val="Appelnotedebasdep"/>
          <w:rFonts w:cs="Calibri Light"/>
        </w:rPr>
        <w:footnoteReference w:id="87"/>
      </w:r>
      <w:r w:rsidRPr="00F91BDD">
        <w:rPr>
          <w:rFonts w:cs="Calibri Light"/>
        </w:rPr>
        <w:t xml:space="preserve"> transposant la directive 2015/2366/CE interdit d’appliquer un supplément éventuel lors de paiements électroniques.</w:t>
      </w:r>
    </w:p>
    <w:p w14:paraId="25A93A78" w14:textId="77777777" w:rsidR="00795C3E" w:rsidRPr="00F91BDD" w:rsidRDefault="00795C3E" w:rsidP="00795C3E">
      <w:pPr>
        <w:spacing w:before="120"/>
        <w:textAlignment w:val="baseline"/>
        <w:rPr>
          <w:rFonts w:cs="Calibri Light"/>
        </w:rPr>
      </w:pPr>
    </w:p>
    <w:p w14:paraId="6834C6B0" w14:textId="1FDFCD12" w:rsidR="00795C3E" w:rsidRPr="002E69C2" w:rsidRDefault="00795C3E" w:rsidP="00795C3E">
      <w:pPr>
        <w:pStyle w:val="Titre2"/>
        <w:rPr>
          <w:caps/>
        </w:rPr>
      </w:pPr>
      <w:bookmarkStart w:id="1045" w:name="_Toc40185533"/>
      <w:bookmarkStart w:id="1046" w:name="_Toc40186268"/>
      <w:bookmarkStart w:id="1047" w:name="_Toc516739741"/>
      <w:bookmarkStart w:id="1048" w:name="_Toc516751653"/>
      <w:bookmarkStart w:id="1049" w:name="_Toc516825741"/>
      <w:bookmarkStart w:id="1050" w:name="_Toc516826299"/>
      <w:bookmarkStart w:id="1051" w:name="_Toc516837619"/>
      <w:bookmarkStart w:id="1052" w:name="_Toc516838178"/>
      <w:bookmarkStart w:id="1053" w:name="_Toc516838737"/>
      <w:bookmarkStart w:id="1054" w:name="_Toc516839297"/>
      <w:bookmarkStart w:id="1055" w:name="_Toc517173393"/>
      <w:bookmarkStart w:id="1056" w:name="_Toc517175067"/>
      <w:bookmarkStart w:id="1057" w:name="_Toc517175654"/>
      <w:bookmarkStart w:id="1058" w:name="_Toc517176242"/>
      <w:bookmarkStart w:id="1059" w:name="_Toc517337567"/>
      <w:bookmarkStart w:id="1060" w:name="_Toc517360363"/>
      <w:bookmarkStart w:id="1061" w:name="_Toc516245090"/>
      <w:bookmarkStart w:id="1062" w:name="_Toc516473661"/>
      <w:bookmarkStart w:id="1063" w:name="_Toc516473971"/>
      <w:bookmarkStart w:id="1064" w:name="_Toc516474281"/>
      <w:bookmarkStart w:id="1065" w:name="_Toc516474589"/>
      <w:bookmarkStart w:id="1066" w:name="_Toc516474921"/>
      <w:bookmarkStart w:id="1067" w:name="_Toc516478958"/>
      <w:bookmarkStart w:id="1068" w:name="_Toc516479417"/>
      <w:bookmarkStart w:id="1069" w:name="_Toc516479734"/>
      <w:bookmarkStart w:id="1070" w:name="_Toc516480056"/>
      <w:bookmarkStart w:id="1071" w:name="_Toc516480370"/>
      <w:bookmarkStart w:id="1072" w:name="_Toc516480684"/>
      <w:bookmarkStart w:id="1073" w:name="_Toc516480998"/>
      <w:bookmarkStart w:id="1074" w:name="_Toc516481312"/>
      <w:bookmarkStart w:id="1075" w:name="_Toc516481626"/>
      <w:bookmarkStart w:id="1076" w:name="_Toc516481940"/>
      <w:bookmarkStart w:id="1077" w:name="_Toc516482254"/>
      <w:bookmarkStart w:id="1078" w:name="_Toc516482568"/>
      <w:bookmarkStart w:id="1079" w:name="_Toc516739742"/>
      <w:bookmarkStart w:id="1080" w:name="_Toc516751654"/>
      <w:bookmarkStart w:id="1081" w:name="_Toc516825742"/>
      <w:bookmarkStart w:id="1082" w:name="_Toc516826300"/>
      <w:bookmarkStart w:id="1083" w:name="_Toc516837620"/>
      <w:bookmarkStart w:id="1084" w:name="_Toc516838179"/>
      <w:bookmarkStart w:id="1085" w:name="_Toc516838738"/>
      <w:bookmarkStart w:id="1086" w:name="_Toc516839298"/>
      <w:bookmarkStart w:id="1087" w:name="_Toc517173394"/>
      <w:bookmarkStart w:id="1088" w:name="_Toc517175068"/>
      <w:bookmarkStart w:id="1089" w:name="_Toc517175655"/>
      <w:bookmarkStart w:id="1090" w:name="_Toc517176243"/>
      <w:bookmarkStart w:id="1091" w:name="_Toc517337568"/>
      <w:bookmarkStart w:id="1092" w:name="_Toc517360364"/>
      <w:bookmarkStart w:id="1093" w:name="_Toc516229695"/>
      <w:bookmarkStart w:id="1094" w:name="_Toc516229990"/>
      <w:bookmarkStart w:id="1095" w:name="_Toc516230285"/>
      <w:bookmarkStart w:id="1096" w:name="_Toc516230579"/>
      <w:bookmarkStart w:id="1097" w:name="_Toc516230873"/>
      <w:bookmarkStart w:id="1098" w:name="_Toc516231168"/>
      <w:bookmarkStart w:id="1099" w:name="_Toc516231463"/>
      <w:bookmarkStart w:id="1100" w:name="_Toc516231760"/>
      <w:bookmarkStart w:id="1101" w:name="_Toc516242855"/>
      <w:bookmarkStart w:id="1102" w:name="_Toc516243158"/>
      <w:bookmarkStart w:id="1103" w:name="_Toc516245091"/>
      <w:bookmarkStart w:id="1104" w:name="_Toc516473662"/>
      <w:bookmarkStart w:id="1105" w:name="_Toc516473972"/>
      <w:bookmarkStart w:id="1106" w:name="_Toc516474282"/>
      <w:bookmarkStart w:id="1107" w:name="_Toc516474590"/>
      <w:bookmarkStart w:id="1108" w:name="_Toc516474922"/>
      <w:bookmarkStart w:id="1109" w:name="_Toc516478959"/>
      <w:bookmarkStart w:id="1110" w:name="_Toc516479418"/>
      <w:bookmarkStart w:id="1111" w:name="_Toc516479735"/>
      <w:bookmarkStart w:id="1112" w:name="_Toc516480057"/>
      <w:bookmarkStart w:id="1113" w:name="_Toc516480371"/>
      <w:bookmarkStart w:id="1114" w:name="_Toc516480685"/>
      <w:bookmarkStart w:id="1115" w:name="_Toc516480999"/>
      <w:bookmarkStart w:id="1116" w:name="_Toc516481313"/>
      <w:bookmarkStart w:id="1117" w:name="_Toc516481627"/>
      <w:bookmarkStart w:id="1118" w:name="_Toc516481941"/>
      <w:bookmarkStart w:id="1119" w:name="_Toc516482255"/>
      <w:bookmarkStart w:id="1120" w:name="_Toc516482569"/>
      <w:bookmarkStart w:id="1121" w:name="_Toc516739743"/>
      <w:bookmarkStart w:id="1122" w:name="_Toc516751655"/>
      <w:bookmarkStart w:id="1123" w:name="_Toc516825743"/>
      <w:bookmarkStart w:id="1124" w:name="_Toc516826301"/>
      <w:bookmarkStart w:id="1125" w:name="_Toc516837621"/>
      <w:bookmarkStart w:id="1126" w:name="_Toc516838180"/>
      <w:bookmarkStart w:id="1127" w:name="_Toc516838739"/>
      <w:bookmarkStart w:id="1128" w:name="_Toc516839299"/>
      <w:bookmarkStart w:id="1129" w:name="_Toc517173395"/>
      <w:bookmarkStart w:id="1130" w:name="_Toc517175069"/>
      <w:bookmarkStart w:id="1131" w:name="_Toc517175656"/>
      <w:bookmarkStart w:id="1132" w:name="_Toc517176244"/>
      <w:bookmarkStart w:id="1133" w:name="_Toc517337569"/>
      <w:bookmarkStart w:id="1134" w:name="_Toc517360365"/>
      <w:bookmarkStart w:id="1135" w:name="_Toc515896787"/>
      <w:bookmarkStart w:id="1136" w:name="_Toc512523779"/>
      <w:bookmarkStart w:id="1137" w:name="_Toc512525474"/>
      <w:bookmarkStart w:id="1138" w:name="_Toc143779162"/>
      <w:bookmarkStart w:id="1139" w:name="_Toc208420064"/>
      <w:bookmarkStart w:id="1140" w:name="_Toc225504301"/>
      <w:bookmarkStart w:id="1141" w:name="_Toc225772390"/>
      <w:bookmarkStart w:id="1142" w:name="_Toc233626259"/>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r w:rsidRPr="002E69C2">
        <w:t>Taxes de remboursement</w:t>
      </w:r>
      <w:bookmarkStart w:id="1143" w:name="_Toc143779163"/>
      <w:bookmarkStart w:id="1144" w:name="_Toc512525475"/>
      <w:bookmarkStart w:id="1145" w:name="_Toc515896788"/>
      <w:bookmarkEnd w:id="1135"/>
      <w:bookmarkEnd w:id="1136"/>
      <w:bookmarkEnd w:id="1137"/>
      <w:bookmarkEnd w:id="1138"/>
      <w:bookmarkEnd w:id="1139"/>
      <w:bookmarkEnd w:id="1140"/>
      <w:bookmarkEnd w:id="1141"/>
      <w:bookmarkEnd w:id="1142"/>
    </w:p>
    <w:p w14:paraId="4BB73783" w14:textId="0D3039D1" w:rsidR="00795C3E" w:rsidRPr="0048657F" w:rsidRDefault="00795C3E">
      <w:pPr>
        <w:pStyle w:val="Titre3"/>
        <w:numPr>
          <w:ilvl w:val="0"/>
          <w:numId w:val="119"/>
        </w:numPr>
        <w:rPr>
          <w:caps/>
        </w:rPr>
      </w:pPr>
      <w:bookmarkStart w:id="1146" w:name="_Toc208420065"/>
      <w:bookmarkStart w:id="1147" w:name="_Toc225504302"/>
      <w:bookmarkStart w:id="1148" w:name="_Toc225772391"/>
      <w:bookmarkStart w:id="1149" w:name="_Toc233626260"/>
      <w:r w:rsidRPr="00354C0C">
        <w:t>040/362-01 : Acquisition d'assiettes de voirie</w:t>
      </w:r>
      <w:bookmarkEnd w:id="1143"/>
      <w:bookmarkEnd w:id="1146"/>
      <w:bookmarkEnd w:id="1147"/>
      <w:bookmarkEnd w:id="1148"/>
      <w:bookmarkEnd w:id="1149"/>
      <w:r w:rsidRPr="00354C0C">
        <w:t xml:space="preserve"> </w:t>
      </w:r>
      <w:bookmarkStart w:id="1150" w:name="_Toc143779164"/>
      <w:bookmarkStart w:id="1151" w:name="_Toc512525476"/>
      <w:bookmarkStart w:id="1152" w:name="_Toc515896789"/>
      <w:bookmarkEnd w:id="1144"/>
      <w:bookmarkEnd w:id="1145"/>
    </w:p>
    <w:p w14:paraId="4ED973CE" w14:textId="673B8C7E" w:rsidR="00795C3E" w:rsidRPr="00354C0C" w:rsidRDefault="00795C3E" w:rsidP="35BD9115">
      <w:pPr>
        <w:pStyle w:val="Titre3"/>
        <w:rPr>
          <w:caps/>
        </w:rPr>
      </w:pPr>
      <w:bookmarkStart w:id="1153" w:name="_Toc208420066"/>
      <w:bookmarkStart w:id="1154" w:name="_Toc225504303"/>
      <w:bookmarkStart w:id="1155" w:name="_Toc225772392"/>
      <w:bookmarkStart w:id="1156" w:name="_Toc233626261"/>
      <w:r w:rsidRPr="00354C0C">
        <w:t>040/362-02 : Pavage des rues (ou de revêtement de voirie)</w:t>
      </w:r>
      <w:bookmarkEnd w:id="1150"/>
      <w:bookmarkEnd w:id="1153"/>
      <w:bookmarkEnd w:id="1154"/>
      <w:bookmarkEnd w:id="1155"/>
      <w:bookmarkEnd w:id="1156"/>
      <w:r w:rsidRPr="00354C0C">
        <w:t xml:space="preserve"> </w:t>
      </w:r>
      <w:bookmarkStart w:id="1157" w:name="_Toc143779165"/>
      <w:bookmarkStart w:id="1158" w:name="_Toc512525477"/>
      <w:bookmarkStart w:id="1159" w:name="_Toc515896790"/>
      <w:bookmarkEnd w:id="1151"/>
      <w:bookmarkEnd w:id="1152"/>
    </w:p>
    <w:p w14:paraId="073C902A" w14:textId="6FE73CB6" w:rsidR="00795C3E" w:rsidRPr="00354C0C" w:rsidRDefault="00795C3E" w:rsidP="35BD9115">
      <w:pPr>
        <w:pStyle w:val="Titre3"/>
        <w:rPr>
          <w:caps/>
        </w:rPr>
      </w:pPr>
      <w:bookmarkStart w:id="1160" w:name="_Toc208420067"/>
      <w:bookmarkStart w:id="1161" w:name="_Toc225504304"/>
      <w:bookmarkStart w:id="1162" w:name="_Toc225772393"/>
      <w:bookmarkStart w:id="1163" w:name="_Toc233626262"/>
      <w:r w:rsidRPr="00354C0C">
        <w:t>040/362-03 : Construction des trottoirs</w:t>
      </w:r>
      <w:bookmarkEnd w:id="1157"/>
      <w:bookmarkEnd w:id="1160"/>
      <w:bookmarkEnd w:id="1161"/>
      <w:bookmarkEnd w:id="1162"/>
      <w:bookmarkEnd w:id="1163"/>
      <w:r w:rsidRPr="00354C0C">
        <w:t xml:space="preserve"> </w:t>
      </w:r>
      <w:bookmarkStart w:id="1164" w:name="_Toc143779166"/>
      <w:bookmarkStart w:id="1165" w:name="_Toc512525478"/>
      <w:bookmarkStart w:id="1166" w:name="_Toc515896791"/>
      <w:bookmarkEnd w:id="1158"/>
      <w:bookmarkEnd w:id="1159"/>
    </w:p>
    <w:p w14:paraId="39734512" w14:textId="4890B06A" w:rsidR="00795C3E" w:rsidRPr="00354C0C" w:rsidRDefault="00795C3E" w:rsidP="35BD9115">
      <w:pPr>
        <w:pStyle w:val="Titre3"/>
        <w:rPr>
          <w:caps/>
        </w:rPr>
      </w:pPr>
      <w:bookmarkStart w:id="1167" w:name="_Toc208420068"/>
      <w:bookmarkStart w:id="1168" w:name="_Toc225504305"/>
      <w:bookmarkStart w:id="1169" w:name="_Toc225772394"/>
      <w:bookmarkStart w:id="1170" w:name="_Toc233626263"/>
      <w:r w:rsidRPr="00354C0C">
        <w:t>040/362-04 : Constructions d'égouts</w:t>
      </w:r>
      <w:bookmarkEnd w:id="1164"/>
      <w:bookmarkEnd w:id="1167"/>
      <w:bookmarkEnd w:id="1168"/>
      <w:bookmarkEnd w:id="1169"/>
      <w:bookmarkEnd w:id="1170"/>
      <w:r w:rsidRPr="00354C0C">
        <w:t xml:space="preserve"> </w:t>
      </w:r>
      <w:bookmarkStart w:id="1171" w:name="_Toc143779167"/>
      <w:bookmarkStart w:id="1172" w:name="_Toc512525479"/>
      <w:bookmarkStart w:id="1173" w:name="_Toc515896792"/>
      <w:bookmarkEnd w:id="1165"/>
      <w:bookmarkEnd w:id="1166"/>
    </w:p>
    <w:p w14:paraId="162D84A8" w14:textId="3AEB9F56" w:rsidR="00795C3E" w:rsidRPr="00354C0C" w:rsidRDefault="00795C3E" w:rsidP="35BD9115">
      <w:pPr>
        <w:pStyle w:val="Titre3"/>
        <w:rPr>
          <w:caps/>
        </w:rPr>
      </w:pPr>
      <w:bookmarkStart w:id="1174" w:name="_Toc208420069"/>
      <w:bookmarkStart w:id="1175" w:name="_Toc225504306"/>
      <w:bookmarkStart w:id="1176" w:name="_Toc225772395"/>
      <w:bookmarkStart w:id="1177" w:name="_Toc233626264"/>
      <w:r w:rsidRPr="00354C0C">
        <w:t>040/362-05 : Travaux de raccordement d'immeubles au réseau d'égouts</w:t>
      </w:r>
      <w:bookmarkEnd w:id="1171"/>
      <w:bookmarkEnd w:id="1174"/>
      <w:bookmarkEnd w:id="1175"/>
      <w:bookmarkEnd w:id="1176"/>
      <w:bookmarkEnd w:id="1177"/>
      <w:r w:rsidRPr="00354C0C">
        <w:t xml:space="preserve"> </w:t>
      </w:r>
      <w:bookmarkEnd w:id="1172"/>
      <w:bookmarkEnd w:id="1173"/>
    </w:p>
    <w:p w14:paraId="6B46CE96" w14:textId="7AC2921E" w:rsidR="00795C3E" w:rsidRPr="00F91BDD" w:rsidRDefault="00795C3E" w:rsidP="00795C3E">
      <w:r w:rsidRPr="00F91BDD">
        <w:t xml:space="preserve">Les taxes visées aux points </w:t>
      </w:r>
      <w:r w:rsidR="752D208F">
        <w:t>a)</w:t>
      </w:r>
      <w:r w:rsidR="6D7F1588">
        <w:t xml:space="preserve"> à</w:t>
      </w:r>
      <w:r w:rsidR="752D208F">
        <w:t xml:space="preserve"> e)</w:t>
      </w:r>
      <w:r w:rsidRPr="00F91BDD">
        <w:t xml:space="preserve"> concernant les articles budgétaires 040/362-01 à 040/362-05 sont des taxes indirectes.</w:t>
      </w:r>
    </w:p>
    <w:p w14:paraId="16703B1E" w14:textId="77777777" w:rsidR="00795C3E" w:rsidRPr="00F91BDD" w:rsidRDefault="00795C3E" w:rsidP="00795C3E">
      <w:bookmarkStart w:id="1178" w:name="_Hlk38965928"/>
      <w:r w:rsidRPr="00F91BDD">
        <w:lastRenderedPageBreak/>
        <w:t>Les articles budgétaires 040/362-03 et 040/362-05 peuvent être prises sous forme de redevance MAIS dans ces cas il faut que cela se justifie uniquement par une demande d’un citoyen.</w:t>
      </w:r>
    </w:p>
    <w:bookmarkEnd w:id="1178"/>
    <w:p w14:paraId="6A98B3A8" w14:textId="77777777" w:rsidR="00795C3E" w:rsidRPr="00F91BDD" w:rsidRDefault="00795C3E" w:rsidP="00795C3E">
      <w:pPr>
        <w:spacing w:before="120"/>
        <w:textAlignment w:val="baseline"/>
        <w:rPr>
          <w:rFonts w:cs="Calibri Light"/>
        </w:rPr>
      </w:pPr>
      <w:r w:rsidRPr="00F91BDD">
        <w:rPr>
          <w:rFonts w:cs="Calibri Light"/>
        </w:rPr>
        <w:t>Le taux de ces taxes doit être fixé en fonction des dépenses réellement exposées par la commune (déduction faite d'éventuelles subventions), auxquelles peuvent être ajoutés les intérêts de l'emprunt contracté pour la réalisation des travaux.</w:t>
      </w:r>
    </w:p>
    <w:p w14:paraId="7F3111FD" w14:textId="77777777" w:rsidR="00795C3E" w:rsidRPr="00F91BDD" w:rsidRDefault="00795C3E" w:rsidP="00795C3E">
      <w:pPr>
        <w:spacing w:before="120"/>
        <w:textAlignment w:val="baseline"/>
        <w:rPr>
          <w:rFonts w:cs="Calibri Light"/>
        </w:rPr>
      </w:pPr>
      <w:r w:rsidRPr="00F91BDD">
        <w:rPr>
          <w:rFonts w:cs="Calibri Light"/>
        </w:rPr>
        <w:t>La durée du remboursement est normalement équivalente à celle de l'emprunt.</w:t>
      </w:r>
    </w:p>
    <w:p w14:paraId="188C0E93" w14:textId="77777777" w:rsidR="00795C3E" w:rsidRPr="00F91BDD" w:rsidRDefault="00795C3E" w:rsidP="00795C3E">
      <w:pPr>
        <w:spacing w:before="120"/>
        <w:textAlignment w:val="baseline"/>
        <w:rPr>
          <w:rFonts w:cs="Calibri Light"/>
        </w:rPr>
      </w:pPr>
      <w:r w:rsidRPr="00F91BDD">
        <w:rPr>
          <w:rFonts w:cs="Calibri Light"/>
        </w:rPr>
        <w:t>Dans un souci d'équité entre contribuables riverains d'une voirie subsidiée et contribuables riverains d'une voirie non subsidiée, il est loisible de procéder à une globalisation par exercice des subsides reçus et de faire rejaillir ceux-ci sur le taux de récupération mis à charge des contribuables concernés par l'application de la taxe lors d'un exercice donné.</w:t>
      </w:r>
    </w:p>
    <w:p w14:paraId="5017D406" w14:textId="77777777" w:rsidR="00795C3E" w:rsidRPr="00F91BDD" w:rsidRDefault="00795C3E" w:rsidP="00795C3E">
      <w:pPr>
        <w:spacing w:before="120"/>
        <w:textAlignment w:val="baseline"/>
        <w:rPr>
          <w:rFonts w:cs="Calibri Light"/>
        </w:rPr>
      </w:pPr>
      <w:r w:rsidRPr="00F91BDD">
        <w:rPr>
          <w:rFonts w:cs="Calibri Light"/>
        </w:rPr>
        <w:t>La commune peut aussi ne réclamer par le biais de la taxe de remboursement que la partie non subsidiable des travaux pour lesquels l'aide régionale n'a pas été demandée ou obtenue.</w:t>
      </w:r>
    </w:p>
    <w:p w14:paraId="3D2DD3FB" w14:textId="77777777" w:rsidR="00795C3E" w:rsidRPr="00F91BDD" w:rsidRDefault="00795C3E" w:rsidP="00795C3E">
      <w:pPr>
        <w:spacing w:before="240" w:after="240"/>
        <w:rPr>
          <w:rFonts w:cs="Calibri Light"/>
          <w:spacing w:val="-2"/>
        </w:rPr>
      </w:pPr>
      <w:r w:rsidRPr="00F91BDD">
        <w:rPr>
          <w:rFonts w:cs="Calibri Light"/>
          <w:spacing w:val="-2"/>
        </w:rPr>
        <w:t>Enfin, la Cour de cassation a décidé que lorsqu’un règlement communal prévoit la possibilité de poursuivre sous forme d’une taxe directe annuelle la récupération des frais exposés par la commune pour certains travaux et fixe la durée du remboursement, la taxe annuelle sur les travaux achevés pendant la période de validité de ce règlement peut être établie pendant toute la durée de la période prévue pour le remboursement</w:t>
      </w:r>
      <w:r w:rsidRPr="00F91BDD">
        <w:rPr>
          <w:rStyle w:val="Appelnotedebasdep"/>
          <w:rFonts w:cs="Calibri Light"/>
          <w:spacing w:val="-2"/>
        </w:rPr>
        <w:footnoteReference w:id="88"/>
      </w:r>
      <w:r w:rsidRPr="00F91BDD">
        <w:rPr>
          <w:rFonts w:cs="Calibri Light"/>
          <w:spacing w:val="-2"/>
        </w:rPr>
        <w:t>.</w:t>
      </w:r>
    </w:p>
    <w:p w14:paraId="222A09F2" w14:textId="5DB2EF81" w:rsidR="00795C3E" w:rsidRPr="00354C0C" w:rsidRDefault="00795C3E" w:rsidP="35BD9115">
      <w:pPr>
        <w:pStyle w:val="Titre3"/>
        <w:rPr>
          <w:caps/>
        </w:rPr>
      </w:pPr>
      <w:bookmarkStart w:id="1179" w:name="_Toc143779168"/>
      <w:bookmarkStart w:id="1180" w:name="_Toc208420070"/>
      <w:bookmarkStart w:id="1181" w:name="_Toc225504307"/>
      <w:bookmarkStart w:id="1182" w:name="_Toc225772396"/>
      <w:bookmarkStart w:id="1183" w:name="_Toc233626265"/>
      <w:bookmarkStart w:id="1184" w:name="_Toc512525480"/>
      <w:bookmarkStart w:id="1185" w:name="_Toc515896793"/>
      <w:r w:rsidRPr="00354C0C">
        <w:t>040/362-07 : Urbanisation</w:t>
      </w:r>
      <w:bookmarkEnd w:id="1179"/>
      <w:bookmarkEnd w:id="1180"/>
      <w:bookmarkEnd w:id="1181"/>
      <w:bookmarkEnd w:id="1182"/>
      <w:bookmarkEnd w:id="1183"/>
      <w:r w:rsidRPr="00354C0C">
        <w:t xml:space="preserve"> </w:t>
      </w:r>
    </w:p>
    <w:p w14:paraId="41CC4083" w14:textId="77777777" w:rsidR="00795C3E" w:rsidRPr="00F91BDD" w:rsidRDefault="00795C3E" w:rsidP="00795C3E">
      <w:r w:rsidRPr="00F91BDD">
        <w:t>Taxe directe</w:t>
      </w:r>
      <w:bookmarkEnd w:id="1184"/>
      <w:bookmarkEnd w:id="1185"/>
      <w:r>
        <w:t>.</w:t>
      </w:r>
    </w:p>
    <w:p w14:paraId="53D3B2E3" w14:textId="18F8CE15" w:rsidR="00795C3E" w:rsidRPr="00F91BDD" w:rsidRDefault="00795C3E" w:rsidP="00795C3E">
      <w:pPr>
        <w:spacing w:before="120"/>
        <w:textAlignment w:val="baseline"/>
        <w:rPr>
          <w:rFonts w:cs="Calibri Light"/>
        </w:rPr>
      </w:pPr>
      <w:r w:rsidRPr="00F91BDD">
        <w:rPr>
          <w:rFonts w:cs="Calibri Light"/>
        </w:rPr>
        <w:t xml:space="preserve">Cette taxe s'élève à 30,00 euros </w:t>
      </w:r>
      <w:r w:rsidR="0083071F" w:rsidRPr="00F91BDD">
        <w:rPr>
          <w:rFonts w:cs="Calibri Light"/>
        </w:rPr>
        <w:t>maximum le</w:t>
      </w:r>
      <w:r w:rsidRPr="00F91BDD">
        <w:rPr>
          <w:rFonts w:cs="Calibri Light"/>
        </w:rPr>
        <w:t xml:space="preserve"> mètre courant pour autant qu'il existe un équipement de voirie, des égouts et trottoirs corrects. Le minimum d'imposition par propriété imposable est de 50,00 </w:t>
      </w:r>
      <w:r w:rsidR="0083071F" w:rsidRPr="00F91BDD">
        <w:rPr>
          <w:rFonts w:cs="Calibri Light"/>
        </w:rPr>
        <w:t>euros.</w:t>
      </w:r>
    </w:p>
    <w:p w14:paraId="7B828B5F" w14:textId="77777777" w:rsidR="00795C3E" w:rsidRPr="00F91BDD" w:rsidRDefault="00795C3E" w:rsidP="00795C3E">
      <w:pPr>
        <w:spacing w:before="120"/>
        <w:textAlignment w:val="baseline"/>
        <w:rPr>
          <w:rFonts w:cs="Calibri Light"/>
        </w:rPr>
      </w:pPr>
      <w:r w:rsidRPr="00F91BDD">
        <w:rPr>
          <w:rFonts w:cs="Calibri Light"/>
        </w:rPr>
        <w:t>L'introduction de cette taxe entraîne automatiquement la non-application des taxes correspondant aux codes 040/362-02 à 040/362-05.</w:t>
      </w:r>
    </w:p>
    <w:p w14:paraId="5A29C4B4" w14:textId="77777777" w:rsidR="00795C3E" w:rsidRPr="00F91BDD" w:rsidRDefault="00795C3E" w:rsidP="00795C3E">
      <w:pPr>
        <w:spacing w:before="120"/>
        <w:textAlignment w:val="baseline"/>
        <w:rPr>
          <w:rFonts w:cs="Calibri Light"/>
          <w:b/>
        </w:rPr>
      </w:pPr>
      <w:r w:rsidRPr="00F91BDD">
        <w:rPr>
          <w:rFonts w:cs="Calibri Light"/>
        </w:rPr>
        <w:t>L'instauration d'une taxe d'urbanisation répond à un but précis : procurer une rentrée financière pour une commune qui a équipé une rue sans réclamer de taxe de remboursement au moment de la construction. La taxe d'urbanisation ne peut donc viser des propriétés riveraines de rues non équipées ni des propriétés riveraines qui, au moment de l'équipement de la rue, ont été soumises à une taxe de remboursement.</w:t>
      </w:r>
    </w:p>
    <w:p w14:paraId="0F6C1DB6" w14:textId="77777777" w:rsidR="00795C3E" w:rsidRPr="00F91BDD" w:rsidRDefault="00795C3E" w:rsidP="00795C3E">
      <w:pPr>
        <w:spacing w:before="120" w:after="240"/>
        <w:textAlignment w:val="baseline"/>
        <w:rPr>
          <w:rFonts w:cs="Calibri Light"/>
        </w:rPr>
      </w:pPr>
      <w:r w:rsidRPr="00F91BDD">
        <w:rPr>
          <w:rFonts w:cs="Calibri Light"/>
        </w:rPr>
        <w:t>En fonction de la nature de cet impôt et de son caractère non limité dans le temps, il convient que les communes fassent preuve de modération dans les taux applicables et veillent à ne pas dépasser le maximum recommandé par mètre courant.</w:t>
      </w:r>
    </w:p>
    <w:p w14:paraId="41BC8D4F" w14:textId="43CF0E2D" w:rsidR="00795C3E" w:rsidRPr="00354C0C" w:rsidRDefault="00795C3E" w:rsidP="35BD9115">
      <w:pPr>
        <w:pStyle w:val="Titre3"/>
        <w:rPr>
          <w:caps/>
        </w:rPr>
      </w:pPr>
      <w:bookmarkStart w:id="1186" w:name="_Toc143779169"/>
      <w:bookmarkStart w:id="1187" w:name="_Toc208420071"/>
      <w:bookmarkStart w:id="1188" w:name="_Toc225504308"/>
      <w:bookmarkStart w:id="1189" w:name="_Toc225772397"/>
      <w:bookmarkStart w:id="1190" w:name="_Toc233626266"/>
      <w:bookmarkStart w:id="1191" w:name="_Toc512525481"/>
      <w:bookmarkStart w:id="1192" w:name="_Toc515896794"/>
      <w:r w:rsidRPr="00354C0C">
        <w:lastRenderedPageBreak/>
        <w:t>040/362-08 : Inflexion dans les trottoirs</w:t>
      </w:r>
      <w:bookmarkEnd w:id="1186"/>
      <w:bookmarkEnd w:id="1187"/>
      <w:bookmarkEnd w:id="1188"/>
      <w:bookmarkEnd w:id="1189"/>
      <w:bookmarkEnd w:id="1190"/>
      <w:r w:rsidRPr="00354C0C">
        <w:t xml:space="preserve"> </w:t>
      </w:r>
    </w:p>
    <w:p w14:paraId="7985E065" w14:textId="77777777" w:rsidR="00795C3E" w:rsidRPr="00F91BDD" w:rsidRDefault="00795C3E" w:rsidP="00795C3E">
      <w:pPr>
        <w:spacing w:after="240"/>
        <w:rPr>
          <w:rFonts w:cs="Calibri Light"/>
        </w:rPr>
      </w:pPr>
      <w:r w:rsidRPr="00F91BDD">
        <w:t xml:space="preserve">Redevance </w:t>
      </w:r>
      <w:r w:rsidRPr="00F91BDD">
        <w:rPr>
          <w:rFonts w:cs="Calibri Light"/>
        </w:rPr>
        <w:t>(et non une taxe de remboursement).</w:t>
      </w:r>
      <w:bookmarkEnd w:id="1191"/>
      <w:bookmarkEnd w:id="1192"/>
    </w:p>
    <w:p w14:paraId="1FFE7496" w14:textId="2551C088" w:rsidR="00795C3E" w:rsidRPr="00354C0C" w:rsidRDefault="00795C3E" w:rsidP="35BD9115">
      <w:pPr>
        <w:pStyle w:val="Titre3"/>
        <w:rPr>
          <w:caps/>
        </w:rPr>
      </w:pPr>
      <w:bookmarkStart w:id="1193" w:name="_Toc516478976"/>
      <w:bookmarkStart w:id="1194" w:name="_Toc516479427"/>
      <w:bookmarkStart w:id="1195" w:name="_Toc516479744"/>
      <w:bookmarkStart w:id="1196" w:name="_Toc516480066"/>
      <w:bookmarkStart w:id="1197" w:name="_Toc516480380"/>
      <w:bookmarkStart w:id="1198" w:name="_Toc516480694"/>
      <w:bookmarkStart w:id="1199" w:name="_Toc516481008"/>
      <w:bookmarkStart w:id="1200" w:name="_Toc516481322"/>
      <w:bookmarkStart w:id="1201" w:name="_Toc516481636"/>
      <w:bookmarkStart w:id="1202" w:name="_Toc516481950"/>
      <w:bookmarkStart w:id="1203" w:name="_Toc516482264"/>
      <w:bookmarkStart w:id="1204" w:name="_Toc516482578"/>
      <w:bookmarkStart w:id="1205" w:name="_Toc516739752"/>
      <w:bookmarkStart w:id="1206" w:name="_Toc516751664"/>
      <w:bookmarkStart w:id="1207" w:name="_Toc516825752"/>
      <w:bookmarkStart w:id="1208" w:name="_Toc516826310"/>
      <w:bookmarkStart w:id="1209" w:name="_Toc516837630"/>
      <w:bookmarkStart w:id="1210" w:name="_Toc516838189"/>
      <w:bookmarkStart w:id="1211" w:name="_Toc516838748"/>
      <w:bookmarkStart w:id="1212" w:name="_Toc516839308"/>
      <w:bookmarkStart w:id="1213" w:name="_Toc517173404"/>
      <w:bookmarkStart w:id="1214" w:name="_Toc517175078"/>
      <w:bookmarkStart w:id="1215" w:name="_Toc517175665"/>
      <w:bookmarkStart w:id="1216" w:name="_Toc517176253"/>
      <w:bookmarkStart w:id="1217" w:name="_Toc517337578"/>
      <w:bookmarkStart w:id="1218" w:name="_Toc517360374"/>
      <w:bookmarkStart w:id="1219" w:name="_Toc143779170"/>
      <w:bookmarkStart w:id="1220" w:name="_Toc208420072"/>
      <w:bookmarkStart w:id="1221" w:name="_Toc225504309"/>
      <w:bookmarkStart w:id="1222" w:name="_Toc225772398"/>
      <w:bookmarkStart w:id="1223" w:name="_Toc233626267"/>
      <w:bookmarkStart w:id="1224" w:name="_Toc515896795"/>
      <w:bookmarkStart w:id="1225" w:name="_Toc51252548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r w:rsidRPr="00354C0C">
        <w:t>040/362-09 : Aménagement spécial des rues piétonnières commerçantes</w:t>
      </w:r>
      <w:bookmarkEnd w:id="1219"/>
      <w:bookmarkEnd w:id="1220"/>
      <w:bookmarkEnd w:id="1221"/>
      <w:bookmarkEnd w:id="1222"/>
      <w:bookmarkEnd w:id="1223"/>
      <w:r w:rsidRPr="00354C0C">
        <w:t xml:space="preserve"> </w:t>
      </w:r>
    </w:p>
    <w:p w14:paraId="7FCB5590" w14:textId="77777777" w:rsidR="00795C3E" w:rsidRPr="00F91BDD" w:rsidRDefault="00795C3E" w:rsidP="00795C3E">
      <w:r w:rsidRPr="00F91BDD">
        <w:t>Taxe indirecte</w:t>
      </w:r>
      <w:bookmarkEnd w:id="1224"/>
      <w:r w:rsidRPr="00F91BDD">
        <w:t xml:space="preserve"> </w:t>
      </w:r>
    </w:p>
    <w:p w14:paraId="369E628F" w14:textId="77777777" w:rsidR="00795C3E" w:rsidRPr="00DA1DE2" w:rsidRDefault="00795C3E" w:rsidP="00795C3E">
      <w:bookmarkStart w:id="1226" w:name="_Toc515896796"/>
      <w:bookmarkStart w:id="1227" w:name="_Toc208302364"/>
      <w:bookmarkStart w:id="1228" w:name="_Toc208321580"/>
      <w:bookmarkStart w:id="1229" w:name="_Toc208420073"/>
      <w:r w:rsidRPr="00DA1DE2">
        <w:t>Comme pour 040/362-01 à 040/362-05 mentionnés supra.</w:t>
      </w:r>
      <w:bookmarkEnd w:id="1225"/>
      <w:bookmarkEnd w:id="1226"/>
      <w:bookmarkEnd w:id="1227"/>
      <w:bookmarkEnd w:id="1228"/>
      <w:bookmarkEnd w:id="1229"/>
    </w:p>
    <w:p w14:paraId="7537DB7E" w14:textId="77777777" w:rsidR="00795C3E" w:rsidRPr="00F91BDD" w:rsidRDefault="00795C3E" w:rsidP="00795C3E">
      <w:pPr>
        <w:pStyle w:val="Body1"/>
        <w:rPr>
          <w:rFonts w:asciiTheme="minorHAnsi" w:hAnsiTheme="minorHAnsi" w:cs="Calibri Light"/>
          <w:color w:val="auto"/>
          <w:sz w:val="24"/>
          <w:szCs w:val="24"/>
        </w:rPr>
      </w:pPr>
    </w:p>
    <w:p w14:paraId="7AEC5EEA" w14:textId="750F93A8" w:rsidR="00795C3E" w:rsidRPr="002E69C2" w:rsidRDefault="00795C3E" w:rsidP="00795C3E">
      <w:pPr>
        <w:pStyle w:val="Titre2"/>
        <w:rPr>
          <w:caps/>
        </w:rPr>
      </w:pPr>
      <w:bookmarkStart w:id="1230" w:name="_Toc40185543"/>
      <w:bookmarkStart w:id="1231" w:name="_Toc40186278"/>
      <w:bookmarkStart w:id="1232" w:name="_Toc143779171"/>
      <w:bookmarkStart w:id="1233" w:name="_Toc208420074"/>
      <w:bookmarkStart w:id="1234" w:name="_Toc225504310"/>
      <w:bookmarkStart w:id="1235" w:name="_Toc225772399"/>
      <w:bookmarkStart w:id="1236" w:name="_Toc233626268"/>
      <w:bookmarkEnd w:id="1230"/>
      <w:bookmarkEnd w:id="1231"/>
      <w:r w:rsidRPr="002E69C2">
        <w:t>Taxes ou redevances sur les prestations d’hygiène publique</w:t>
      </w:r>
      <w:bookmarkEnd w:id="1232"/>
      <w:bookmarkEnd w:id="1233"/>
      <w:bookmarkEnd w:id="1234"/>
      <w:bookmarkEnd w:id="1235"/>
      <w:bookmarkEnd w:id="1236"/>
    </w:p>
    <w:p w14:paraId="590237CF" w14:textId="02E80E6C" w:rsidR="00795C3E" w:rsidRPr="005826DE" w:rsidRDefault="00795C3E">
      <w:pPr>
        <w:pStyle w:val="Titre3"/>
        <w:numPr>
          <w:ilvl w:val="0"/>
          <w:numId w:val="125"/>
        </w:numPr>
        <w:rPr>
          <w:caps/>
        </w:rPr>
      </w:pPr>
      <w:bookmarkStart w:id="1237" w:name="_Toc516229705"/>
      <w:bookmarkStart w:id="1238" w:name="_Toc516230000"/>
      <w:bookmarkStart w:id="1239" w:name="_Toc516230295"/>
      <w:bookmarkStart w:id="1240" w:name="_Toc516230589"/>
      <w:bookmarkStart w:id="1241" w:name="_Toc516230883"/>
      <w:bookmarkStart w:id="1242" w:name="_Toc516231178"/>
      <w:bookmarkStart w:id="1243" w:name="_Toc516231473"/>
      <w:bookmarkStart w:id="1244" w:name="_Toc516231770"/>
      <w:bookmarkStart w:id="1245" w:name="_Toc516242865"/>
      <w:bookmarkStart w:id="1246" w:name="_Toc516243169"/>
      <w:bookmarkStart w:id="1247" w:name="_Toc516245102"/>
      <w:bookmarkStart w:id="1248" w:name="_Toc516473673"/>
      <w:bookmarkStart w:id="1249" w:name="_Toc516473983"/>
      <w:bookmarkStart w:id="1250" w:name="_Toc516474293"/>
      <w:bookmarkStart w:id="1251" w:name="_Toc516474601"/>
      <w:bookmarkStart w:id="1252" w:name="_Toc516474933"/>
      <w:bookmarkStart w:id="1253" w:name="_Toc516478980"/>
      <w:bookmarkStart w:id="1254" w:name="_Toc516479430"/>
      <w:bookmarkStart w:id="1255" w:name="_Toc516479747"/>
      <w:bookmarkStart w:id="1256" w:name="_Toc516480069"/>
      <w:bookmarkStart w:id="1257" w:name="_Toc516480383"/>
      <w:bookmarkStart w:id="1258" w:name="_Toc516480697"/>
      <w:bookmarkStart w:id="1259" w:name="_Toc516481011"/>
      <w:bookmarkStart w:id="1260" w:name="_Toc516481325"/>
      <w:bookmarkStart w:id="1261" w:name="_Toc516481639"/>
      <w:bookmarkStart w:id="1262" w:name="_Toc516481953"/>
      <w:bookmarkStart w:id="1263" w:name="_Toc516482267"/>
      <w:bookmarkStart w:id="1264" w:name="_Toc516482581"/>
      <w:bookmarkStart w:id="1265" w:name="_Toc516739755"/>
      <w:bookmarkStart w:id="1266" w:name="_Toc516751667"/>
      <w:bookmarkStart w:id="1267" w:name="_Toc516825755"/>
      <w:bookmarkStart w:id="1268" w:name="_Toc516826313"/>
      <w:bookmarkStart w:id="1269" w:name="_Toc516837633"/>
      <w:bookmarkStart w:id="1270" w:name="_Toc516838192"/>
      <w:bookmarkStart w:id="1271" w:name="_Toc516838751"/>
      <w:bookmarkStart w:id="1272" w:name="_Toc516839311"/>
      <w:bookmarkStart w:id="1273" w:name="_Toc517173407"/>
      <w:bookmarkStart w:id="1274" w:name="_Toc517175081"/>
      <w:bookmarkStart w:id="1275" w:name="_Toc517175668"/>
      <w:bookmarkStart w:id="1276" w:name="_Toc517176256"/>
      <w:bookmarkStart w:id="1277" w:name="_Toc517337581"/>
      <w:bookmarkStart w:id="1278" w:name="_Toc517360377"/>
      <w:bookmarkStart w:id="1279" w:name="_Toc516243170"/>
      <w:bookmarkStart w:id="1280" w:name="_Toc516245103"/>
      <w:bookmarkStart w:id="1281" w:name="_Toc516473674"/>
      <w:bookmarkStart w:id="1282" w:name="_Toc516473984"/>
      <w:bookmarkStart w:id="1283" w:name="_Toc516474294"/>
      <w:bookmarkStart w:id="1284" w:name="_Toc516474602"/>
      <w:bookmarkStart w:id="1285" w:name="_Toc516474934"/>
      <w:bookmarkStart w:id="1286" w:name="_Toc516478981"/>
      <w:bookmarkStart w:id="1287" w:name="_Toc516479431"/>
      <w:bookmarkStart w:id="1288" w:name="_Toc516479748"/>
      <w:bookmarkStart w:id="1289" w:name="_Toc516480070"/>
      <w:bookmarkStart w:id="1290" w:name="_Toc516480384"/>
      <w:bookmarkStart w:id="1291" w:name="_Toc516480698"/>
      <w:bookmarkStart w:id="1292" w:name="_Toc516481012"/>
      <w:bookmarkStart w:id="1293" w:name="_Toc516481326"/>
      <w:bookmarkStart w:id="1294" w:name="_Toc516481640"/>
      <w:bookmarkStart w:id="1295" w:name="_Toc516481954"/>
      <w:bookmarkStart w:id="1296" w:name="_Toc516482268"/>
      <w:bookmarkStart w:id="1297" w:name="_Toc516482582"/>
      <w:bookmarkStart w:id="1298" w:name="_Toc516739756"/>
      <w:bookmarkStart w:id="1299" w:name="_Toc516751668"/>
      <w:bookmarkStart w:id="1300" w:name="_Toc516825756"/>
      <w:bookmarkStart w:id="1301" w:name="_Toc516826314"/>
      <w:bookmarkStart w:id="1302" w:name="_Toc516837634"/>
      <w:bookmarkStart w:id="1303" w:name="_Toc516838193"/>
      <w:bookmarkStart w:id="1304" w:name="_Toc516838752"/>
      <w:bookmarkStart w:id="1305" w:name="_Toc516839312"/>
      <w:bookmarkStart w:id="1306" w:name="_Toc517173408"/>
      <w:bookmarkStart w:id="1307" w:name="_Toc517175082"/>
      <w:bookmarkStart w:id="1308" w:name="_Toc517175669"/>
      <w:bookmarkStart w:id="1309" w:name="_Toc517176257"/>
      <w:bookmarkStart w:id="1310" w:name="_Toc517337582"/>
      <w:bookmarkStart w:id="1311" w:name="_Toc517360378"/>
      <w:bookmarkStart w:id="1312" w:name="_Toc516243171"/>
      <w:bookmarkStart w:id="1313" w:name="_Toc516245104"/>
      <w:bookmarkStart w:id="1314" w:name="_Toc516473675"/>
      <w:bookmarkStart w:id="1315" w:name="_Toc516473985"/>
      <w:bookmarkStart w:id="1316" w:name="_Toc516474295"/>
      <w:bookmarkStart w:id="1317" w:name="_Toc516474603"/>
      <w:bookmarkStart w:id="1318" w:name="_Toc516474935"/>
      <w:bookmarkStart w:id="1319" w:name="_Toc516478982"/>
      <w:bookmarkStart w:id="1320" w:name="_Toc516479432"/>
      <w:bookmarkStart w:id="1321" w:name="_Toc516479749"/>
      <w:bookmarkStart w:id="1322" w:name="_Toc516480071"/>
      <w:bookmarkStart w:id="1323" w:name="_Toc516480385"/>
      <w:bookmarkStart w:id="1324" w:name="_Toc516480699"/>
      <w:bookmarkStart w:id="1325" w:name="_Toc516481013"/>
      <w:bookmarkStart w:id="1326" w:name="_Toc516481327"/>
      <w:bookmarkStart w:id="1327" w:name="_Toc516481641"/>
      <w:bookmarkStart w:id="1328" w:name="_Toc516481955"/>
      <w:bookmarkStart w:id="1329" w:name="_Toc516482269"/>
      <w:bookmarkStart w:id="1330" w:name="_Toc516482583"/>
      <w:bookmarkStart w:id="1331" w:name="_Toc516739757"/>
      <w:bookmarkStart w:id="1332" w:name="_Toc516751669"/>
      <w:bookmarkStart w:id="1333" w:name="_Toc516825757"/>
      <w:bookmarkStart w:id="1334" w:name="_Toc516826315"/>
      <w:bookmarkStart w:id="1335" w:name="_Toc516837635"/>
      <w:bookmarkStart w:id="1336" w:name="_Toc516838194"/>
      <w:bookmarkStart w:id="1337" w:name="_Toc516838753"/>
      <w:bookmarkStart w:id="1338" w:name="_Toc516839313"/>
      <w:bookmarkStart w:id="1339" w:name="_Toc517173409"/>
      <w:bookmarkStart w:id="1340" w:name="_Toc517175083"/>
      <w:bookmarkStart w:id="1341" w:name="_Toc517175670"/>
      <w:bookmarkStart w:id="1342" w:name="_Toc517176258"/>
      <w:bookmarkStart w:id="1343" w:name="_Toc517337583"/>
      <w:bookmarkStart w:id="1344" w:name="_Toc517360379"/>
      <w:bookmarkStart w:id="1345" w:name="_Toc143779172"/>
      <w:bookmarkStart w:id="1346" w:name="_Toc208420075"/>
      <w:bookmarkStart w:id="1347" w:name="_Toc225504311"/>
      <w:bookmarkStart w:id="1348" w:name="_Toc225772400"/>
      <w:bookmarkStart w:id="1349" w:name="_Toc233626269"/>
      <w:bookmarkStart w:id="1350" w:name="_Toc512525484"/>
      <w:bookmarkStart w:id="1351" w:name="_Toc515896798"/>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r w:rsidRPr="00354C0C">
        <w:t>040/363-02 : Travaux de raccordement au réseau de distribution d'eau</w:t>
      </w:r>
      <w:bookmarkEnd w:id="1345"/>
      <w:bookmarkEnd w:id="1346"/>
      <w:bookmarkEnd w:id="1347"/>
      <w:bookmarkEnd w:id="1348"/>
      <w:bookmarkEnd w:id="1349"/>
      <w:r w:rsidRPr="00354C0C">
        <w:t xml:space="preserve"> </w:t>
      </w:r>
    </w:p>
    <w:p w14:paraId="4523E354" w14:textId="77777777" w:rsidR="00795C3E" w:rsidRPr="00F91BDD" w:rsidRDefault="00795C3E" w:rsidP="00795C3E">
      <w:pPr>
        <w:spacing w:after="240"/>
      </w:pPr>
      <w:r w:rsidRPr="00F91BDD">
        <w:t>Redevance</w:t>
      </w:r>
      <w:bookmarkEnd w:id="1350"/>
      <w:bookmarkEnd w:id="1351"/>
      <w:r>
        <w:t>.</w:t>
      </w:r>
    </w:p>
    <w:p w14:paraId="0CD4F346" w14:textId="7A0C5A7C" w:rsidR="00795C3E" w:rsidRPr="00E608F8" w:rsidRDefault="00795C3E" w:rsidP="35BD9115">
      <w:pPr>
        <w:pStyle w:val="Titre3"/>
        <w:rPr>
          <w:caps/>
        </w:rPr>
      </w:pPr>
      <w:bookmarkStart w:id="1352" w:name="_Toc512525485"/>
      <w:bookmarkStart w:id="1353" w:name="_Toc515896799"/>
      <w:bookmarkStart w:id="1354" w:name="_Toc143779173"/>
      <w:bookmarkStart w:id="1355" w:name="_Toc208302365"/>
      <w:bookmarkStart w:id="1356" w:name="_Toc208321581"/>
      <w:bookmarkStart w:id="1357" w:name="_Toc208420076"/>
      <w:bookmarkStart w:id="1358" w:name="_Toc225504312"/>
      <w:bookmarkStart w:id="1359" w:name="_Toc225772401"/>
      <w:bookmarkStart w:id="1360" w:name="_Toc233626270"/>
      <w:r w:rsidRPr="00354C0C">
        <w:t>040/363-03 : E</w:t>
      </w:r>
      <w:bookmarkStart w:id="1361" w:name="_Hlk93312330"/>
      <w:r w:rsidRPr="00354C0C">
        <w:t>nlèvement des immondices - Traitement des immondices</w:t>
      </w:r>
      <w:bookmarkEnd w:id="1352"/>
      <w:bookmarkEnd w:id="1353"/>
      <w:bookmarkEnd w:id="1354"/>
      <w:bookmarkEnd w:id="1355"/>
      <w:bookmarkEnd w:id="1356"/>
      <w:bookmarkEnd w:id="1357"/>
      <w:bookmarkEnd w:id="1358"/>
      <w:bookmarkEnd w:id="1359"/>
      <w:bookmarkEnd w:id="1360"/>
      <w:r w:rsidRPr="00354C0C">
        <w:t xml:space="preserve"> </w:t>
      </w:r>
      <w:bookmarkEnd w:id="1361"/>
    </w:p>
    <w:p w14:paraId="60856B2A" w14:textId="77777777" w:rsidR="00795C3E" w:rsidRPr="00F91BDD" w:rsidRDefault="00795C3E" w:rsidP="00795C3E">
      <w:r w:rsidRPr="00F91BDD">
        <w:t>Taxe directe pour la partie forfaitaire et indirecte pour la partie variable.</w:t>
      </w:r>
    </w:p>
    <w:p w14:paraId="796D26EF" w14:textId="77777777" w:rsidR="00795C3E" w:rsidRPr="00F91BDD" w:rsidRDefault="00795C3E" w:rsidP="00795C3E">
      <w:pPr>
        <w:spacing w:before="120"/>
        <w:textAlignment w:val="baseline"/>
        <w:rPr>
          <w:rFonts w:cs="Calibri Light"/>
        </w:rPr>
      </w:pPr>
      <w:r w:rsidRPr="00F91BDD">
        <w:rPr>
          <w:rFonts w:cs="Calibri Light"/>
        </w:rPr>
        <w:t>Le décret du 9 mars 2023 relatif aux déchets à la circularité des matières et à la propreté publique impose aux communes l'application du coût-vérité.  Cela veut dire qu’elles doivent répercuter directement les coûts de gestion des déchets résultant de l'activité usuelle des ménages sur les bénéficiaires (principe du pollueur-payeur).</w:t>
      </w:r>
    </w:p>
    <w:p w14:paraId="6B7BA89D" w14:textId="77777777" w:rsidR="00795C3E" w:rsidRPr="00F91BDD" w:rsidRDefault="00795C3E" w:rsidP="00795C3E">
      <w:pPr>
        <w:spacing w:before="120"/>
        <w:textAlignment w:val="baseline"/>
        <w:rPr>
          <w:rFonts w:cs="Calibri Light"/>
          <w:u w:val="single"/>
        </w:rPr>
      </w:pPr>
      <w:r w:rsidRPr="00F91BDD">
        <w:rPr>
          <w:rFonts w:cs="Calibri Light"/>
        </w:rPr>
        <w:t xml:space="preserve">Le décret du 23 juin 2016 modifiant le code de l'environnement, le code de l'eau et divers décrets en matière de déchets et de permis d'environnement prévoit que les communes doivent établir la contribution des bénéficiaires de la gestion des déchets de manière à couvrir entre </w:t>
      </w:r>
      <w:r w:rsidRPr="00F91BDD">
        <w:rPr>
          <w:rFonts w:cs="Calibri Light"/>
          <w:u w:val="single"/>
        </w:rPr>
        <w:t>95% et 110% des coûts de gestion des déchets.</w:t>
      </w:r>
    </w:p>
    <w:p w14:paraId="020090BD" w14:textId="77777777" w:rsidR="00795C3E" w:rsidRPr="00F91BDD" w:rsidRDefault="00795C3E" w:rsidP="00795C3E">
      <w:pPr>
        <w:spacing w:before="120"/>
        <w:textAlignment w:val="baseline"/>
        <w:rPr>
          <w:rFonts w:cs="Calibri Light"/>
          <w:u w:val="single"/>
        </w:rPr>
      </w:pPr>
      <w:r w:rsidRPr="00F91BDD">
        <w:rPr>
          <w:rFonts w:cs="Calibri Light"/>
          <w:u w:val="single"/>
        </w:rPr>
        <w:t>Pour rappel, pour les communes sous plan de gestion, le taux de couverture doit se situer entre 100% et 110%.</w:t>
      </w:r>
    </w:p>
    <w:p w14:paraId="6ABD6651" w14:textId="77777777" w:rsidR="00795C3E" w:rsidRPr="00F91BDD" w:rsidRDefault="00795C3E" w:rsidP="00795C3E">
      <w:pPr>
        <w:spacing w:before="120"/>
        <w:textAlignment w:val="baseline"/>
        <w:rPr>
          <w:rFonts w:cs="Calibri Light"/>
          <w:b/>
          <w:bCs/>
          <w:u w:val="single"/>
        </w:rPr>
      </w:pPr>
      <w:r w:rsidRPr="00F91BDD">
        <w:rPr>
          <w:rFonts w:cs="Calibri Light"/>
          <w:b/>
          <w:bCs/>
          <w:u w:val="single"/>
        </w:rPr>
        <w:t>Si des modifications devaient être apportées à certains éléments du décret du 23 juin 2016, je ne manquerai pas de vous en informer.</w:t>
      </w:r>
    </w:p>
    <w:p w14:paraId="7F0B3273" w14:textId="77777777" w:rsidR="00795C3E" w:rsidRPr="00F91BDD" w:rsidRDefault="00795C3E" w:rsidP="00795C3E">
      <w:pPr>
        <w:spacing w:before="120"/>
        <w:textAlignment w:val="baseline"/>
        <w:rPr>
          <w:rFonts w:cs="Calibri Light"/>
        </w:rPr>
      </w:pPr>
      <w:r w:rsidRPr="00F91BDD">
        <w:rPr>
          <w:rFonts w:cs="Calibri Light"/>
        </w:rPr>
        <w:t>Le non-respect de la « fourchette » imposée peut avoir un impact sur la liquidation des subventions relatives à la prévention et à la gestion des déchets mais également de celles aux infrastructures.</w:t>
      </w:r>
    </w:p>
    <w:p w14:paraId="6B9B74BD" w14:textId="77777777" w:rsidR="00795C3E" w:rsidRPr="00F91BDD" w:rsidRDefault="00795C3E" w:rsidP="00795C3E">
      <w:pPr>
        <w:spacing w:before="120"/>
        <w:textAlignment w:val="baseline"/>
        <w:rPr>
          <w:rFonts w:cs="Calibri Light"/>
        </w:rPr>
      </w:pPr>
      <w:r w:rsidRPr="00F91BDD">
        <w:rPr>
          <w:rFonts w:cs="Calibri Light"/>
        </w:rPr>
        <w:t>L’article 61, 2,2°</w:t>
      </w:r>
      <w:r w:rsidRPr="00F91BDD">
        <w:rPr>
          <w:rFonts w:cs="Calibri Light"/>
          <w:vertAlign w:val="superscript"/>
        </w:rPr>
        <w:t xml:space="preserve">, </w:t>
      </w:r>
      <w:r w:rsidRPr="00F91BDD">
        <w:rPr>
          <w:rFonts w:cs="Calibri Light"/>
        </w:rPr>
        <w:t>du décret du 9 mars 2023 prévoit que le taux de couverture des coûts est déterminé annuellement, lors de l'établissement des budgets, sur la base des coûts du pénultième exercice et des éléments connus de modification de ces coûts. La commune doit vérifier et justifier chaque année le respect du taux de couverture des coûts établi conformément au présent article.</w:t>
      </w:r>
    </w:p>
    <w:p w14:paraId="45DA6661" w14:textId="77777777" w:rsidR="00795C3E" w:rsidRPr="00F91BDD" w:rsidRDefault="00795C3E" w:rsidP="00795C3E">
      <w:pPr>
        <w:spacing w:before="120"/>
        <w:textAlignment w:val="baseline"/>
        <w:rPr>
          <w:rFonts w:cs="Calibri Light"/>
        </w:rPr>
      </w:pPr>
      <w:r w:rsidRPr="00F91BDD">
        <w:rPr>
          <w:rFonts w:cs="Calibri Light"/>
        </w:rPr>
        <w:t xml:space="preserve">J’attire cependant votre attention sur le fait que je considérerai comme autorisé lors de mon contrôle de tutelle l’indexation du règlement-taxe concerné et l’application desdits taux sans </w:t>
      </w:r>
      <w:r w:rsidRPr="00F91BDD">
        <w:rPr>
          <w:rFonts w:cs="Calibri Light"/>
        </w:rPr>
        <w:lastRenderedPageBreak/>
        <w:t>nouveau vote au conseil communal – comme recommandé plus haut – pour autant bien évidemment que ce taux reste dans la « fourchette ».</w:t>
      </w:r>
    </w:p>
    <w:p w14:paraId="66966A7B" w14:textId="77777777" w:rsidR="00795C3E" w:rsidRPr="00F91BDD" w:rsidRDefault="00795C3E" w:rsidP="00795C3E">
      <w:pPr>
        <w:spacing w:before="120"/>
        <w:textAlignment w:val="baseline"/>
        <w:rPr>
          <w:rFonts w:cs="Calibri Light"/>
        </w:rPr>
      </w:pPr>
      <w:r w:rsidRPr="00F91BDD">
        <w:rPr>
          <w:rFonts w:cs="Calibri Light"/>
        </w:rPr>
        <w:t xml:space="preserve">Je porte à votre connaissance qu'en vertu du fait que le contrôle de la tutelle se limite à l'examen de la légalité et de la conformité à l'intérêt général, l'approbation d'un règlement-taxe par l'autorité de tutelle est subordonnée au respect des dispositions légales et réglementaires relatives à l’article 61, § 2,2° du décret du 9 mars 2023 relatif aux déchets à la circularité des matières et à la propreté publique et en particulier à la fourchette de couverture du coût-vérité. Puisque le taux de couverture du coût-vérité est appelé à varier d'une année à l'autre, je vous recommande de </w:t>
      </w:r>
      <w:r w:rsidRPr="00F91BDD">
        <w:rPr>
          <w:rFonts w:cs="Calibri Light"/>
          <w:b/>
        </w:rPr>
        <w:t>voter annuellement</w:t>
      </w:r>
      <w:r w:rsidRPr="00F91BDD">
        <w:rPr>
          <w:rFonts w:cs="Calibri Light"/>
        </w:rPr>
        <w:t xml:space="preserve"> votre règlement-taxe.</w:t>
      </w:r>
    </w:p>
    <w:p w14:paraId="337FE952" w14:textId="77777777" w:rsidR="00795C3E" w:rsidRPr="00F91BDD" w:rsidRDefault="00795C3E" w:rsidP="00795C3E">
      <w:pPr>
        <w:spacing w:before="120"/>
        <w:textAlignment w:val="baseline"/>
        <w:rPr>
          <w:rFonts w:cs="Calibri Light"/>
        </w:rPr>
      </w:pPr>
      <w:r w:rsidRPr="00F91BDD">
        <w:rPr>
          <w:rFonts w:cs="Calibri Light"/>
        </w:rPr>
        <w:t xml:space="preserve">Les communes qui pratiquent un système de mise en </w:t>
      </w:r>
      <w:r w:rsidRPr="00F91BDD">
        <w:rPr>
          <w:rFonts w:cs="Calibri Light"/>
          <w:b/>
        </w:rPr>
        <w:t>vente de sacs poubelles</w:t>
      </w:r>
      <w:r w:rsidRPr="00F91BDD">
        <w:rPr>
          <w:rFonts w:cs="Calibri Light"/>
        </w:rPr>
        <w:t xml:space="preserve"> payants enregistrent la recette de vente des sacs à l'article budgétaire 040/363-16, la dépense d'achat des sacs étant enregistrée à l'article de dépenses 876/124-04. </w:t>
      </w:r>
    </w:p>
    <w:p w14:paraId="4D26B333" w14:textId="77777777" w:rsidR="00795C3E" w:rsidRPr="00F91BDD" w:rsidRDefault="00795C3E" w:rsidP="00795C3E">
      <w:pPr>
        <w:spacing w:before="120"/>
        <w:textAlignment w:val="baseline"/>
        <w:rPr>
          <w:rFonts w:cs="Calibri Light"/>
        </w:rPr>
      </w:pPr>
      <w:r w:rsidRPr="00F91BDD">
        <w:rPr>
          <w:rFonts w:cs="Calibri Light"/>
        </w:rPr>
        <w:t>Les communes qui ont confié la vente de sacs poubelles à une intercommunale chargée de l'enlèvement des immondices comptabilisent également ce produit à l'article 040/363-16. Il n'est pas admis d'opérer la compensation avec les dépenses facturées par l'intercommunale qui sont portées à l'article 876/435-01.</w:t>
      </w:r>
    </w:p>
    <w:p w14:paraId="60B57F25" w14:textId="77777777" w:rsidR="00795C3E" w:rsidRPr="00F91BDD" w:rsidRDefault="00795C3E" w:rsidP="00795C3E">
      <w:pPr>
        <w:spacing w:before="120"/>
        <w:textAlignment w:val="baseline"/>
        <w:rPr>
          <w:rFonts w:cs="Calibri Light"/>
        </w:rPr>
      </w:pPr>
      <w:r w:rsidRPr="00F91BDD">
        <w:rPr>
          <w:rFonts w:cs="Calibri Light"/>
        </w:rPr>
        <w:t>Vous trouverez à ce sujet des informations importantes et plus détaillées ci-dessous.</w:t>
      </w:r>
    </w:p>
    <w:p w14:paraId="2DDBA38E" w14:textId="77777777" w:rsidR="00795C3E" w:rsidRPr="00F91BDD" w:rsidRDefault="00795C3E" w:rsidP="00795C3E">
      <w:pPr>
        <w:spacing w:before="120"/>
        <w:textAlignment w:val="baseline"/>
        <w:rPr>
          <w:rFonts w:cs="Calibri Light"/>
        </w:rPr>
      </w:pPr>
      <w:r w:rsidRPr="00F91BDD">
        <w:rPr>
          <w:rFonts w:cs="Calibri Light"/>
        </w:rPr>
        <w:t>Je tiens ainsi à vous rappeler que :</w:t>
      </w:r>
    </w:p>
    <w:p w14:paraId="5E1E54C1" w14:textId="77777777" w:rsidR="00795C3E" w:rsidRPr="00F91BDD" w:rsidRDefault="00795C3E">
      <w:pPr>
        <w:numPr>
          <w:ilvl w:val="0"/>
          <w:numId w:val="25"/>
        </w:numPr>
        <w:spacing w:before="120" w:after="120" w:line="240" w:lineRule="auto"/>
        <w:textAlignment w:val="baseline"/>
        <w:rPr>
          <w:rFonts w:cs="Calibri Light"/>
        </w:rPr>
      </w:pPr>
      <w:r w:rsidRPr="00F91BDD">
        <w:rPr>
          <w:rFonts w:cs="Calibri Light"/>
        </w:rPr>
        <w:t>La taxe relative à la gestion des déchets est réglementée en ce qui concerne les déchets des ménages, par l'arrêté du gouvernement wallon du 5 mars 2008 relatif à la gestion des déchets, résultant de l'activité usuelle des ménages et à la couverture des coûts y afférents. Pour plus de précisions je vous renvoie à la circulaire ministérielle du 25 septembre 2008</w:t>
      </w:r>
      <w:r w:rsidRPr="00F91BDD">
        <w:rPr>
          <w:rStyle w:val="Appelnotedebasdep"/>
          <w:rFonts w:cs="Calibri Light"/>
        </w:rPr>
        <w:footnoteReference w:id="89"/>
      </w:r>
      <w:r w:rsidRPr="00F91BDD">
        <w:rPr>
          <w:rFonts w:cs="Calibri Light"/>
        </w:rPr>
        <w:t> ;</w:t>
      </w:r>
    </w:p>
    <w:p w14:paraId="4CA6459B" w14:textId="77777777" w:rsidR="00795C3E" w:rsidRPr="00F91BDD" w:rsidRDefault="00795C3E">
      <w:pPr>
        <w:numPr>
          <w:ilvl w:val="0"/>
          <w:numId w:val="25"/>
        </w:numPr>
        <w:spacing w:before="120" w:after="120" w:line="240" w:lineRule="auto"/>
        <w:textAlignment w:val="baseline"/>
        <w:rPr>
          <w:rFonts w:cs="Calibri Light"/>
        </w:rPr>
      </w:pPr>
      <w:r w:rsidRPr="00F91BDD">
        <w:rPr>
          <w:rFonts w:cs="Calibri Light"/>
        </w:rPr>
        <w:t>L’arrêté du Gouvernement wallon du 7 avril 2011 modifiant l'arrêté du Gouvernement wallon du 5 mars 2008 relatif à la gestion des déchets issus de l'activité usuelle des ménages et à la couverture des coûts y afférents :</w:t>
      </w:r>
    </w:p>
    <w:p w14:paraId="21C92ED1" w14:textId="77777777" w:rsidR="00795C3E" w:rsidRPr="00F91BDD" w:rsidRDefault="00795C3E">
      <w:pPr>
        <w:numPr>
          <w:ilvl w:val="1"/>
          <w:numId w:val="25"/>
        </w:numPr>
        <w:spacing w:before="120" w:after="120" w:line="240" w:lineRule="auto"/>
        <w:textAlignment w:val="baseline"/>
        <w:rPr>
          <w:rFonts w:cs="Calibri Light"/>
        </w:rPr>
      </w:pPr>
      <w:r w:rsidRPr="00F91BDD">
        <w:rPr>
          <w:rFonts w:cs="Calibri Light"/>
        </w:rPr>
        <w:t xml:space="preserve">d’une part, prévoit que les communes doivent communiquer au « SPW Agriculture, Ressources naturelles et Environnement - Département du sol et des déchets » </w:t>
      </w:r>
      <w:r w:rsidRPr="00F91BDD">
        <w:rPr>
          <w:rFonts w:cs="Calibri Light"/>
          <w:u w:val="single"/>
        </w:rPr>
        <w:t>avant le 15 novembre au plus tard de l'année précédant l'exercice d'imposition</w:t>
      </w:r>
      <w:r w:rsidRPr="00F91BDD">
        <w:rPr>
          <w:rFonts w:cs="Calibri Light"/>
        </w:rPr>
        <w:t>, les recettes et dépenses visées aux articles 9 et 10 du présent arrêté, et le règlement taxe ou redevance ou le projet de règlement taxe ou redevance pour l'exercice à venir, relatifs aux services minimum et complémentaires afin d'établir le taux de couverture des coûts pour l'exercice d'imposition ;</w:t>
      </w:r>
    </w:p>
    <w:p w14:paraId="3E15C3CB" w14:textId="77777777" w:rsidR="00795C3E" w:rsidRPr="00F91BDD" w:rsidRDefault="00795C3E">
      <w:pPr>
        <w:pStyle w:val="Paragraphedeliste"/>
        <w:numPr>
          <w:ilvl w:val="1"/>
          <w:numId w:val="25"/>
        </w:numPr>
        <w:spacing w:after="120" w:line="240" w:lineRule="auto"/>
        <w:contextualSpacing w:val="0"/>
        <w:rPr>
          <w:b/>
        </w:rPr>
      </w:pPr>
      <w:bookmarkStart w:id="1362" w:name="_Hlk38967585"/>
      <w:r w:rsidRPr="004E425F">
        <w:t>et</w:t>
      </w:r>
      <w:r>
        <w:t xml:space="preserve"> </w:t>
      </w:r>
      <w:r w:rsidRPr="004E425F">
        <w:t>d’autre part, établit une obligation de fournir un certain nombre de sacs/vignettes/levées/kg « gratuits », nombre qui doit apparaître explicitement dans le règlement-taxe</w:t>
      </w:r>
      <w:r w:rsidRPr="004E425F">
        <w:rPr>
          <w:rFonts w:cs="Calibri Light"/>
          <w:b/>
          <w:bCs/>
        </w:rPr>
        <w:t>.</w:t>
      </w:r>
      <w:r w:rsidRPr="004E425F">
        <w:rPr>
          <w:rFonts w:cs="Calibri Light"/>
        </w:rPr>
        <w:t xml:space="preserve"> Néanmoins, ainsi que cela a pu être dit dans les travaux parlementaires, </w:t>
      </w:r>
      <w:r w:rsidRPr="00F91BDD">
        <w:rPr>
          <w:rFonts w:cs="Calibri Light"/>
        </w:rPr>
        <w:t xml:space="preserve">le Ministre de la Santé, de l'Environnement, </w:t>
      </w:r>
      <w:r w:rsidRPr="00F91BDD">
        <w:rPr>
          <w:rFonts w:cs="Calibri Light"/>
        </w:rPr>
        <w:lastRenderedPageBreak/>
        <w:t xml:space="preserve">des Solidarités, de l'Economie sociale, de l'Egalité des chances et des Droits des femmes, travaille à une réforme du coût-vérité, </w:t>
      </w:r>
      <w:r w:rsidRPr="004E425F">
        <w:rPr>
          <w:rFonts w:cs="Calibri Light"/>
        </w:rPr>
        <w:t>laquelle</w:t>
      </w:r>
      <w:r w:rsidRPr="00F91BDD">
        <w:rPr>
          <w:rFonts w:cs="Calibri Light"/>
        </w:rPr>
        <w:t xml:space="preserve"> pourrait </w:t>
      </w:r>
      <w:r w:rsidRPr="004E425F">
        <w:rPr>
          <w:rFonts w:cs="Calibri Light"/>
        </w:rPr>
        <w:t>impacter</w:t>
      </w:r>
      <w:r w:rsidRPr="00F91BDD">
        <w:rPr>
          <w:rFonts w:cs="Calibri Light"/>
        </w:rPr>
        <w:t xml:space="preserve"> les futures décisions de non-approbation des règlements-taxes. C’est dans cette optique que je serai </w:t>
      </w:r>
      <w:r w:rsidRPr="004E425F">
        <w:rPr>
          <w:rFonts w:cs="Calibri Light"/>
        </w:rPr>
        <w:t xml:space="preserve">en conséquence </w:t>
      </w:r>
      <w:r w:rsidRPr="00F91BDD">
        <w:rPr>
          <w:rFonts w:cs="Calibri Light"/>
        </w:rPr>
        <w:t>souple dans l’usage de la tutelle.</w:t>
      </w:r>
    </w:p>
    <w:bookmarkEnd w:id="1362"/>
    <w:p w14:paraId="6405219A" w14:textId="77777777" w:rsidR="00795C3E" w:rsidRPr="00F91BDD" w:rsidRDefault="00795C3E">
      <w:pPr>
        <w:numPr>
          <w:ilvl w:val="0"/>
          <w:numId w:val="25"/>
        </w:numPr>
        <w:spacing w:before="120" w:after="120" w:line="240" w:lineRule="auto"/>
        <w:textAlignment w:val="baseline"/>
        <w:rPr>
          <w:rFonts w:cs="Calibri Light"/>
        </w:rPr>
      </w:pPr>
      <w:r w:rsidRPr="00F91BDD">
        <w:rPr>
          <w:rFonts w:cs="Calibri Light"/>
        </w:rPr>
        <w:t xml:space="preserve">L’arrêté du Gouvernement wallon du 9 juin 2016 a introduit de nouvelles obligations dans le service minimum en matière de gestion des déchets ménagers :  </w:t>
      </w:r>
    </w:p>
    <w:p w14:paraId="33E70F80" w14:textId="77777777" w:rsidR="00795C3E" w:rsidRPr="00F91BDD" w:rsidRDefault="00795C3E">
      <w:pPr>
        <w:numPr>
          <w:ilvl w:val="1"/>
          <w:numId w:val="25"/>
        </w:numPr>
        <w:spacing w:before="120" w:after="120" w:line="240" w:lineRule="auto"/>
        <w:textAlignment w:val="baseline"/>
        <w:rPr>
          <w:rFonts w:cs="Calibri Light"/>
        </w:rPr>
      </w:pPr>
      <w:r w:rsidRPr="00F91BDD">
        <w:rPr>
          <w:rFonts w:cs="Calibri Light"/>
        </w:rPr>
        <w:t>D’une part, les communes doivent ainsi permettre aux citoyens de se défaire de manière sélective des films d'emballage en plastique, en ce compris les sacs en plastique, mais également de la fraction en plastique rigide des encombrants ;</w:t>
      </w:r>
    </w:p>
    <w:p w14:paraId="424A7352" w14:textId="77777777" w:rsidR="00795C3E" w:rsidRPr="00F91BDD" w:rsidRDefault="00795C3E">
      <w:pPr>
        <w:numPr>
          <w:ilvl w:val="1"/>
          <w:numId w:val="25"/>
        </w:numPr>
        <w:spacing w:before="120" w:after="120" w:line="240" w:lineRule="auto"/>
        <w:textAlignment w:val="baseline"/>
        <w:rPr>
          <w:rFonts w:cs="Calibri Light"/>
        </w:rPr>
      </w:pPr>
      <w:r w:rsidRPr="00F91BDD">
        <w:rPr>
          <w:rFonts w:cs="Calibri Light"/>
        </w:rPr>
        <w:t xml:space="preserve">D’autre part, les communes sont chargées de mettre en place les conditions nécessaires </w:t>
      </w:r>
      <w:r w:rsidRPr="00F91BDD">
        <w:rPr>
          <w:rFonts w:cs="Calibri Light"/>
          <w:u w:val="single"/>
        </w:rPr>
        <w:t>pour qu'au plus tard le 1</w:t>
      </w:r>
      <w:r w:rsidRPr="00F91BDD">
        <w:rPr>
          <w:rFonts w:cs="Calibri Light"/>
          <w:u w:val="single"/>
          <w:vertAlign w:val="superscript"/>
        </w:rPr>
        <w:t>er</w:t>
      </w:r>
      <w:r w:rsidRPr="00F91BDD">
        <w:rPr>
          <w:rFonts w:cs="Calibri Light"/>
          <w:u w:val="single"/>
        </w:rPr>
        <w:t xml:space="preserve"> janvier 2025</w:t>
      </w:r>
      <w:r w:rsidRPr="00F91BDD">
        <w:rPr>
          <w:rFonts w:cs="Calibri Light"/>
        </w:rPr>
        <w:t xml:space="preserve"> tous les citoyens puissent séparer efficacement les déchets organiques du flux d'ordures ménagères, en vue de leur biométhanisation ou de leur compostage, y compris à domicile ;</w:t>
      </w:r>
    </w:p>
    <w:p w14:paraId="3D36F81E" w14:textId="77777777" w:rsidR="00795C3E" w:rsidRPr="00F91BDD" w:rsidRDefault="00795C3E" w:rsidP="00795C3E">
      <w:pPr>
        <w:spacing w:before="120"/>
        <w:textAlignment w:val="baseline"/>
        <w:rPr>
          <w:rFonts w:cs="Calibri Light"/>
        </w:rPr>
      </w:pPr>
      <w:r w:rsidRPr="00F91BDD">
        <w:rPr>
          <w:rFonts w:cs="Calibri Light"/>
        </w:rPr>
        <w:t>Il peut être utile de rappeler ici la ligne du temps pour les règlements relatifs aux impositions communales, et dans laquelle s’incorporent les dispositions spécifiques de l’arrêté du 5 mars 2008 relatif à la gestion des déchets issus de l'activité usuelle des ménages et à la couverture des coûts y afférents :</w:t>
      </w:r>
    </w:p>
    <w:p w14:paraId="00D95CE3" w14:textId="77777777" w:rsidR="00795C3E" w:rsidRPr="00F91BDD" w:rsidRDefault="00795C3E" w:rsidP="00795C3E">
      <w:pPr>
        <w:spacing w:before="120"/>
        <w:textAlignment w:val="baseline"/>
        <w:rPr>
          <w:rFonts w:cs="Calibri Light"/>
        </w:rPr>
      </w:pPr>
      <w:r w:rsidRPr="00F91BDD">
        <w:rPr>
          <w:rFonts w:eastAsia="Calibri"/>
          <w:noProof/>
        </w:rPr>
        <w:drawing>
          <wp:inline distT="0" distB="0" distL="0" distR="0" wp14:anchorId="614AA811" wp14:editId="081E707E">
            <wp:extent cx="6191250" cy="1743075"/>
            <wp:effectExtent l="0" t="0" r="19050" b="9525"/>
            <wp:docPr id="7"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DCD169B" w14:textId="77777777" w:rsidR="00795C3E" w:rsidRPr="00F91BDD" w:rsidRDefault="00795C3E" w:rsidP="00795C3E">
      <w:pPr>
        <w:spacing w:before="120"/>
        <w:textAlignment w:val="baseline"/>
        <w:rPr>
          <w:rFonts w:cs="Calibri Light"/>
        </w:rPr>
      </w:pPr>
    </w:p>
    <w:p w14:paraId="2FE8FD3F" w14:textId="77777777" w:rsidR="00795C3E" w:rsidRPr="00F91BDD" w:rsidRDefault="00795C3E" w:rsidP="00795C3E">
      <w:pPr>
        <w:spacing w:before="120"/>
        <w:textAlignment w:val="baseline"/>
        <w:rPr>
          <w:rFonts w:cs="Calibri Light"/>
        </w:rPr>
      </w:pPr>
      <w:r w:rsidRPr="00F91BDD">
        <w:rPr>
          <w:rFonts w:eastAsia="Calibri"/>
          <w:noProof/>
        </w:rPr>
        <w:lastRenderedPageBreak/>
        <w:drawing>
          <wp:inline distT="0" distB="0" distL="0" distR="0" wp14:anchorId="12CE3CDC" wp14:editId="0D018869">
            <wp:extent cx="6200775" cy="2867025"/>
            <wp:effectExtent l="0" t="0" r="28575" b="9525"/>
            <wp:docPr id="8"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8481D10" w14:textId="77777777" w:rsidR="00795C3E" w:rsidRPr="00F91BDD" w:rsidRDefault="00795C3E" w:rsidP="00795C3E">
      <w:pPr>
        <w:spacing w:before="120"/>
        <w:textAlignment w:val="baseline"/>
        <w:rPr>
          <w:rFonts w:cs="Calibri Light"/>
          <w:b/>
          <w:bCs/>
        </w:rPr>
      </w:pPr>
      <w:r w:rsidRPr="00F91BDD">
        <w:rPr>
          <w:rFonts w:cs="Calibri Light"/>
          <w:b/>
          <w:bCs/>
        </w:rPr>
        <w:t>J’attire votre attention sur les éléments suivants :</w:t>
      </w:r>
    </w:p>
    <w:p w14:paraId="218FAF5E" w14:textId="77777777" w:rsidR="00795C3E" w:rsidRPr="00F91BDD" w:rsidRDefault="00795C3E">
      <w:pPr>
        <w:numPr>
          <w:ilvl w:val="0"/>
          <w:numId w:val="26"/>
        </w:numPr>
        <w:spacing w:before="120" w:after="120" w:line="240" w:lineRule="auto"/>
        <w:textAlignment w:val="baseline"/>
        <w:rPr>
          <w:rFonts w:cs="Calibri Light"/>
        </w:rPr>
      </w:pPr>
      <w:bookmarkStart w:id="1363" w:name="_Hlk112834725"/>
      <w:r w:rsidRPr="00F91BDD">
        <w:rPr>
          <w:rFonts w:cs="Calibri Light"/>
        </w:rPr>
        <w:t>Le taux de couverture du coût-vérité doit faire l'objet d'un point séparé au Conseil communal et être voté par le Conseil communal avant le règlement-taxe</w:t>
      </w:r>
      <w:bookmarkEnd w:id="1363"/>
      <w:r w:rsidRPr="00F91BDD">
        <w:rPr>
          <w:rFonts w:cs="Calibri Light"/>
        </w:rPr>
        <w:t> ;</w:t>
      </w:r>
    </w:p>
    <w:p w14:paraId="20475BFD" w14:textId="77777777" w:rsidR="00795C3E" w:rsidRPr="00F91BDD" w:rsidRDefault="00795C3E">
      <w:pPr>
        <w:numPr>
          <w:ilvl w:val="0"/>
          <w:numId w:val="26"/>
        </w:numPr>
        <w:spacing w:before="120" w:after="120" w:line="240" w:lineRule="auto"/>
        <w:textAlignment w:val="baseline"/>
        <w:rPr>
          <w:rFonts w:cs="Calibri Light"/>
        </w:rPr>
      </w:pPr>
      <w:r w:rsidRPr="00F91BDD">
        <w:rPr>
          <w:rFonts w:cs="Calibri Light"/>
        </w:rPr>
        <w:t>La date du Conseil communal au cours duquel le taux de couverture a été arrêté qui doit apparaître sur l'attestation de couverture du coût-vérité ;</w:t>
      </w:r>
    </w:p>
    <w:p w14:paraId="6CA0C8E5" w14:textId="77777777" w:rsidR="00795C3E" w:rsidRPr="00F91BDD" w:rsidRDefault="00795C3E">
      <w:pPr>
        <w:numPr>
          <w:ilvl w:val="0"/>
          <w:numId w:val="26"/>
        </w:numPr>
        <w:spacing w:before="120" w:after="120" w:line="240" w:lineRule="auto"/>
        <w:textAlignment w:val="baseline"/>
        <w:rPr>
          <w:rFonts w:cs="Calibri Light"/>
        </w:rPr>
      </w:pPr>
      <w:r w:rsidRPr="00F91BDD">
        <w:rPr>
          <w:rFonts w:cs="Calibri Light"/>
        </w:rPr>
        <w:t>L'attestation de couverture du coût-vérité constitue une pièce justificative obligatoire du règlement-taxe. Elle doit être établie en bonne et due forme et faire partie des documents qui constituent la farde des conseillers, laquelle doit être mise à disposition des conseillers 7 jours francs avant la date du conseil communal (art L 1122-13 du CDLD).</w:t>
      </w:r>
    </w:p>
    <w:p w14:paraId="6F47E26D" w14:textId="77777777" w:rsidR="00795C3E" w:rsidRPr="00F91BDD" w:rsidRDefault="00795C3E">
      <w:pPr>
        <w:numPr>
          <w:ilvl w:val="0"/>
          <w:numId w:val="26"/>
        </w:numPr>
        <w:spacing w:before="120" w:after="120" w:line="240" w:lineRule="auto"/>
        <w:textAlignment w:val="baseline"/>
        <w:rPr>
          <w:rFonts w:cs="Calibri Light"/>
        </w:rPr>
      </w:pPr>
      <w:r w:rsidRPr="00F91BDD">
        <w:rPr>
          <w:rFonts w:cs="Calibri Light"/>
        </w:rPr>
        <w:t>La date du conseil communal à laquelle le taux de couverture a été adopté et le taux de couverture du coût-vérité doivent apparaître dans le préambule du règlement-taxe sue les déchets ménagers.</w:t>
      </w:r>
    </w:p>
    <w:p w14:paraId="33C6611D" w14:textId="77777777" w:rsidR="00795C3E" w:rsidRPr="00F91BDD" w:rsidRDefault="00795C3E" w:rsidP="00795C3E">
      <w:pPr>
        <w:spacing w:before="120"/>
        <w:textAlignment w:val="baseline"/>
        <w:rPr>
          <w:rFonts w:cs="Calibri Light"/>
        </w:rPr>
      </w:pPr>
      <w:r w:rsidRPr="00F91BDD">
        <w:rPr>
          <w:rFonts w:cs="Calibri Light"/>
        </w:rPr>
        <w:t xml:space="preserve">Les services de tutelle reçoivent directement et automatiquement cette pièce du « Département du sol et des déchets du SPW Agriculture, Ressources naturelles et Environnement ». </w:t>
      </w:r>
    </w:p>
    <w:p w14:paraId="5C887691" w14:textId="77777777" w:rsidR="00795C3E" w:rsidRPr="00F91BDD" w:rsidRDefault="00795C3E" w:rsidP="00795C3E">
      <w:pPr>
        <w:spacing w:before="120"/>
        <w:textAlignment w:val="baseline"/>
        <w:rPr>
          <w:rFonts w:cs="Calibri Light"/>
        </w:rPr>
      </w:pPr>
      <w:r w:rsidRPr="00F91BDD">
        <w:rPr>
          <w:rFonts w:cs="Calibri Light"/>
        </w:rPr>
        <w:t>Il en résulte que le délai de tutelle ne pourra débuter que si et seulement si la commune a bien rentré son formulaire « coût-vérité » au « Département du sol et des déchets du SPW Agriculture, Ressources naturelles et Environnement ». Autrement dit, si cette attestation n'est pas disponible au « Département du sol et des déchets du SPW Agriculture, Ressources naturelles et Environnement », le délai de tutelle ne commencera donc pas à courir.</w:t>
      </w:r>
    </w:p>
    <w:p w14:paraId="7A397B21" w14:textId="77777777" w:rsidR="00795C3E" w:rsidRPr="00F91BDD" w:rsidRDefault="00795C3E" w:rsidP="00795C3E">
      <w:pPr>
        <w:spacing w:before="120"/>
        <w:textAlignment w:val="baseline"/>
        <w:rPr>
          <w:rFonts w:cs="Calibri Light"/>
        </w:rPr>
      </w:pPr>
      <w:r w:rsidRPr="00F91BDD">
        <w:rPr>
          <w:rFonts w:cs="Calibri Light"/>
        </w:rPr>
        <w:t>Enfin, l’arrêté du Gouvernement wallon « coût-vérité » réglemente le mode de calcul de la taxe « déchets » des ménages : celle-ci ne peut donc plus couvrir que la prévention et la gestion des déchets des ménages.</w:t>
      </w:r>
    </w:p>
    <w:p w14:paraId="0A3594C2" w14:textId="77777777" w:rsidR="00795C3E" w:rsidRPr="00F91BDD" w:rsidRDefault="00795C3E" w:rsidP="00795C3E">
      <w:pPr>
        <w:spacing w:before="120"/>
        <w:textAlignment w:val="baseline"/>
        <w:rPr>
          <w:rFonts w:cs="Calibri Light"/>
        </w:rPr>
      </w:pPr>
      <w:r w:rsidRPr="00F91BDD">
        <w:rPr>
          <w:rFonts w:cs="Calibri Light"/>
        </w:rPr>
        <w:lastRenderedPageBreak/>
        <w:t>Afin de tenir compte de cette exigence, l'article 040/363-03 est uniquement réservé à la taxe afférente aux déchets des ménages.</w:t>
      </w:r>
    </w:p>
    <w:p w14:paraId="44987C04" w14:textId="77777777" w:rsidR="00795C3E" w:rsidRPr="00F91BDD" w:rsidRDefault="00795C3E" w:rsidP="00795C3E">
      <w:pPr>
        <w:spacing w:before="120"/>
        <w:textAlignment w:val="baseline"/>
        <w:rPr>
          <w:rFonts w:cs="Calibri Light"/>
        </w:rPr>
      </w:pPr>
      <w:r w:rsidRPr="00F91BDD">
        <w:rPr>
          <w:rFonts w:cs="Calibri Light"/>
        </w:rPr>
        <w:t>Les autres aspects englobés dans cette taxe peuvent continuer à subsister si la commune le souhaite par ventilation comptable de l'article 040/363-03 à l'article 040xx/363-48 ou par l'adoption d'un règlement-taxe pour prestations diverses d'hygiène publique (040/363-48).</w:t>
      </w:r>
    </w:p>
    <w:p w14:paraId="28DA7F5E" w14:textId="77777777" w:rsidR="00795C3E" w:rsidRPr="00F91BDD" w:rsidRDefault="00795C3E" w:rsidP="00795C3E">
      <w:pPr>
        <w:spacing w:before="120"/>
        <w:textAlignment w:val="baseline"/>
        <w:rPr>
          <w:rFonts w:cs="Calibri Light"/>
        </w:rPr>
      </w:pPr>
      <w:r w:rsidRPr="00F91BDD">
        <w:rPr>
          <w:rFonts w:cs="Calibri Light"/>
        </w:rPr>
        <w:t xml:space="preserve">Dans l'hypothèse où un règlement-taxe pour prestations diverses d'hygiène publique serait adopté, j'invite la commune à détailler dans son règlement ou dans un document y annexé les éléments qu'elle a pris en considération pour fixer le taux de la taxe. </w:t>
      </w:r>
    </w:p>
    <w:p w14:paraId="615511C9" w14:textId="77777777" w:rsidR="00795C3E" w:rsidRPr="00F91BDD" w:rsidRDefault="00795C3E" w:rsidP="00795C3E">
      <w:pPr>
        <w:spacing w:before="120"/>
        <w:textAlignment w:val="baseline"/>
        <w:rPr>
          <w:rFonts w:cs="Calibri Light"/>
        </w:rPr>
      </w:pPr>
      <w:r w:rsidRPr="00F91BDD">
        <w:rPr>
          <w:rFonts w:cs="Calibri Light"/>
        </w:rPr>
        <w:t xml:space="preserve">Par ailleurs, une première évaluation du nouveau système mis en place par l'AGW « coût-vérité » a permis de dégager certains enseignements, dont notamment : </w:t>
      </w:r>
    </w:p>
    <w:p w14:paraId="179847A7" w14:textId="77777777" w:rsidR="00795C3E" w:rsidRPr="00F91BDD" w:rsidRDefault="00795C3E">
      <w:pPr>
        <w:numPr>
          <w:ilvl w:val="0"/>
          <w:numId w:val="27"/>
        </w:numPr>
        <w:spacing w:before="120" w:after="120" w:line="240" w:lineRule="auto"/>
        <w:textAlignment w:val="baseline"/>
        <w:rPr>
          <w:rFonts w:cs="Calibri Light"/>
        </w:rPr>
      </w:pPr>
      <w:r w:rsidRPr="00F91BDD">
        <w:rPr>
          <w:rFonts w:cs="Calibri Light"/>
        </w:rPr>
        <w:t>Le règlement de police relatif aux déchets doit constituer le tronc commun à la réglementation communale. L'élaboration d'un tel règlement n'étant pas aisée, il vous est loisible de vous référer au modèle de règlement de police proposé par le « Département du sol et des déchets du SPW Agriculture, Ressources naturelles et Environnement »</w:t>
      </w:r>
      <w:r w:rsidRPr="00F91BDD">
        <w:rPr>
          <w:rStyle w:val="Appelnotedebasdep"/>
          <w:rFonts w:cs="Calibri Light"/>
        </w:rPr>
        <w:footnoteReference w:id="90"/>
      </w:r>
      <w:r w:rsidRPr="00F91BDD">
        <w:rPr>
          <w:rFonts w:cs="Calibri Light"/>
        </w:rPr>
        <w:t xml:space="preserve"> ;</w:t>
      </w:r>
    </w:p>
    <w:p w14:paraId="4801A045" w14:textId="77777777" w:rsidR="00795C3E" w:rsidRPr="00F91BDD" w:rsidRDefault="00795C3E">
      <w:pPr>
        <w:numPr>
          <w:ilvl w:val="0"/>
          <w:numId w:val="27"/>
        </w:numPr>
        <w:spacing w:before="120" w:after="120" w:line="240" w:lineRule="auto"/>
        <w:textAlignment w:val="baseline"/>
        <w:rPr>
          <w:rFonts w:cs="Calibri Light"/>
        </w:rPr>
      </w:pPr>
      <w:r w:rsidRPr="00F91BDD">
        <w:rPr>
          <w:rFonts w:cs="Calibri Light"/>
        </w:rPr>
        <w:t xml:space="preserve">Le règlement taxe est le complément indispensable au règlement de police. Il doit faire référence au système de collecte établi pour la commune concernée ; en particulier, pour la collecte périodique, la référence doit être faite aux récipients de collecte choisis par la commune. </w:t>
      </w:r>
    </w:p>
    <w:p w14:paraId="016E3F4D" w14:textId="77777777" w:rsidR="00795C3E" w:rsidRPr="00F91BDD" w:rsidRDefault="00795C3E" w:rsidP="00795C3E">
      <w:pPr>
        <w:spacing w:before="120"/>
        <w:textAlignment w:val="baseline"/>
        <w:rPr>
          <w:rFonts w:cs="Calibri Light"/>
        </w:rPr>
      </w:pPr>
      <w:r w:rsidRPr="00F91BDD">
        <w:rPr>
          <w:rFonts w:cs="Calibri Light"/>
        </w:rPr>
        <w:t>Afin d'éviter des conséquences financières néfastes aux redevables qui quittent une commune dans le courant de l'exercice d'imposition, il est souhaitable de prendre uniquement en considération la date du 1</w:t>
      </w:r>
      <w:r w:rsidRPr="00F91BDD">
        <w:rPr>
          <w:rFonts w:cs="Calibri Light"/>
          <w:vertAlign w:val="superscript"/>
        </w:rPr>
        <w:t>er</w:t>
      </w:r>
      <w:r w:rsidRPr="00F91BDD">
        <w:rPr>
          <w:rFonts w:cs="Calibri Light"/>
        </w:rPr>
        <w:t xml:space="preserve"> janvier de l'exercice pour le recensement des situations imposables.</w:t>
      </w:r>
    </w:p>
    <w:p w14:paraId="7D7F2457" w14:textId="77777777" w:rsidR="00795C3E" w:rsidRPr="00F91BDD" w:rsidRDefault="00795C3E" w:rsidP="00795C3E">
      <w:pPr>
        <w:spacing w:before="120" w:after="240"/>
        <w:textAlignment w:val="baseline"/>
        <w:rPr>
          <w:rFonts w:cs="Calibri Light"/>
          <w:b/>
          <w:bCs/>
        </w:rPr>
      </w:pPr>
      <w:r w:rsidRPr="00F91BDD">
        <w:rPr>
          <w:rFonts w:cs="Calibri Light"/>
        </w:rPr>
        <w:t>Le Code règlementaire wallon de l’action sociale et la santé, en ses annexes 120, 121 et 122, prévoit que le prix mensuel de l’hébergement à charge des résidents d’une résidence-services, d’une maison de repos/home, d’un centre d’accueil de jour, de soirée et/ou de nuit, d’un centre de soin de jour ou d’un asile comprend l’évacuation de leurs déchets ainsi que les impôts relatifs à l’établissement. De ce fait, il est interdit de lever la taxe dont objet à l’égard des personnes séjournant dans ce type d’établissement. Seule une taxe sur l'établissement est admise.</w:t>
      </w:r>
      <w:r w:rsidRPr="00F91BDD">
        <w:t xml:space="preserve"> </w:t>
      </w:r>
      <w:r w:rsidRPr="00F91BDD">
        <w:rPr>
          <w:rFonts w:cs="Calibri Light"/>
        </w:rPr>
        <w:t>Dans ce cadre, il conviendrait, à l’avenir, de prévoir expressément cette exonération au sein du règlement.</w:t>
      </w:r>
    </w:p>
    <w:p w14:paraId="11A226BB" w14:textId="77777777" w:rsidR="00795C3E" w:rsidRPr="00F91BDD" w:rsidRDefault="00795C3E" w:rsidP="00795C3E">
      <w:pPr>
        <w:spacing w:before="120"/>
        <w:textAlignment w:val="baseline"/>
        <w:rPr>
          <w:rFonts w:cs="Calibri Light"/>
        </w:rPr>
      </w:pPr>
      <w:r w:rsidRPr="00F91BDD">
        <w:rPr>
          <w:rFonts w:cs="Calibri Light"/>
        </w:rPr>
        <w:t>Enfin, je souhaitais me faire le relai du Centre interfédéral pour l’égalité des chances et la lutte contre le racisme et les discriminations (UNIA) qui attire l’attention concernant la problématique du surcoût causés par les déchets générés par les personnes incontinentes. UNIA souhaiterait ainsi que les communes prévoient des mesures permettant de réduire l’éventuel surcoût engendré au niveau de cette taxe.</w:t>
      </w:r>
    </w:p>
    <w:p w14:paraId="14B47C06" w14:textId="77777777" w:rsidR="00795C3E" w:rsidRPr="00F91BDD" w:rsidRDefault="00795C3E" w:rsidP="00795C3E">
      <w:pPr>
        <w:textAlignment w:val="baseline"/>
        <w:rPr>
          <w:rFonts w:cs="Calibri Light"/>
        </w:rPr>
      </w:pPr>
    </w:p>
    <w:p w14:paraId="6B06AC79" w14:textId="7ADDA0B8" w:rsidR="00795C3E" w:rsidRPr="00BD4241" w:rsidRDefault="00795C3E" w:rsidP="35BD9115">
      <w:pPr>
        <w:pStyle w:val="Titre3"/>
        <w:rPr>
          <w:caps/>
        </w:rPr>
      </w:pPr>
      <w:bookmarkStart w:id="1364" w:name="_Toc516739760"/>
      <w:bookmarkStart w:id="1365" w:name="_Toc516751672"/>
      <w:bookmarkStart w:id="1366" w:name="_Toc516825760"/>
      <w:bookmarkStart w:id="1367" w:name="_Toc516826318"/>
      <w:bookmarkStart w:id="1368" w:name="_Toc516837638"/>
      <w:bookmarkStart w:id="1369" w:name="_Toc516838197"/>
      <w:bookmarkStart w:id="1370" w:name="_Toc516838756"/>
      <w:bookmarkStart w:id="1371" w:name="_Toc516839316"/>
      <w:bookmarkStart w:id="1372" w:name="_Toc517173412"/>
      <w:bookmarkStart w:id="1373" w:name="_Toc517175086"/>
      <w:bookmarkStart w:id="1374" w:name="_Toc517175673"/>
      <w:bookmarkStart w:id="1375" w:name="_Toc517176261"/>
      <w:bookmarkStart w:id="1376" w:name="_Toc517337586"/>
      <w:bookmarkStart w:id="1377" w:name="_Toc517360382"/>
      <w:bookmarkStart w:id="1378" w:name="_Toc516739761"/>
      <w:bookmarkStart w:id="1379" w:name="_Toc516751673"/>
      <w:bookmarkStart w:id="1380" w:name="_Toc516825761"/>
      <w:bookmarkStart w:id="1381" w:name="_Toc516826319"/>
      <w:bookmarkStart w:id="1382" w:name="_Toc516837639"/>
      <w:bookmarkStart w:id="1383" w:name="_Toc516838198"/>
      <w:bookmarkStart w:id="1384" w:name="_Toc516838757"/>
      <w:bookmarkStart w:id="1385" w:name="_Toc516839317"/>
      <w:bookmarkStart w:id="1386" w:name="_Toc517173413"/>
      <w:bookmarkStart w:id="1387" w:name="_Toc517175087"/>
      <w:bookmarkStart w:id="1388" w:name="_Toc517175674"/>
      <w:bookmarkStart w:id="1389" w:name="_Toc517176262"/>
      <w:bookmarkStart w:id="1390" w:name="_Toc517337587"/>
      <w:bookmarkStart w:id="1391" w:name="_Toc517360383"/>
      <w:bookmarkStart w:id="1392" w:name="_Toc516739762"/>
      <w:bookmarkStart w:id="1393" w:name="_Toc516751674"/>
      <w:bookmarkStart w:id="1394" w:name="_Toc516825762"/>
      <w:bookmarkStart w:id="1395" w:name="_Toc516826320"/>
      <w:bookmarkStart w:id="1396" w:name="_Toc516837640"/>
      <w:bookmarkStart w:id="1397" w:name="_Toc516838199"/>
      <w:bookmarkStart w:id="1398" w:name="_Toc516838758"/>
      <w:bookmarkStart w:id="1399" w:name="_Toc516839318"/>
      <w:bookmarkStart w:id="1400" w:name="_Toc517173414"/>
      <w:bookmarkStart w:id="1401" w:name="_Toc517175088"/>
      <w:bookmarkStart w:id="1402" w:name="_Toc517175675"/>
      <w:bookmarkStart w:id="1403" w:name="_Toc517176263"/>
      <w:bookmarkStart w:id="1404" w:name="_Toc517337588"/>
      <w:bookmarkStart w:id="1405" w:name="_Toc517360384"/>
      <w:bookmarkStart w:id="1406" w:name="_Toc516739763"/>
      <w:bookmarkStart w:id="1407" w:name="_Toc516751675"/>
      <w:bookmarkStart w:id="1408" w:name="_Toc516825763"/>
      <w:bookmarkStart w:id="1409" w:name="_Toc516826321"/>
      <w:bookmarkStart w:id="1410" w:name="_Toc516837641"/>
      <w:bookmarkStart w:id="1411" w:name="_Toc516838200"/>
      <w:bookmarkStart w:id="1412" w:name="_Toc516838759"/>
      <w:bookmarkStart w:id="1413" w:name="_Toc516839319"/>
      <w:bookmarkStart w:id="1414" w:name="_Toc517173415"/>
      <w:bookmarkStart w:id="1415" w:name="_Toc517175089"/>
      <w:bookmarkStart w:id="1416" w:name="_Toc517175676"/>
      <w:bookmarkStart w:id="1417" w:name="_Toc517176264"/>
      <w:bookmarkStart w:id="1418" w:name="_Toc517337589"/>
      <w:bookmarkStart w:id="1419" w:name="_Toc517360385"/>
      <w:bookmarkStart w:id="1420" w:name="_Toc516739764"/>
      <w:bookmarkStart w:id="1421" w:name="_Toc516751676"/>
      <w:bookmarkStart w:id="1422" w:name="_Toc516825764"/>
      <w:bookmarkStart w:id="1423" w:name="_Toc516826322"/>
      <w:bookmarkStart w:id="1424" w:name="_Toc516837642"/>
      <w:bookmarkStart w:id="1425" w:name="_Toc516838201"/>
      <w:bookmarkStart w:id="1426" w:name="_Toc516838760"/>
      <w:bookmarkStart w:id="1427" w:name="_Toc516839320"/>
      <w:bookmarkStart w:id="1428" w:name="_Toc517173416"/>
      <w:bookmarkStart w:id="1429" w:name="_Toc517175090"/>
      <w:bookmarkStart w:id="1430" w:name="_Toc517175677"/>
      <w:bookmarkStart w:id="1431" w:name="_Toc517176265"/>
      <w:bookmarkStart w:id="1432" w:name="_Toc517337590"/>
      <w:bookmarkStart w:id="1433" w:name="_Toc517360386"/>
      <w:bookmarkStart w:id="1434" w:name="_Toc516739765"/>
      <w:bookmarkStart w:id="1435" w:name="_Toc516751677"/>
      <w:bookmarkStart w:id="1436" w:name="_Toc516825765"/>
      <w:bookmarkStart w:id="1437" w:name="_Toc516826323"/>
      <w:bookmarkStart w:id="1438" w:name="_Toc516837643"/>
      <w:bookmarkStart w:id="1439" w:name="_Toc516838202"/>
      <w:bookmarkStart w:id="1440" w:name="_Toc516838761"/>
      <w:bookmarkStart w:id="1441" w:name="_Toc516839321"/>
      <w:bookmarkStart w:id="1442" w:name="_Toc517173417"/>
      <w:bookmarkStart w:id="1443" w:name="_Toc517175091"/>
      <w:bookmarkStart w:id="1444" w:name="_Toc517175678"/>
      <w:bookmarkStart w:id="1445" w:name="_Toc517176266"/>
      <w:bookmarkStart w:id="1446" w:name="_Toc517337591"/>
      <w:bookmarkStart w:id="1447" w:name="_Toc517360387"/>
      <w:bookmarkStart w:id="1448" w:name="_Toc516739766"/>
      <w:bookmarkStart w:id="1449" w:name="_Toc516751678"/>
      <w:bookmarkStart w:id="1450" w:name="_Toc516825766"/>
      <w:bookmarkStart w:id="1451" w:name="_Toc516826324"/>
      <w:bookmarkStart w:id="1452" w:name="_Toc516837644"/>
      <w:bookmarkStart w:id="1453" w:name="_Toc516838203"/>
      <w:bookmarkStart w:id="1454" w:name="_Toc516838762"/>
      <w:bookmarkStart w:id="1455" w:name="_Toc516839322"/>
      <w:bookmarkStart w:id="1456" w:name="_Toc517173418"/>
      <w:bookmarkStart w:id="1457" w:name="_Toc517175092"/>
      <w:bookmarkStart w:id="1458" w:name="_Toc517175679"/>
      <w:bookmarkStart w:id="1459" w:name="_Toc517176267"/>
      <w:bookmarkStart w:id="1460" w:name="_Toc517337592"/>
      <w:bookmarkStart w:id="1461" w:name="_Toc517360388"/>
      <w:bookmarkStart w:id="1462" w:name="_Toc516739767"/>
      <w:bookmarkStart w:id="1463" w:name="_Toc516751679"/>
      <w:bookmarkStart w:id="1464" w:name="_Toc516825767"/>
      <w:bookmarkStart w:id="1465" w:name="_Toc516826325"/>
      <w:bookmarkStart w:id="1466" w:name="_Toc516837645"/>
      <w:bookmarkStart w:id="1467" w:name="_Toc516838204"/>
      <w:bookmarkStart w:id="1468" w:name="_Toc516838763"/>
      <w:bookmarkStart w:id="1469" w:name="_Toc516839323"/>
      <w:bookmarkStart w:id="1470" w:name="_Toc517173419"/>
      <w:bookmarkStart w:id="1471" w:name="_Toc517175093"/>
      <w:bookmarkStart w:id="1472" w:name="_Toc517175680"/>
      <w:bookmarkStart w:id="1473" w:name="_Toc517176268"/>
      <w:bookmarkStart w:id="1474" w:name="_Toc517337593"/>
      <w:bookmarkStart w:id="1475" w:name="_Toc517360389"/>
      <w:bookmarkStart w:id="1476" w:name="_Toc516739768"/>
      <w:bookmarkStart w:id="1477" w:name="_Toc516751680"/>
      <w:bookmarkStart w:id="1478" w:name="_Toc516825768"/>
      <w:bookmarkStart w:id="1479" w:name="_Toc516826326"/>
      <w:bookmarkStart w:id="1480" w:name="_Toc516837646"/>
      <w:bookmarkStart w:id="1481" w:name="_Toc516838205"/>
      <w:bookmarkStart w:id="1482" w:name="_Toc516838764"/>
      <w:bookmarkStart w:id="1483" w:name="_Toc516839324"/>
      <w:bookmarkStart w:id="1484" w:name="_Toc517173420"/>
      <w:bookmarkStart w:id="1485" w:name="_Toc517175094"/>
      <w:bookmarkStart w:id="1486" w:name="_Toc517175681"/>
      <w:bookmarkStart w:id="1487" w:name="_Toc517176269"/>
      <w:bookmarkStart w:id="1488" w:name="_Toc517337594"/>
      <w:bookmarkStart w:id="1489" w:name="_Toc517360390"/>
      <w:bookmarkStart w:id="1490" w:name="_Toc516739769"/>
      <w:bookmarkStart w:id="1491" w:name="_Toc516751681"/>
      <w:bookmarkStart w:id="1492" w:name="_Toc516825769"/>
      <w:bookmarkStart w:id="1493" w:name="_Toc516826327"/>
      <w:bookmarkStart w:id="1494" w:name="_Toc516837647"/>
      <w:bookmarkStart w:id="1495" w:name="_Toc516838206"/>
      <w:bookmarkStart w:id="1496" w:name="_Toc516838765"/>
      <w:bookmarkStart w:id="1497" w:name="_Toc516839325"/>
      <w:bookmarkStart w:id="1498" w:name="_Toc517173421"/>
      <w:bookmarkStart w:id="1499" w:name="_Toc517175095"/>
      <w:bookmarkStart w:id="1500" w:name="_Toc517175682"/>
      <w:bookmarkStart w:id="1501" w:name="_Toc517176270"/>
      <w:bookmarkStart w:id="1502" w:name="_Toc517337595"/>
      <w:bookmarkStart w:id="1503" w:name="_Toc517360391"/>
      <w:bookmarkStart w:id="1504" w:name="_Toc516739770"/>
      <w:bookmarkStart w:id="1505" w:name="_Toc516751682"/>
      <w:bookmarkStart w:id="1506" w:name="_Toc516825770"/>
      <w:bookmarkStart w:id="1507" w:name="_Toc516826328"/>
      <w:bookmarkStart w:id="1508" w:name="_Toc516837648"/>
      <w:bookmarkStart w:id="1509" w:name="_Toc516838207"/>
      <w:bookmarkStart w:id="1510" w:name="_Toc516838766"/>
      <w:bookmarkStart w:id="1511" w:name="_Toc516839326"/>
      <w:bookmarkStart w:id="1512" w:name="_Toc517173422"/>
      <w:bookmarkStart w:id="1513" w:name="_Toc517175096"/>
      <w:bookmarkStart w:id="1514" w:name="_Toc517175683"/>
      <w:bookmarkStart w:id="1515" w:name="_Toc517176271"/>
      <w:bookmarkStart w:id="1516" w:name="_Toc517337596"/>
      <w:bookmarkStart w:id="1517" w:name="_Toc517360392"/>
      <w:bookmarkStart w:id="1518" w:name="_Toc516739771"/>
      <w:bookmarkStart w:id="1519" w:name="_Toc516751683"/>
      <w:bookmarkStart w:id="1520" w:name="_Toc516825771"/>
      <w:bookmarkStart w:id="1521" w:name="_Toc516826329"/>
      <w:bookmarkStart w:id="1522" w:name="_Toc516837649"/>
      <w:bookmarkStart w:id="1523" w:name="_Toc516838208"/>
      <w:bookmarkStart w:id="1524" w:name="_Toc516838767"/>
      <w:bookmarkStart w:id="1525" w:name="_Toc516839327"/>
      <w:bookmarkStart w:id="1526" w:name="_Toc517173423"/>
      <w:bookmarkStart w:id="1527" w:name="_Toc517175097"/>
      <w:bookmarkStart w:id="1528" w:name="_Toc517175684"/>
      <w:bookmarkStart w:id="1529" w:name="_Toc517176272"/>
      <w:bookmarkStart w:id="1530" w:name="_Toc517337597"/>
      <w:bookmarkStart w:id="1531" w:name="_Toc517360393"/>
      <w:bookmarkStart w:id="1532" w:name="_Toc516739772"/>
      <w:bookmarkStart w:id="1533" w:name="_Toc516751684"/>
      <w:bookmarkStart w:id="1534" w:name="_Toc516825772"/>
      <w:bookmarkStart w:id="1535" w:name="_Toc516826330"/>
      <w:bookmarkStart w:id="1536" w:name="_Toc516837650"/>
      <w:bookmarkStart w:id="1537" w:name="_Toc516838209"/>
      <w:bookmarkStart w:id="1538" w:name="_Toc516838768"/>
      <w:bookmarkStart w:id="1539" w:name="_Toc516839328"/>
      <w:bookmarkStart w:id="1540" w:name="_Toc517173424"/>
      <w:bookmarkStart w:id="1541" w:name="_Toc517175098"/>
      <w:bookmarkStart w:id="1542" w:name="_Toc517175685"/>
      <w:bookmarkStart w:id="1543" w:name="_Toc517176273"/>
      <w:bookmarkStart w:id="1544" w:name="_Toc517337598"/>
      <w:bookmarkStart w:id="1545" w:name="_Toc517360394"/>
      <w:bookmarkStart w:id="1546" w:name="_Toc516739773"/>
      <w:bookmarkStart w:id="1547" w:name="_Toc516751685"/>
      <w:bookmarkStart w:id="1548" w:name="_Toc516825773"/>
      <w:bookmarkStart w:id="1549" w:name="_Toc516826331"/>
      <w:bookmarkStart w:id="1550" w:name="_Toc516837651"/>
      <w:bookmarkStart w:id="1551" w:name="_Toc516838210"/>
      <w:bookmarkStart w:id="1552" w:name="_Toc516838769"/>
      <w:bookmarkStart w:id="1553" w:name="_Toc516839329"/>
      <w:bookmarkStart w:id="1554" w:name="_Toc517173425"/>
      <w:bookmarkStart w:id="1555" w:name="_Toc517175099"/>
      <w:bookmarkStart w:id="1556" w:name="_Toc517175686"/>
      <w:bookmarkStart w:id="1557" w:name="_Toc517176274"/>
      <w:bookmarkStart w:id="1558" w:name="_Toc517337599"/>
      <w:bookmarkStart w:id="1559" w:name="_Toc517360395"/>
      <w:bookmarkStart w:id="1560" w:name="_Toc516739774"/>
      <w:bookmarkStart w:id="1561" w:name="_Toc516751686"/>
      <w:bookmarkStart w:id="1562" w:name="_Toc516825774"/>
      <w:bookmarkStart w:id="1563" w:name="_Toc516826332"/>
      <w:bookmarkStart w:id="1564" w:name="_Toc516837652"/>
      <w:bookmarkStart w:id="1565" w:name="_Toc516838211"/>
      <w:bookmarkStart w:id="1566" w:name="_Toc516838770"/>
      <w:bookmarkStart w:id="1567" w:name="_Toc516839330"/>
      <w:bookmarkStart w:id="1568" w:name="_Toc517173426"/>
      <w:bookmarkStart w:id="1569" w:name="_Toc517175100"/>
      <w:bookmarkStart w:id="1570" w:name="_Toc517175687"/>
      <w:bookmarkStart w:id="1571" w:name="_Toc517176275"/>
      <w:bookmarkStart w:id="1572" w:name="_Toc517337600"/>
      <w:bookmarkStart w:id="1573" w:name="_Toc517360396"/>
      <w:bookmarkStart w:id="1574" w:name="_Toc516739775"/>
      <w:bookmarkStart w:id="1575" w:name="_Toc516751687"/>
      <w:bookmarkStart w:id="1576" w:name="_Toc516825775"/>
      <w:bookmarkStart w:id="1577" w:name="_Toc516826333"/>
      <w:bookmarkStart w:id="1578" w:name="_Toc516837653"/>
      <w:bookmarkStart w:id="1579" w:name="_Toc516838212"/>
      <w:bookmarkStart w:id="1580" w:name="_Toc516838771"/>
      <w:bookmarkStart w:id="1581" w:name="_Toc516839331"/>
      <w:bookmarkStart w:id="1582" w:name="_Toc517173427"/>
      <w:bookmarkStart w:id="1583" w:name="_Toc517175101"/>
      <w:bookmarkStart w:id="1584" w:name="_Toc517175688"/>
      <w:bookmarkStart w:id="1585" w:name="_Toc517176276"/>
      <w:bookmarkStart w:id="1586" w:name="_Toc517337601"/>
      <w:bookmarkStart w:id="1587" w:name="_Toc517360397"/>
      <w:bookmarkStart w:id="1588" w:name="_Toc516739776"/>
      <w:bookmarkStart w:id="1589" w:name="_Toc516751688"/>
      <w:bookmarkStart w:id="1590" w:name="_Toc516825776"/>
      <w:bookmarkStart w:id="1591" w:name="_Toc516826334"/>
      <w:bookmarkStart w:id="1592" w:name="_Toc516837654"/>
      <w:bookmarkStart w:id="1593" w:name="_Toc516838213"/>
      <w:bookmarkStart w:id="1594" w:name="_Toc516838772"/>
      <w:bookmarkStart w:id="1595" w:name="_Toc516839332"/>
      <w:bookmarkStart w:id="1596" w:name="_Toc517173428"/>
      <w:bookmarkStart w:id="1597" w:name="_Toc517175102"/>
      <w:bookmarkStart w:id="1598" w:name="_Toc517175689"/>
      <w:bookmarkStart w:id="1599" w:name="_Toc517176277"/>
      <w:bookmarkStart w:id="1600" w:name="_Toc517337602"/>
      <w:bookmarkStart w:id="1601" w:name="_Toc517360398"/>
      <w:bookmarkStart w:id="1602" w:name="_Toc516739777"/>
      <w:bookmarkStart w:id="1603" w:name="_Toc516751689"/>
      <w:bookmarkStart w:id="1604" w:name="_Toc516825777"/>
      <w:bookmarkStart w:id="1605" w:name="_Toc516826335"/>
      <w:bookmarkStart w:id="1606" w:name="_Toc516837655"/>
      <w:bookmarkStart w:id="1607" w:name="_Toc516838214"/>
      <w:bookmarkStart w:id="1608" w:name="_Toc516838773"/>
      <w:bookmarkStart w:id="1609" w:name="_Toc516839333"/>
      <w:bookmarkStart w:id="1610" w:name="_Toc517173429"/>
      <w:bookmarkStart w:id="1611" w:name="_Toc517175103"/>
      <w:bookmarkStart w:id="1612" w:name="_Toc517175690"/>
      <w:bookmarkStart w:id="1613" w:name="_Toc517176278"/>
      <w:bookmarkStart w:id="1614" w:name="_Toc517337603"/>
      <w:bookmarkStart w:id="1615" w:name="_Toc517360399"/>
      <w:bookmarkStart w:id="1616" w:name="_Toc516739778"/>
      <w:bookmarkStart w:id="1617" w:name="_Toc516751690"/>
      <w:bookmarkStart w:id="1618" w:name="_Toc516825778"/>
      <w:bookmarkStart w:id="1619" w:name="_Toc516826336"/>
      <w:bookmarkStart w:id="1620" w:name="_Toc516837656"/>
      <w:bookmarkStart w:id="1621" w:name="_Toc516838215"/>
      <w:bookmarkStart w:id="1622" w:name="_Toc516838774"/>
      <w:bookmarkStart w:id="1623" w:name="_Toc516839334"/>
      <w:bookmarkStart w:id="1624" w:name="_Toc517173430"/>
      <w:bookmarkStart w:id="1625" w:name="_Toc517175104"/>
      <w:bookmarkStart w:id="1626" w:name="_Toc517175691"/>
      <w:bookmarkStart w:id="1627" w:name="_Toc517176279"/>
      <w:bookmarkStart w:id="1628" w:name="_Toc517337604"/>
      <w:bookmarkStart w:id="1629" w:name="_Toc517360400"/>
      <w:bookmarkStart w:id="1630" w:name="_Toc516739779"/>
      <w:bookmarkStart w:id="1631" w:name="_Toc516751691"/>
      <w:bookmarkStart w:id="1632" w:name="_Toc516825779"/>
      <w:bookmarkStart w:id="1633" w:name="_Toc516826337"/>
      <w:bookmarkStart w:id="1634" w:name="_Toc516837657"/>
      <w:bookmarkStart w:id="1635" w:name="_Toc516838216"/>
      <w:bookmarkStart w:id="1636" w:name="_Toc516838775"/>
      <w:bookmarkStart w:id="1637" w:name="_Toc516839335"/>
      <w:bookmarkStart w:id="1638" w:name="_Toc517173431"/>
      <w:bookmarkStart w:id="1639" w:name="_Toc517175105"/>
      <w:bookmarkStart w:id="1640" w:name="_Toc517175692"/>
      <w:bookmarkStart w:id="1641" w:name="_Toc517176280"/>
      <w:bookmarkStart w:id="1642" w:name="_Toc517337605"/>
      <w:bookmarkStart w:id="1643" w:name="_Toc517360401"/>
      <w:bookmarkStart w:id="1644" w:name="_Toc516739780"/>
      <w:bookmarkStart w:id="1645" w:name="_Toc516751692"/>
      <w:bookmarkStart w:id="1646" w:name="_Toc516825780"/>
      <w:bookmarkStart w:id="1647" w:name="_Toc516826338"/>
      <w:bookmarkStart w:id="1648" w:name="_Toc516837658"/>
      <w:bookmarkStart w:id="1649" w:name="_Toc516838217"/>
      <w:bookmarkStart w:id="1650" w:name="_Toc516838776"/>
      <w:bookmarkStart w:id="1651" w:name="_Toc516839336"/>
      <w:bookmarkStart w:id="1652" w:name="_Toc517173432"/>
      <w:bookmarkStart w:id="1653" w:name="_Toc517175106"/>
      <w:bookmarkStart w:id="1654" w:name="_Toc517175693"/>
      <w:bookmarkStart w:id="1655" w:name="_Toc517176281"/>
      <w:bookmarkStart w:id="1656" w:name="_Toc517337606"/>
      <w:bookmarkStart w:id="1657" w:name="_Toc517360402"/>
      <w:bookmarkStart w:id="1658" w:name="_Toc516739781"/>
      <w:bookmarkStart w:id="1659" w:name="_Toc516751693"/>
      <w:bookmarkStart w:id="1660" w:name="_Toc516825781"/>
      <w:bookmarkStart w:id="1661" w:name="_Toc516826339"/>
      <w:bookmarkStart w:id="1662" w:name="_Toc516837659"/>
      <w:bookmarkStart w:id="1663" w:name="_Toc516838218"/>
      <w:bookmarkStart w:id="1664" w:name="_Toc516838777"/>
      <w:bookmarkStart w:id="1665" w:name="_Toc516839337"/>
      <w:bookmarkStart w:id="1666" w:name="_Toc517173433"/>
      <w:bookmarkStart w:id="1667" w:name="_Toc517175107"/>
      <w:bookmarkStart w:id="1668" w:name="_Toc517175694"/>
      <w:bookmarkStart w:id="1669" w:name="_Toc517176282"/>
      <w:bookmarkStart w:id="1670" w:name="_Toc517337607"/>
      <w:bookmarkStart w:id="1671" w:name="_Toc517360403"/>
      <w:bookmarkStart w:id="1672" w:name="_Toc516739782"/>
      <w:bookmarkStart w:id="1673" w:name="_Toc516751694"/>
      <w:bookmarkStart w:id="1674" w:name="_Toc516825782"/>
      <w:bookmarkStart w:id="1675" w:name="_Toc516826340"/>
      <w:bookmarkStart w:id="1676" w:name="_Toc516837660"/>
      <w:bookmarkStart w:id="1677" w:name="_Toc516838219"/>
      <w:bookmarkStart w:id="1678" w:name="_Toc516838778"/>
      <w:bookmarkStart w:id="1679" w:name="_Toc516839338"/>
      <w:bookmarkStart w:id="1680" w:name="_Toc517173434"/>
      <w:bookmarkStart w:id="1681" w:name="_Toc517175108"/>
      <w:bookmarkStart w:id="1682" w:name="_Toc517175695"/>
      <w:bookmarkStart w:id="1683" w:name="_Toc517176283"/>
      <w:bookmarkStart w:id="1684" w:name="_Toc517337608"/>
      <w:bookmarkStart w:id="1685" w:name="_Toc517360404"/>
      <w:bookmarkStart w:id="1686" w:name="_Toc516739783"/>
      <w:bookmarkStart w:id="1687" w:name="_Toc516751695"/>
      <w:bookmarkStart w:id="1688" w:name="_Toc516825783"/>
      <w:bookmarkStart w:id="1689" w:name="_Toc516826341"/>
      <w:bookmarkStart w:id="1690" w:name="_Toc516837661"/>
      <w:bookmarkStart w:id="1691" w:name="_Toc516838220"/>
      <w:bookmarkStart w:id="1692" w:name="_Toc516838779"/>
      <w:bookmarkStart w:id="1693" w:name="_Toc516839339"/>
      <w:bookmarkStart w:id="1694" w:name="_Toc517173435"/>
      <w:bookmarkStart w:id="1695" w:name="_Toc517175109"/>
      <w:bookmarkStart w:id="1696" w:name="_Toc517175696"/>
      <w:bookmarkStart w:id="1697" w:name="_Toc517176284"/>
      <w:bookmarkStart w:id="1698" w:name="_Toc517337609"/>
      <w:bookmarkStart w:id="1699" w:name="_Toc517360405"/>
      <w:bookmarkStart w:id="1700" w:name="_Toc516739784"/>
      <w:bookmarkStart w:id="1701" w:name="_Toc516751696"/>
      <w:bookmarkStart w:id="1702" w:name="_Toc516825784"/>
      <w:bookmarkStart w:id="1703" w:name="_Toc516826342"/>
      <w:bookmarkStart w:id="1704" w:name="_Toc516837662"/>
      <w:bookmarkStart w:id="1705" w:name="_Toc516838221"/>
      <w:bookmarkStart w:id="1706" w:name="_Toc516838780"/>
      <w:bookmarkStart w:id="1707" w:name="_Toc516839340"/>
      <w:bookmarkStart w:id="1708" w:name="_Toc517173436"/>
      <w:bookmarkStart w:id="1709" w:name="_Toc517175110"/>
      <w:bookmarkStart w:id="1710" w:name="_Toc517175697"/>
      <w:bookmarkStart w:id="1711" w:name="_Toc517176285"/>
      <w:bookmarkStart w:id="1712" w:name="_Toc517337610"/>
      <w:bookmarkStart w:id="1713" w:name="_Toc517360406"/>
      <w:bookmarkStart w:id="1714" w:name="_Toc512525486"/>
      <w:bookmarkStart w:id="1715" w:name="_Toc515896800"/>
      <w:bookmarkStart w:id="1716" w:name="_Toc143779174"/>
      <w:bookmarkStart w:id="1717" w:name="_Toc208420077"/>
      <w:bookmarkStart w:id="1718" w:name="_Toc225504313"/>
      <w:bookmarkStart w:id="1719" w:name="_Toc225772402"/>
      <w:bookmarkStart w:id="1720" w:name="_Toc233626271"/>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r w:rsidRPr="00BD4241">
        <w:t>040/363-04 : Vidange des fosses d'aisance</w:t>
      </w:r>
      <w:bookmarkEnd w:id="1714"/>
      <w:bookmarkEnd w:id="1715"/>
      <w:bookmarkEnd w:id="1716"/>
      <w:bookmarkEnd w:id="1717"/>
      <w:bookmarkEnd w:id="1718"/>
      <w:bookmarkEnd w:id="1719"/>
      <w:bookmarkEnd w:id="1720"/>
    </w:p>
    <w:p w14:paraId="7A1383EE" w14:textId="77777777" w:rsidR="00795C3E" w:rsidRPr="00E608F8" w:rsidRDefault="00795C3E" w:rsidP="00795C3E">
      <w:pPr>
        <w:spacing w:before="120" w:after="240"/>
        <w:textAlignment w:val="baseline"/>
        <w:rPr>
          <w:rFonts w:cs="Calibri Light"/>
          <w:spacing w:val="-1"/>
        </w:rPr>
      </w:pPr>
      <w:r w:rsidRPr="00F91BDD">
        <w:rPr>
          <w:rFonts w:cs="Calibri Light"/>
          <w:spacing w:val="-1"/>
        </w:rPr>
        <w:t>Dans un souci de rationalisation, il a été décidé de ne plus reprendre cette redevance dans la liste des taxes et redevances de la présente circulaire. Les communes qui disposaient de cette redevance sont invitées à la transformer en taxe sur l’entretien des égouts.</w:t>
      </w:r>
      <w:bookmarkStart w:id="1721" w:name="_Toc6997776"/>
      <w:bookmarkStart w:id="1722" w:name="_Toc7016552"/>
      <w:bookmarkStart w:id="1723" w:name="_Toc7020720"/>
      <w:bookmarkStart w:id="1724" w:name="_Toc7094792"/>
      <w:bookmarkStart w:id="1725" w:name="_Toc8121827"/>
      <w:bookmarkStart w:id="1726" w:name="_Toc8129768"/>
      <w:bookmarkStart w:id="1727" w:name="_Toc6997777"/>
      <w:bookmarkStart w:id="1728" w:name="_Toc7016553"/>
      <w:bookmarkStart w:id="1729" w:name="_Toc7020721"/>
      <w:bookmarkStart w:id="1730" w:name="_Toc7094793"/>
      <w:bookmarkStart w:id="1731" w:name="_Toc8121828"/>
      <w:bookmarkStart w:id="1732" w:name="_Toc8129769"/>
      <w:bookmarkStart w:id="1733" w:name="_Toc143779175"/>
      <w:bookmarkStart w:id="1734" w:name="_Toc512525487"/>
      <w:bookmarkStart w:id="1735" w:name="_Toc515896801"/>
      <w:bookmarkEnd w:id="1721"/>
      <w:bookmarkEnd w:id="1722"/>
      <w:bookmarkEnd w:id="1723"/>
      <w:bookmarkEnd w:id="1724"/>
      <w:bookmarkEnd w:id="1725"/>
      <w:bookmarkEnd w:id="1726"/>
      <w:bookmarkEnd w:id="1727"/>
      <w:bookmarkEnd w:id="1728"/>
      <w:bookmarkEnd w:id="1729"/>
      <w:bookmarkEnd w:id="1730"/>
      <w:bookmarkEnd w:id="1731"/>
      <w:bookmarkEnd w:id="1732"/>
    </w:p>
    <w:p w14:paraId="59B949E7" w14:textId="0150931F" w:rsidR="00795C3E" w:rsidRPr="00C95CEA" w:rsidRDefault="00795C3E" w:rsidP="35BD9115">
      <w:pPr>
        <w:pStyle w:val="Titre3"/>
        <w:rPr>
          <w:caps/>
        </w:rPr>
      </w:pPr>
      <w:bookmarkStart w:id="1736" w:name="_Toc208420078"/>
      <w:bookmarkStart w:id="1737" w:name="_Toc225504314"/>
      <w:bookmarkStart w:id="1738" w:name="_Toc225772403"/>
      <w:bookmarkStart w:id="1739" w:name="_Toc233626272"/>
      <w:r w:rsidRPr="00BD4241">
        <w:t>040/363-05 : Enlèvement d'objets encombrants</w:t>
      </w:r>
      <w:bookmarkEnd w:id="1733"/>
      <w:bookmarkEnd w:id="1736"/>
      <w:bookmarkEnd w:id="1737"/>
      <w:bookmarkEnd w:id="1738"/>
      <w:bookmarkEnd w:id="1739"/>
      <w:r w:rsidRPr="00BD4241">
        <w:t xml:space="preserve"> </w:t>
      </w:r>
      <w:bookmarkEnd w:id="1734"/>
      <w:bookmarkEnd w:id="1735"/>
    </w:p>
    <w:p w14:paraId="34551A48" w14:textId="77777777" w:rsidR="00795C3E" w:rsidRPr="00F91BDD" w:rsidRDefault="00795C3E" w:rsidP="00795C3E">
      <w:r w:rsidRPr="00F91BDD">
        <w:t>Redevance</w:t>
      </w:r>
      <w:r>
        <w:t>.</w:t>
      </w:r>
    </w:p>
    <w:p w14:paraId="3FDDFD32" w14:textId="77777777" w:rsidR="00795C3E" w:rsidRPr="00F91BDD" w:rsidRDefault="00795C3E" w:rsidP="00795C3E">
      <w:pPr>
        <w:spacing w:before="120"/>
        <w:textAlignment w:val="baseline"/>
        <w:rPr>
          <w:rFonts w:cs="Calibri Light"/>
        </w:rPr>
      </w:pPr>
      <w:r w:rsidRPr="00F91BDD">
        <w:rPr>
          <w:rFonts w:cs="Calibri Light"/>
        </w:rPr>
        <w:t>L’article 3 § 1</w:t>
      </w:r>
      <w:r w:rsidRPr="00F91BDD">
        <w:rPr>
          <w:rFonts w:cs="Calibri Light"/>
          <w:vertAlign w:val="superscript"/>
        </w:rPr>
        <w:t>er</w:t>
      </w:r>
      <w:r w:rsidRPr="00F91BDD">
        <w:rPr>
          <w:rFonts w:cs="Calibri Light"/>
        </w:rPr>
        <w:t xml:space="preserve"> , 2 et 17, et § 2 de l'arrêté du Gouvernement wallon du 5 mars 2008 relatif à la gestion des déchets issus de l'activité usuelle des ménages et à la couverture des coûts y afférents prévoit que :</w:t>
      </w:r>
    </w:p>
    <w:p w14:paraId="4247341E" w14:textId="77777777" w:rsidR="00795C3E" w:rsidRPr="00F91BDD" w:rsidRDefault="00795C3E">
      <w:pPr>
        <w:numPr>
          <w:ilvl w:val="0"/>
          <w:numId w:val="28"/>
        </w:numPr>
        <w:spacing w:before="120" w:after="120" w:line="240" w:lineRule="auto"/>
        <w:textAlignment w:val="baseline"/>
        <w:rPr>
          <w:rFonts w:cs="Calibri Light"/>
        </w:rPr>
      </w:pPr>
      <w:r w:rsidRPr="00F91BDD">
        <w:rPr>
          <w:rFonts w:cs="Calibri Light"/>
        </w:rPr>
        <w:t>Le service minimum doit permettre aux usagers de se défaire des ordures ménagères brutes et de se défaire de manière sélective, après tri par ceux-ci, des fractions suivantes de leurs déchets : les encombrants ménagers et la fraction en plastique rigide des encombrants ;</w:t>
      </w:r>
    </w:p>
    <w:p w14:paraId="40A72B48" w14:textId="77777777" w:rsidR="00795C3E" w:rsidRPr="00F91BDD" w:rsidRDefault="00795C3E">
      <w:pPr>
        <w:numPr>
          <w:ilvl w:val="0"/>
          <w:numId w:val="28"/>
        </w:numPr>
        <w:spacing w:before="120" w:after="120" w:line="240" w:lineRule="auto"/>
        <w:textAlignment w:val="baseline"/>
        <w:rPr>
          <w:rFonts w:cs="Calibri Light"/>
        </w:rPr>
      </w:pPr>
      <w:r w:rsidRPr="00F91BDD">
        <w:rPr>
          <w:rFonts w:cs="Calibri Light"/>
        </w:rPr>
        <w:t>Le service minimum comporte notamment les services suivants : la collecte en porte à porte des ordures ménagères brutes et, le cas échéant, d'autres flux tels que les déchets organiques, les encombrants, les PMC, les papiers cartons.</w:t>
      </w:r>
    </w:p>
    <w:p w14:paraId="68342E76" w14:textId="77777777" w:rsidR="00795C3E" w:rsidRPr="00F91BDD" w:rsidRDefault="00795C3E" w:rsidP="00795C3E">
      <w:pPr>
        <w:spacing w:before="120"/>
        <w:textAlignment w:val="baseline"/>
        <w:rPr>
          <w:rFonts w:cs="Calibri Light"/>
        </w:rPr>
      </w:pPr>
      <w:r w:rsidRPr="00F91BDD">
        <w:rPr>
          <w:rFonts w:cs="Calibri Light"/>
        </w:rPr>
        <w:t>L'enlèvement</w:t>
      </w:r>
      <w:r w:rsidRPr="00F91BDD">
        <w:t xml:space="preserve"> </w:t>
      </w:r>
      <w:r w:rsidRPr="00F91BDD">
        <w:rPr>
          <w:rFonts w:cs="Calibri Light"/>
        </w:rPr>
        <w:t>d’objets encombrants relevant du service minimum peut intervenir dans le cadre du service minimum ou du service complémentaire de gestion des déchets en application de l'AGW du 5 mars 2008.</w:t>
      </w:r>
    </w:p>
    <w:p w14:paraId="34E765BF" w14:textId="77777777" w:rsidR="00795C3E" w:rsidRPr="00E608F8" w:rsidRDefault="00795C3E" w:rsidP="00795C3E">
      <w:pPr>
        <w:spacing w:before="120" w:after="240"/>
        <w:textAlignment w:val="baseline"/>
        <w:rPr>
          <w:rFonts w:cs="Calibri Light"/>
        </w:rPr>
      </w:pPr>
      <w:r w:rsidRPr="00F91BDD">
        <w:rPr>
          <w:rFonts w:cs="Calibri Light"/>
        </w:rPr>
        <w:t>Pour l'enlèvement d'encombrants ne relevant pas du service minimum, le Conseil communal peut exiger une redevance.</w:t>
      </w:r>
    </w:p>
    <w:p w14:paraId="2C37140C" w14:textId="3AC55DDD" w:rsidR="00795C3E" w:rsidRPr="00C95CEA" w:rsidRDefault="00795C3E" w:rsidP="35BD9115">
      <w:pPr>
        <w:pStyle w:val="Titre3"/>
        <w:rPr>
          <w:caps/>
        </w:rPr>
      </w:pPr>
      <w:bookmarkStart w:id="1740" w:name="_Toc143779176"/>
      <w:bookmarkStart w:id="1741" w:name="_Toc208420079"/>
      <w:bookmarkStart w:id="1742" w:name="_Toc225504315"/>
      <w:bookmarkStart w:id="1743" w:name="_Toc225772404"/>
      <w:bookmarkStart w:id="1744" w:name="_Toc233626273"/>
      <w:bookmarkStart w:id="1745" w:name="_Hlk38968521"/>
      <w:bookmarkStart w:id="1746" w:name="_Toc512525488"/>
      <w:bookmarkStart w:id="1747" w:name="_Toc515896802"/>
      <w:r w:rsidRPr="00BD4241">
        <w:t>040/363-07 : Enlèvement des versages sauvages</w:t>
      </w:r>
      <w:bookmarkEnd w:id="1740"/>
      <w:bookmarkEnd w:id="1741"/>
      <w:bookmarkEnd w:id="1742"/>
      <w:bookmarkEnd w:id="1743"/>
      <w:bookmarkEnd w:id="1744"/>
      <w:r w:rsidRPr="00BD4241">
        <w:t xml:space="preserve"> </w:t>
      </w:r>
    </w:p>
    <w:p w14:paraId="5808EB05" w14:textId="77777777" w:rsidR="00795C3E" w:rsidRPr="008B4DDE" w:rsidRDefault="00795C3E" w:rsidP="009E3799">
      <w:pPr>
        <w:pStyle w:val="Sam3"/>
        <w:rPr>
          <w:bCs/>
        </w:rPr>
      </w:pPr>
      <w:bookmarkStart w:id="1748" w:name="_Toc40186285"/>
      <w:bookmarkStart w:id="1749" w:name="_Toc74557755"/>
      <w:bookmarkStart w:id="1750" w:name="_Toc143779177"/>
      <w:r w:rsidRPr="008B4DDE">
        <w:t>Redevance</w:t>
      </w:r>
      <w:bookmarkEnd w:id="1748"/>
      <w:bookmarkEnd w:id="1749"/>
      <w:bookmarkEnd w:id="1750"/>
      <w:r w:rsidRPr="008B4DDE">
        <w:t xml:space="preserve"> - </w:t>
      </w:r>
      <w:bookmarkEnd w:id="1745"/>
      <w:r w:rsidRPr="008B4DDE">
        <w:t>Modèle disponible.</w:t>
      </w:r>
      <w:bookmarkEnd w:id="1746"/>
      <w:bookmarkEnd w:id="1747"/>
    </w:p>
    <w:p w14:paraId="692D16C6" w14:textId="77777777" w:rsidR="00795C3E" w:rsidRPr="00F91BDD" w:rsidRDefault="00795C3E" w:rsidP="00795C3E">
      <w:pPr>
        <w:spacing w:before="120"/>
        <w:textAlignment w:val="baseline"/>
        <w:rPr>
          <w:rFonts w:cs="Calibri Light"/>
        </w:rPr>
      </w:pPr>
      <w:bookmarkStart w:id="1751" w:name="_Hlk38454055"/>
      <w:r w:rsidRPr="00F91BDD">
        <w:rPr>
          <w:rFonts w:cs="Calibri Light"/>
        </w:rPr>
        <w:t xml:space="preserve">Lorsque les services communaux sont amenés à intervenir pour enlever un dépôt sauvage de déchets, l’idéal est – en fonction de la définition de la redevance – de prévoir un prélèvement couvrant les frais réellement engagés par la commune. </w:t>
      </w:r>
    </w:p>
    <w:p w14:paraId="01CFA2B8" w14:textId="77777777" w:rsidR="00795C3E" w:rsidRPr="00F91BDD" w:rsidRDefault="00795C3E" w:rsidP="00795C3E">
      <w:pPr>
        <w:spacing w:before="120"/>
        <w:textAlignment w:val="baseline"/>
        <w:rPr>
          <w:rFonts w:cs="Calibri Light"/>
        </w:rPr>
      </w:pPr>
      <w:r w:rsidRPr="00F91BDD">
        <w:rPr>
          <w:rFonts w:cs="Calibri Light"/>
        </w:rPr>
        <w:t>Pour ce faire, on peut agir de la manière suivante :</w:t>
      </w:r>
    </w:p>
    <w:tbl>
      <w:tblPr>
        <w:tblW w:w="0" w:type="auto"/>
        <w:tblCellMar>
          <w:left w:w="0" w:type="dxa"/>
          <w:right w:w="0" w:type="dxa"/>
        </w:tblCellMar>
        <w:tblLook w:val="04A0" w:firstRow="1" w:lastRow="0" w:firstColumn="1" w:lastColumn="0" w:noHBand="0" w:noVBand="1"/>
      </w:tblPr>
      <w:tblGrid>
        <w:gridCol w:w="2204"/>
        <w:gridCol w:w="2155"/>
        <w:gridCol w:w="2156"/>
        <w:gridCol w:w="2105"/>
      </w:tblGrid>
      <w:tr w:rsidR="00795C3E" w:rsidRPr="00F91BDD" w14:paraId="27A93132" w14:textId="77777777" w:rsidTr="00F323D9">
        <w:tc>
          <w:tcPr>
            <w:tcW w:w="679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A218D4" w14:textId="77777777" w:rsidR="00795C3E" w:rsidRPr="00F91BDD" w:rsidRDefault="00795C3E" w:rsidP="00F323D9">
            <w:pPr>
              <w:textAlignment w:val="baseline"/>
              <w:rPr>
                <w:rFonts w:cs="Calibri Light"/>
                <w:sz w:val="20"/>
                <w:szCs w:val="20"/>
              </w:rPr>
            </w:pPr>
          </w:p>
        </w:tc>
        <w:tc>
          <w:tcPr>
            <w:tcW w:w="22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9F4866" w14:textId="77777777" w:rsidR="00795C3E" w:rsidRPr="00F91BDD" w:rsidRDefault="00795C3E" w:rsidP="00F323D9">
            <w:pPr>
              <w:jc w:val="center"/>
              <w:textAlignment w:val="baseline"/>
              <w:rPr>
                <w:rFonts w:cs="Calibri Light"/>
                <w:sz w:val="20"/>
                <w:szCs w:val="20"/>
              </w:rPr>
            </w:pPr>
            <w:r w:rsidRPr="00F91BDD">
              <w:rPr>
                <w:rFonts w:cs="Calibri Light"/>
                <w:sz w:val="20"/>
                <w:szCs w:val="20"/>
              </w:rPr>
              <w:t>Coût</w:t>
            </w:r>
          </w:p>
        </w:tc>
      </w:tr>
      <w:tr w:rsidR="00795C3E" w:rsidRPr="00F91BDD" w14:paraId="73B8D219" w14:textId="77777777" w:rsidTr="00F323D9">
        <w:tc>
          <w:tcPr>
            <w:tcW w:w="226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D11139" w14:textId="77777777" w:rsidR="00795C3E" w:rsidRPr="00F91BDD" w:rsidRDefault="00795C3E">
            <w:pPr>
              <w:numPr>
                <w:ilvl w:val="0"/>
                <w:numId w:val="29"/>
              </w:numPr>
              <w:spacing w:after="120" w:line="240" w:lineRule="auto"/>
              <w:textAlignment w:val="baseline"/>
              <w:rPr>
                <w:rFonts w:cs="Calibri Light"/>
                <w:sz w:val="20"/>
                <w:szCs w:val="20"/>
              </w:rPr>
            </w:pPr>
            <w:r w:rsidRPr="00F91BDD">
              <w:rPr>
                <w:rFonts w:cs="Calibri Light"/>
                <w:sz w:val="20"/>
                <w:szCs w:val="20"/>
              </w:rPr>
              <w:t>Intervention de l’ouvrier </w:t>
            </w:r>
          </w:p>
        </w:tc>
        <w:tc>
          <w:tcPr>
            <w:tcW w:w="2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E8B2E" w14:textId="77777777" w:rsidR="00795C3E" w:rsidRPr="00F91BDD" w:rsidRDefault="00795C3E" w:rsidP="00F323D9">
            <w:pPr>
              <w:textAlignment w:val="baseline"/>
              <w:rPr>
                <w:rFonts w:cs="Calibri Light"/>
                <w:sz w:val="20"/>
                <w:szCs w:val="20"/>
              </w:rPr>
            </w:pPr>
            <w:r w:rsidRPr="00F91BDD">
              <w:rPr>
                <w:rFonts w:cs="Calibri Light"/>
                <w:sz w:val="20"/>
                <w:szCs w:val="20"/>
              </w:rPr>
              <w:t>Nombre d’heures prestées</w:t>
            </w:r>
          </w:p>
        </w:tc>
        <w:tc>
          <w:tcPr>
            <w:tcW w:w="2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2486" w14:textId="77777777" w:rsidR="00795C3E" w:rsidRPr="00F91BDD" w:rsidRDefault="00795C3E" w:rsidP="00F323D9">
            <w:pPr>
              <w:textAlignment w:val="baseline"/>
              <w:rPr>
                <w:rFonts w:cs="Calibri Light"/>
                <w:sz w:val="20"/>
                <w:szCs w:val="20"/>
              </w:rPr>
            </w:pPr>
            <w:r w:rsidRPr="00F91BDD">
              <w:rPr>
                <w:rFonts w:cs="Calibri Light"/>
                <w:sz w:val="20"/>
                <w:szCs w:val="20"/>
              </w:rPr>
              <w:t>Coût horaire</w:t>
            </w:r>
          </w:p>
        </w:tc>
        <w:tc>
          <w:tcPr>
            <w:tcW w:w="226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044C0718" w14:textId="77777777" w:rsidR="00795C3E" w:rsidRPr="00F91BDD" w:rsidRDefault="00795C3E" w:rsidP="00F323D9">
            <w:pPr>
              <w:textAlignment w:val="baseline"/>
              <w:rPr>
                <w:rFonts w:cs="Calibri Light"/>
                <w:sz w:val="20"/>
                <w:szCs w:val="20"/>
              </w:rPr>
            </w:pPr>
          </w:p>
        </w:tc>
      </w:tr>
      <w:tr w:rsidR="00795C3E" w:rsidRPr="00F91BDD" w14:paraId="7EEEC10F" w14:textId="77777777" w:rsidTr="00F323D9">
        <w:tc>
          <w:tcPr>
            <w:tcW w:w="0" w:type="auto"/>
            <w:vMerge/>
            <w:tcBorders>
              <w:top w:val="nil"/>
              <w:left w:val="single" w:sz="8" w:space="0" w:color="auto"/>
              <w:bottom w:val="single" w:sz="8" w:space="0" w:color="auto"/>
              <w:right w:val="single" w:sz="8" w:space="0" w:color="auto"/>
            </w:tcBorders>
            <w:vAlign w:val="center"/>
            <w:hideMark/>
          </w:tcPr>
          <w:p w14:paraId="1460F3A2" w14:textId="77777777" w:rsidR="00795C3E" w:rsidRPr="00F91BDD" w:rsidRDefault="00795C3E" w:rsidP="00F323D9">
            <w:pPr>
              <w:textAlignment w:val="baseline"/>
              <w:rPr>
                <w:rFonts w:cs="Calibri Light"/>
                <w:sz w:val="20"/>
                <w:szCs w:val="20"/>
              </w:rPr>
            </w:pPr>
          </w:p>
        </w:tc>
        <w:tc>
          <w:tcPr>
            <w:tcW w:w="2265"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vAlign w:val="center"/>
          </w:tcPr>
          <w:p w14:paraId="666F4CB7" w14:textId="77777777" w:rsidR="00795C3E" w:rsidRPr="00F91BDD" w:rsidRDefault="00795C3E" w:rsidP="00F323D9">
            <w:pPr>
              <w:textAlignment w:val="baseline"/>
              <w:rPr>
                <w:rFonts w:cs="Calibri Light"/>
                <w:sz w:val="20"/>
                <w:szCs w:val="20"/>
              </w:rPr>
            </w:pPr>
          </w:p>
        </w:tc>
        <w:tc>
          <w:tcPr>
            <w:tcW w:w="2266"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vAlign w:val="center"/>
          </w:tcPr>
          <w:p w14:paraId="56DEF187" w14:textId="77777777" w:rsidR="00795C3E" w:rsidRPr="00F91BDD" w:rsidRDefault="00795C3E" w:rsidP="00F323D9">
            <w:pPr>
              <w:textAlignment w:val="baseline"/>
              <w:rPr>
                <w:rFonts w:cs="Calibri Light"/>
                <w:sz w:val="20"/>
                <w:szCs w:val="20"/>
              </w:rPr>
            </w:pPr>
          </w:p>
        </w:tc>
        <w:tc>
          <w:tcPr>
            <w:tcW w:w="0" w:type="auto"/>
            <w:vMerge/>
            <w:tcBorders>
              <w:top w:val="nil"/>
              <w:left w:val="nil"/>
              <w:bottom w:val="single" w:sz="8" w:space="0" w:color="auto"/>
              <w:right w:val="single" w:sz="8" w:space="0" w:color="auto"/>
            </w:tcBorders>
            <w:vAlign w:val="center"/>
            <w:hideMark/>
          </w:tcPr>
          <w:p w14:paraId="41E4BB35" w14:textId="77777777" w:rsidR="00795C3E" w:rsidRPr="00F91BDD" w:rsidRDefault="00795C3E" w:rsidP="00F323D9">
            <w:pPr>
              <w:textAlignment w:val="baseline"/>
              <w:rPr>
                <w:rFonts w:cs="Calibri Light"/>
                <w:sz w:val="20"/>
                <w:szCs w:val="20"/>
              </w:rPr>
            </w:pPr>
          </w:p>
        </w:tc>
      </w:tr>
      <w:tr w:rsidR="00795C3E" w:rsidRPr="00F91BDD" w14:paraId="06BDA0CD" w14:textId="77777777" w:rsidTr="00F323D9">
        <w:tc>
          <w:tcPr>
            <w:tcW w:w="679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71505D" w14:textId="77777777" w:rsidR="00795C3E" w:rsidRPr="00F91BDD" w:rsidRDefault="00795C3E">
            <w:pPr>
              <w:numPr>
                <w:ilvl w:val="0"/>
                <w:numId w:val="29"/>
              </w:numPr>
              <w:spacing w:after="120" w:line="240" w:lineRule="auto"/>
              <w:textAlignment w:val="baseline"/>
              <w:rPr>
                <w:rFonts w:cs="Calibri Light"/>
                <w:sz w:val="20"/>
                <w:szCs w:val="20"/>
              </w:rPr>
            </w:pPr>
            <w:r w:rsidRPr="00F91BDD">
              <w:rPr>
                <w:rFonts w:cs="Calibri Light"/>
                <w:sz w:val="20"/>
                <w:szCs w:val="20"/>
              </w:rPr>
              <w:t>Intervention d’une camionnette </w:t>
            </w:r>
          </w:p>
        </w:tc>
        <w:tc>
          <w:tcPr>
            <w:tcW w:w="22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4D9A0" w14:textId="77777777" w:rsidR="00795C3E" w:rsidRPr="00F91BDD" w:rsidRDefault="00795C3E" w:rsidP="00F323D9">
            <w:pPr>
              <w:textAlignment w:val="baseline"/>
              <w:rPr>
                <w:rFonts w:cs="Calibri Light"/>
                <w:sz w:val="20"/>
                <w:szCs w:val="20"/>
              </w:rPr>
            </w:pPr>
          </w:p>
        </w:tc>
      </w:tr>
      <w:tr w:rsidR="00795C3E" w:rsidRPr="00F91BDD" w14:paraId="13F95A53" w14:textId="77777777" w:rsidTr="00F323D9">
        <w:tc>
          <w:tcPr>
            <w:tcW w:w="679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CE8B80" w14:textId="77777777" w:rsidR="00795C3E" w:rsidRPr="00F91BDD" w:rsidRDefault="00795C3E">
            <w:pPr>
              <w:numPr>
                <w:ilvl w:val="0"/>
                <w:numId w:val="29"/>
              </w:numPr>
              <w:spacing w:after="120" w:line="240" w:lineRule="auto"/>
              <w:textAlignment w:val="baseline"/>
              <w:rPr>
                <w:rFonts w:cs="Calibri Light"/>
                <w:sz w:val="20"/>
                <w:szCs w:val="20"/>
              </w:rPr>
            </w:pPr>
            <w:r w:rsidRPr="00F91BDD">
              <w:rPr>
                <w:rFonts w:cs="Calibri Light"/>
                <w:sz w:val="20"/>
                <w:szCs w:val="20"/>
              </w:rPr>
              <w:lastRenderedPageBreak/>
              <w:t>Intervention de transport particulier (grue, …) :</w:t>
            </w:r>
          </w:p>
        </w:tc>
        <w:tc>
          <w:tcPr>
            <w:tcW w:w="22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5CA7BBA" w14:textId="77777777" w:rsidR="00795C3E" w:rsidRPr="00F91BDD" w:rsidRDefault="00795C3E" w:rsidP="00F323D9">
            <w:pPr>
              <w:textAlignment w:val="baseline"/>
              <w:rPr>
                <w:rFonts w:cs="Calibri Light"/>
                <w:sz w:val="20"/>
                <w:szCs w:val="20"/>
              </w:rPr>
            </w:pPr>
          </w:p>
        </w:tc>
      </w:tr>
      <w:tr w:rsidR="00795C3E" w:rsidRPr="00F91BDD" w14:paraId="793397CC" w14:textId="77777777" w:rsidTr="00F323D9">
        <w:tc>
          <w:tcPr>
            <w:tcW w:w="226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0AEE21" w14:textId="77777777" w:rsidR="00795C3E" w:rsidRPr="00F91BDD" w:rsidRDefault="00795C3E">
            <w:pPr>
              <w:numPr>
                <w:ilvl w:val="0"/>
                <w:numId w:val="29"/>
              </w:numPr>
              <w:spacing w:after="120" w:line="240" w:lineRule="auto"/>
              <w:textAlignment w:val="baseline"/>
              <w:rPr>
                <w:rFonts w:cs="Calibri Light"/>
                <w:sz w:val="20"/>
                <w:szCs w:val="20"/>
              </w:rPr>
            </w:pPr>
            <w:r w:rsidRPr="00F91BDD">
              <w:rPr>
                <w:rFonts w:cs="Calibri Light"/>
                <w:sz w:val="20"/>
                <w:szCs w:val="20"/>
              </w:rPr>
              <w:t>Frais de kilomètre :</w:t>
            </w:r>
          </w:p>
        </w:tc>
        <w:tc>
          <w:tcPr>
            <w:tcW w:w="2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E48DF" w14:textId="77777777" w:rsidR="00795C3E" w:rsidRPr="00F91BDD" w:rsidRDefault="00795C3E" w:rsidP="00F323D9">
            <w:pPr>
              <w:textAlignment w:val="baseline"/>
              <w:rPr>
                <w:rFonts w:cs="Calibri Light"/>
                <w:sz w:val="20"/>
                <w:szCs w:val="20"/>
              </w:rPr>
            </w:pPr>
            <w:r w:rsidRPr="00F91BDD">
              <w:rPr>
                <w:rFonts w:cs="Calibri Light"/>
                <w:sz w:val="20"/>
                <w:szCs w:val="20"/>
              </w:rPr>
              <w:t>Nombre de kilomètres parcourus</w:t>
            </w:r>
          </w:p>
        </w:tc>
        <w:tc>
          <w:tcPr>
            <w:tcW w:w="2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E6788" w14:textId="77777777" w:rsidR="00795C3E" w:rsidRPr="00F91BDD" w:rsidRDefault="00795C3E" w:rsidP="00F323D9">
            <w:pPr>
              <w:textAlignment w:val="baseline"/>
              <w:rPr>
                <w:rFonts w:cs="Calibri Light"/>
                <w:sz w:val="20"/>
                <w:szCs w:val="20"/>
              </w:rPr>
            </w:pPr>
            <w:r w:rsidRPr="00F91BDD">
              <w:rPr>
                <w:rFonts w:cs="Calibri Light"/>
                <w:sz w:val="20"/>
                <w:szCs w:val="20"/>
              </w:rPr>
              <w:t>Coût par kilomètres parcourus</w:t>
            </w:r>
          </w:p>
        </w:tc>
        <w:tc>
          <w:tcPr>
            <w:tcW w:w="226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0376A20E" w14:textId="77777777" w:rsidR="00795C3E" w:rsidRPr="00F91BDD" w:rsidRDefault="00795C3E" w:rsidP="00F323D9">
            <w:pPr>
              <w:textAlignment w:val="baseline"/>
              <w:rPr>
                <w:rFonts w:cs="Calibri Light"/>
                <w:sz w:val="20"/>
                <w:szCs w:val="20"/>
              </w:rPr>
            </w:pPr>
          </w:p>
        </w:tc>
      </w:tr>
      <w:tr w:rsidR="00795C3E" w:rsidRPr="00F91BDD" w14:paraId="12F9BBF4" w14:textId="77777777" w:rsidTr="00F323D9">
        <w:tc>
          <w:tcPr>
            <w:tcW w:w="0" w:type="auto"/>
            <w:vMerge/>
            <w:tcBorders>
              <w:top w:val="nil"/>
              <w:left w:val="single" w:sz="8" w:space="0" w:color="auto"/>
              <w:bottom w:val="single" w:sz="8" w:space="0" w:color="auto"/>
              <w:right w:val="single" w:sz="8" w:space="0" w:color="auto"/>
            </w:tcBorders>
            <w:vAlign w:val="center"/>
            <w:hideMark/>
          </w:tcPr>
          <w:p w14:paraId="4B536D76" w14:textId="77777777" w:rsidR="00795C3E" w:rsidRPr="00F91BDD" w:rsidRDefault="00795C3E" w:rsidP="00F323D9">
            <w:pPr>
              <w:textAlignment w:val="baseline"/>
              <w:rPr>
                <w:rFonts w:cs="Calibri Light"/>
                <w:sz w:val="20"/>
                <w:szCs w:val="20"/>
              </w:rPr>
            </w:pPr>
          </w:p>
        </w:tc>
        <w:tc>
          <w:tcPr>
            <w:tcW w:w="2265"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vAlign w:val="center"/>
          </w:tcPr>
          <w:p w14:paraId="5A9B278D" w14:textId="77777777" w:rsidR="00795C3E" w:rsidRPr="00F91BDD" w:rsidRDefault="00795C3E" w:rsidP="00F323D9">
            <w:pPr>
              <w:textAlignment w:val="baseline"/>
              <w:rPr>
                <w:rFonts w:cs="Calibri Light"/>
                <w:sz w:val="20"/>
                <w:szCs w:val="20"/>
              </w:rPr>
            </w:pPr>
          </w:p>
        </w:tc>
        <w:tc>
          <w:tcPr>
            <w:tcW w:w="2266"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vAlign w:val="center"/>
          </w:tcPr>
          <w:p w14:paraId="0D492457" w14:textId="77777777" w:rsidR="00795C3E" w:rsidRPr="00F91BDD" w:rsidRDefault="00795C3E" w:rsidP="00F323D9">
            <w:pPr>
              <w:textAlignment w:val="baseline"/>
              <w:rPr>
                <w:rFonts w:cs="Calibri Light"/>
                <w:sz w:val="20"/>
                <w:szCs w:val="20"/>
              </w:rPr>
            </w:pPr>
          </w:p>
        </w:tc>
        <w:tc>
          <w:tcPr>
            <w:tcW w:w="0" w:type="auto"/>
            <w:vMerge/>
            <w:tcBorders>
              <w:top w:val="nil"/>
              <w:left w:val="nil"/>
              <w:bottom w:val="single" w:sz="8" w:space="0" w:color="auto"/>
              <w:right w:val="single" w:sz="8" w:space="0" w:color="auto"/>
            </w:tcBorders>
            <w:vAlign w:val="center"/>
            <w:hideMark/>
          </w:tcPr>
          <w:p w14:paraId="4A03E875" w14:textId="77777777" w:rsidR="00795C3E" w:rsidRPr="00F91BDD" w:rsidRDefault="00795C3E" w:rsidP="00F323D9">
            <w:pPr>
              <w:textAlignment w:val="baseline"/>
              <w:rPr>
                <w:rFonts w:cs="Calibri Light"/>
                <w:sz w:val="20"/>
                <w:szCs w:val="20"/>
              </w:rPr>
            </w:pPr>
          </w:p>
        </w:tc>
      </w:tr>
      <w:tr w:rsidR="00795C3E" w:rsidRPr="00F91BDD" w14:paraId="5D46B37C" w14:textId="77777777" w:rsidTr="00F323D9">
        <w:tc>
          <w:tcPr>
            <w:tcW w:w="226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AC4541" w14:textId="77777777" w:rsidR="00795C3E" w:rsidRPr="00F91BDD" w:rsidRDefault="00795C3E">
            <w:pPr>
              <w:numPr>
                <w:ilvl w:val="0"/>
                <w:numId w:val="29"/>
              </w:numPr>
              <w:spacing w:after="120" w:line="240" w:lineRule="auto"/>
              <w:textAlignment w:val="baseline"/>
              <w:rPr>
                <w:rFonts w:cs="Calibri Light"/>
                <w:sz w:val="20"/>
                <w:szCs w:val="20"/>
              </w:rPr>
            </w:pPr>
            <w:r w:rsidRPr="00F91BDD">
              <w:rPr>
                <w:rFonts w:cs="Calibri Light"/>
                <w:sz w:val="20"/>
                <w:szCs w:val="20"/>
              </w:rPr>
              <w:t>Frais de décharge :</w:t>
            </w:r>
          </w:p>
        </w:tc>
        <w:tc>
          <w:tcPr>
            <w:tcW w:w="2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97847" w14:textId="77777777" w:rsidR="00795C3E" w:rsidRPr="00F91BDD" w:rsidRDefault="00795C3E" w:rsidP="00F323D9">
            <w:pPr>
              <w:textAlignment w:val="baseline"/>
              <w:rPr>
                <w:rFonts w:cs="Calibri Light"/>
                <w:sz w:val="20"/>
                <w:szCs w:val="20"/>
              </w:rPr>
            </w:pPr>
            <w:r w:rsidRPr="00F91BDD">
              <w:rPr>
                <w:rFonts w:cs="Calibri Light"/>
                <w:sz w:val="20"/>
                <w:szCs w:val="20"/>
              </w:rPr>
              <w:t>Nombre de tonnes</w:t>
            </w:r>
          </w:p>
        </w:tc>
        <w:tc>
          <w:tcPr>
            <w:tcW w:w="2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B7EEF8" w14:textId="77777777" w:rsidR="00795C3E" w:rsidRPr="00F91BDD" w:rsidRDefault="00795C3E" w:rsidP="00F323D9">
            <w:pPr>
              <w:textAlignment w:val="baseline"/>
              <w:rPr>
                <w:rFonts w:cs="Calibri Light"/>
                <w:sz w:val="20"/>
                <w:szCs w:val="20"/>
              </w:rPr>
            </w:pPr>
            <w:r w:rsidRPr="00F91BDD">
              <w:rPr>
                <w:rFonts w:cs="Calibri Light"/>
                <w:sz w:val="20"/>
                <w:szCs w:val="20"/>
              </w:rPr>
              <w:t>Coût par tonne</w:t>
            </w:r>
          </w:p>
        </w:tc>
        <w:tc>
          <w:tcPr>
            <w:tcW w:w="226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5E577C41" w14:textId="77777777" w:rsidR="00795C3E" w:rsidRPr="00F91BDD" w:rsidRDefault="00795C3E" w:rsidP="00F323D9">
            <w:pPr>
              <w:textAlignment w:val="baseline"/>
              <w:rPr>
                <w:rFonts w:cs="Calibri Light"/>
                <w:sz w:val="20"/>
                <w:szCs w:val="20"/>
              </w:rPr>
            </w:pPr>
          </w:p>
        </w:tc>
      </w:tr>
      <w:tr w:rsidR="00795C3E" w:rsidRPr="00F91BDD" w14:paraId="1864CF44" w14:textId="77777777" w:rsidTr="00F323D9">
        <w:tc>
          <w:tcPr>
            <w:tcW w:w="0" w:type="auto"/>
            <w:vMerge/>
            <w:tcBorders>
              <w:top w:val="nil"/>
              <w:left w:val="single" w:sz="8" w:space="0" w:color="auto"/>
              <w:bottom w:val="single" w:sz="8" w:space="0" w:color="auto"/>
              <w:right w:val="single" w:sz="8" w:space="0" w:color="auto"/>
            </w:tcBorders>
            <w:vAlign w:val="center"/>
            <w:hideMark/>
          </w:tcPr>
          <w:p w14:paraId="7C608F22" w14:textId="77777777" w:rsidR="00795C3E" w:rsidRPr="00F91BDD" w:rsidRDefault="00795C3E" w:rsidP="00F323D9">
            <w:pPr>
              <w:textAlignment w:val="baseline"/>
              <w:rPr>
                <w:rFonts w:cs="Calibri Light"/>
                <w:sz w:val="20"/>
                <w:szCs w:val="20"/>
              </w:rPr>
            </w:pPr>
          </w:p>
        </w:tc>
        <w:tc>
          <w:tcPr>
            <w:tcW w:w="2265"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vAlign w:val="center"/>
          </w:tcPr>
          <w:p w14:paraId="1F600B8E" w14:textId="77777777" w:rsidR="00795C3E" w:rsidRPr="00F91BDD" w:rsidRDefault="00795C3E" w:rsidP="00F323D9">
            <w:pPr>
              <w:textAlignment w:val="baseline"/>
              <w:rPr>
                <w:rFonts w:cs="Calibri Light"/>
                <w:sz w:val="20"/>
                <w:szCs w:val="20"/>
              </w:rPr>
            </w:pPr>
          </w:p>
        </w:tc>
        <w:tc>
          <w:tcPr>
            <w:tcW w:w="2266"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vAlign w:val="center"/>
          </w:tcPr>
          <w:p w14:paraId="42A81855" w14:textId="77777777" w:rsidR="00795C3E" w:rsidRPr="00F91BDD" w:rsidRDefault="00795C3E" w:rsidP="00F323D9">
            <w:pPr>
              <w:textAlignment w:val="baseline"/>
              <w:rPr>
                <w:rFonts w:cs="Calibri Light"/>
                <w:sz w:val="20"/>
                <w:szCs w:val="20"/>
              </w:rPr>
            </w:pPr>
          </w:p>
        </w:tc>
        <w:tc>
          <w:tcPr>
            <w:tcW w:w="0" w:type="auto"/>
            <w:vMerge/>
            <w:tcBorders>
              <w:top w:val="nil"/>
              <w:left w:val="nil"/>
              <w:bottom w:val="single" w:sz="8" w:space="0" w:color="auto"/>
              <w:right w:val="single" w:sz="8" w:space="0" w:color="auto"/>
            </w:tcBorders>
            <w:vAlign w:val="center"/>
            <w:hideMark/>
          </w:tcPr>
          <w:p w14:paraId="45BA553D" w14:textId="77777777" w:rsidR="00795C3E" w:rsidRPr="00F91BDD" w:rsidRDefault="00795C3E" w:rsidP="00F323D9">
            <w:pPr>
              <w:textAlignment w:val="baseline"/>
              <w:rPr>
                <w:rFonts w:cs="Calibri Light"/>
                <w:sz w:val="20"/>
                <w:szCs w:val="20"/>
              </w:rPr>
            </w:pPr>
          </w:p>
        </w:tc>
      </w:tr>
      <w:tr w:rsidR="00795C3E" w:rsidRPr="00F91BDD" w14:paraId="36C3CC18" w14:textId="77777777" w:rsidTr="00F323D9">
        <w:tc>
          <w:tcPr>
            <w:tcW w:w="679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702FD4" w14:textId="77777777" w:rsidR="00795C3E" w:rsidRPr="00F91BDD" w:rsidRDefault="00795C3E" w:rsidP="00F323D9">
            <w:pPr>
              <w:textAlignment w:val="baseline"/>
              <w:rPr>
                <w:rFonts w:cs="Calibri Light"/>
                <w:sz w:val="20"/>
                <w:szCs w:val="20"/>
              </w:rPr>
            </w:pPr>
            <w:r w:rsidRPr="00F91BDD">
              <w:rPr>
                <w:rFonts w:cs="Calibri Light"/>
                <w:sz w:val="20"/>
                <w:szCs w:val="20"/>
              </w:rPr>
              <w:t>Montant de la redevance</w:t>
            </w:r>
          </w:p>
        </w:tc>
        <w:tc>
          <w:tcPr>
            <w:tcW w:w="22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0E7C6D5" w14:textId="77777777" w:rsidR="00795C3E" w:rsidRPr="00F91BDD" w:rsidRDefault="00795C3E" w:rsidP="00F323D9">
            <w:pPr>
              <w:textAlignment w:val="baseline"/>
              <w:rPr>
                <w:rFonts w:cs="Calibri Light"/>
                <w:sz w:val="20"/>
                <w:szCs w:val="20"/>
              </w:rPr>
            </w:pPr>
          </w:p>
        </w:tc>
      </w:tr>
    </w:tbl>
    <w:p w14:paraId="10799215" w14:textId="10409F62" w:rsidR="00795C3E" w:rsidRPr="00F91BDD" w:rsidRDefault="00795C3E" w:rsidP="00AF606C">
      <w:pPr>
        <w:spacing w:before="120"/>
        <w:textAlignment w:val="baseline"/>
        <w:rPr>
          <w:rFonts w:cs="Calibri Light"/>
        </w:rPr>
      </w:pPr>
      <w:r w:rsidRPr="3175478F">
        <w:rPr>
          <w:rFonts w:cs="Calibri Light"/>
        </w:rPr>
        <w:t xml:space="preserve">Afin d’éviter une charge administrative importante pour la commune, il est possible, de prévoir, d’une part un taux forfaitaire de maximum </w:t>
      </w:r>
      <w:r w:rsidRPr="3175478F">
        <w:rPr>
          <w:rFonts w:cs="Calibri Light"/>
          <w:b/>
          <w:bCs/>
        </w:rPr>
        <w:t>100,00 euros</w:t>
      </w:r>
      <w:r w:rsidRPr="3175478F">
        <w:rPr>
          <w:rFonts w:cs="Calibri Light"/>
        </w:rPr>
        <w:t xml:space="preserve">  pour l’enlèvement d’un petit déchet (par exemple : cendrier, un sac, crotte(s) de chien, …) et, d’autre part, le décompte ci-dessus pour les autres cas d’enlèvement.</w:t>
      </w:r>
    </w:p>
    <w:p w14:paraId="22E5EF8B" w14:textId="77777777" w:rsidR="00795C3E" w:rsidRPr="00F91BDD" w:rsidRDefault="00795C3E" w:rsidP="00AF606C">
      <w:pPr>
        <w:spacing w:before="120"/>
        <w:textAlignment w:val="baseline"/>
        <w:rPr>
          <w:rFonts w:cs="Calibri Light"/>
        </w:rPr>
      </w:pPr>
      <w:r w:rsidRPr="3175478F">
        <w:rPr>
          <w:rFonts w:cs="Calibri Light"/>
        </w:rPr>
        <w:t xml:space="preserve">Néanmoins, si la commune souhaite établir un forfait au lieu de s’en tenir à la récupération des frais réels encourus, elle ne doit pas perdre de vue qu’il existe une différence importante entre l’enlèvement d’un dépôt mineur (par exemple : cendrier, un seul sac, …) et l'enlèvement d'un dépôt important. </w:t>
      </w:r>
    </w:p>
    <w:p w14:paraId="6A237F03" w14:textId="59993980" w:rsidR="00795C3E" w:rsidRPr="00F91BDD" w:rsidRDefault="00795C3E" w:rsidP="00AF606C">
      <w:pPr>
        <w:spacing w:before="120"/>
        <w:textAlignment w:val="baseline"/>
        <w:rPr>
          <w:rFonts w:cs="Calibri Light"/>
        </w:rPr>
      </w:pPr>
      <w:r w:rsidRPr="3175478F">
        <w:rPr>
          <w:rFonts w:cs="Calibri Light"/>
        </w:rPr>
        <w:t xml:space="preserve">Dès lors, en cas de </w:t>
      </w:r>
      <w:r w:rsidRPr="3175478F">
        <w:rPr>
          <w:rFonts w:cs="Calibri Light"/>
          <w:b/>
          <w:bCs/>
        </w:rPr>
        <w:t>forfait unique</w:t>
      </w:r>
      <w:r w:rsidRPr="3175478F">
        <w:rPr>
          <w:rFonts w:cs="Calibri Light"/>
        </w:rPr>
        <w:t xml:space="preserve">, le taux ne pourra dépasser </w:t>
      </w:r>
      <w:r w:rsidRPr="3175478F">
        <w:rPr>
          <w:rFonts w:cs="Calibri Light"/>
          <w:b/>
          <w:bCs/>
        </w:rPr>
        <w:t xml:space="preserve">100,00 </w:t>
      </w:r>
      <w:r w:rsidR="00DF0EF4" w:rsidRPr="3175478F">
        <w:rPr>
          <w:rFonts w:cs="Calibri Light"/>
          <w:b/>
          <w:bCs/>
        </w:rPr>
        <w:t>euros,</w:t>
      </w:r>
      <w:r w:rsidRPr="3175478F">
        <w:rPr>
          <w:rFonts w:cs="Calibri Light"/>
        </w:rPr>
        <w:t xml:space="preserve"> taux qui semble raisonnable pour l’enlèvement et le traitement des petits déchets. </w:t>
      </w:r>
    </w:p>
    <w:p w14:paraId="6ECC75EC" w14:textId="3417B699" w:rsidR="00795C3E" w:rsidRPr="00F91BDD" w:rsidRDefault="00795C3E" w:rsidP="00AF606C">
      <w:pPr>
        <w:spacing w:before="120"/>
        <w:textAlignment w:val="baseline"/>
        <w:rPr>
          <w:rFonts w:cs="Calibri Light"/>
        </w:rPr>
      </w:pPr>
      <w:r w:rsidRPr="3175478F">
        <w:rPr>
          <w:rFonts w:cs="Calibri Light"/>
        </w:rPr>
        <w:t xml:space="preserve">Lorsque le règlement prévoit différents taux forfaitaires par type de dépôts, les taux s'échelonneront de </w:t>
      </w:r>
      <w:r w:rsidRPr="3175478F">
        <w:rPr>
          <w:rFonts w:cs="Calibri Light"/>
          <w:b/>
          <w:bCs/>
        </w:rPr>
        <w:t xml:space="preserve">100,00 </w:t>
      </w:r>
      <w:r w:rsidR="00732619" w:rsidRPr="3175478F">
        <w:rPr>
          <w:rFonts w:cs="Calibri Light"/>
          <w:b/>
          <w:bCs/>
        </w:rPr>
        <w:t>euros pour</w:t>
      </w:r>
      <w:r w:rsidRPr="3175478F">
        <w:rPr>
          <w:rFonts w:cs="Calibri Light"/>
          <w:b/>
          <w:bCs/>
        </w:rPr>
        <w:t xml:space="preserve"> les petits déchets à 500,00 </w:t>
      </w:r>
      <w:r w:rsidR="00DF0EF4" w:rsidRPr="3175478F">
        <w:rPr>
          <w:rFonts w:cs="Calibri Light"/>
          <w:b/>
          <w:bCs/>
        </w:rPr>
        <w:t>euros pour</w:t>
      </w:r>
      <w:r w:rsidRPr="3175478F">
        <w:rPr>
          <w:rFonts w:cs="Calibri Light"/>
          <w:b/>
          <w:bCs/>
        </w:rPr>
        <w:t xml:space="preserve"> les déchets volumineux</w:t>
      </w:r>
      <w:r w:rsidRPr="3175478F">
        <w:rPr>
          <w:rFonts w:cs="Calibri Light"/>
        </w:rPr>
        <w:t xml:space="preserve">. </w:t>
      </w:r>
    </w:p>
    <w:p w14:paraId="34D4C4CA" w14:textId="77777777" w:rsidR="00795C3E" w:rsidRPr="00F91BDD" w:rsidRDefault="00795C3E" w:rsidP="00795C3E">
      <w:pPr>
        <w:spacing w:before="120"/>
        <w:textAlignment w:val="baseline"/>
        <w:rPr>
          <w:rFonts w:cs="Calibri Light"/>
        </w:rPr>
      </w:pPr>
      <w:r w:rsidRPr="00F91BDD">
        <w:rPr>
          <w:rFonts w:cs="Calibri Light"/>
        </w:rPr>
        <w:t xml:space="preserve">En outre, </w:t>
      </w:r>
      <w:bookmarkStart w:id="1752" w:name="_Hlk39227079"/>
      <w:r w:rsidRPr="00F91BDD">
        <w:rPr>
          <w:rFonts w:cs="Calibri Light"/>
        </w:rPr>
        <w:t>le règlement-redevance peut toujours prévoir que l'enlèvement des dépôts qui entraîne une dépense supérieure au taux forfaitaire prévu pour la catégorie de déchets concernés sera facturé sur base d'un décompte des frais réels. À défaut de prévoir une disposition en ce sens, la commune serait dans l'impossibilité de se rémunérer correctement lorsque plusieurs tonnes de déchets doivent être enlevées par les services communaux</w:t>
      </w:r>
      <w:bookmarkEnd w:id="1752"/>
      <w:r w:rsidRPr="00F91BDD">
        <w:rPr>
          <w:rFonts w:cs="Calibri Light"/>
        </w:rPr>
        <w:t xml:space="preserve">. </w:t>
      </w:r>
    </w:p>
    <w:p w14:paraId="618E3C24" w14:textId="210753C2" w:rsidR="00795C3E" w:rsidRPr="00F91BDD" w:rsidRDefault="00795C3E" w:rsidP="00795C3E">
      <w:pPr>
        <w:spacing w:before="120"/>
        <w:textAlignment w:val="baseline"/>
        <w:rPr>
          <w:rFonts w:cs="Calibri Light"/>
        </w:rPr>
      </w:pPr>
      <w:r w:rsidRPr="1200E362">
        <w:rPr>
          <w:rFonts w:cs="Calibri Light"/>
        </w:rPr>
        <w:t>Le dépôt de déchets dans des endroits non autorisés constitue une infraction au regard de l'article</w:t>
      </w:r>
      <w:r w:rsidR="6101B81A" w:rsidRPr="1200E362">
        <w:rPr>
          <w:rFonts w:cs="Calibri Light"/>
        </w:rPr>
        <w:t xml:space="preserve"> </w:t>
      </w:r>
      <w:r w:rsidRPr="1200E362">
        <w:rPr>
          <w:rFonts w:cs="Calibri Light"/>
        </w:rPr>
        <w:t>204 du décret du Conseil régional wallon du 9 mars 2023 relatif aux déchets à la circularité des matières et à la propreté publique et sa répression est assurée par la mise en œuvre des sanctions pénales prévues au dit décret.</w:t>
      </w:r>
      <w:bookmarkEnd w:id="1751"/>
    </w:p>
    <w:p w14:paraId="28A62B37" w14:textId="34ED327D" w:rsidR="00795C3E" w:rsidRPr="00996D37" w:rsidRDefault="00795C3E" w:rsidP="35BD9115">
      <w:pPr>
        <w:pStyle w:val="Titre3"/>
        <w:rPr>
          <w:caps/>
        </w:rPr>
      </w:pPr>
      <w:bookmarkStart w:id="1753" w:name="_Toc516739788"/>
      <w:bookmarkStart w:id="1754" w:name="_Toc516751700"/>
      <w:bookmarkStart w:id="1755" w:name="_Toc516825788"/>
      <w:bookmarkStart w:id="1756" w:name="_Toc516826346"/>
      <w:bookmarkStart w:id="1757" w:name="_Toc516837666"/>
      <w:bookmarkStart w:id="1758" w:name="_Toc516838225"/>
      <w:bookmarkStart w:id="1759" w:name="_Toc516838784"/>
      <w:bookmarkStart w:id="1760" w:name="_Toc516839344"/>
      <w:bookmarkStart w:id="1761" w:name="_Toc517173440"/>
      <w:bookmarkStart w:id="1762" w:name="_Toc517175114"/>
      <w:bookmarkStart w:id="1763" w:name="_Toc517175701"/>
      <w:bookmarkStart w:id="1764" w:name="_Toc517176289"/>
      <w:bookmarkStart w:id="1765" w:name="_Toc517337614"/>
      <w:bookmarkStart w:id="1766" w:name="_Toc517360410"/>
      <w:bookmarkStart w:id="1767" w:name="_Toc516739789"/>
      <w:bookmarkStart w:id="1768" w:name="_Toc516751701"/>
      <w:bookmarkStart w:id="1769" w:name="_Toc516825789"/>
      <w:bookmarkStart w:id="1770" w:name="_Toc516826347"/>
      <w:bookmarkStart w:id="1771" w:name="_Toc516837667"/>
      <w:bookmarkStart w:id="1772" w:name="_Toc516838226"/>
      <w:bookmarkStart w:id="1773" w:name="_Toc516838785"/>
      <w:bookmarkStart w:id="1774" w:name="_Toc516839345"/>
      <w:bookmarkStart w:id="1775" w:name="_Toc517173441"/>
      <w:bookmarkStart w:id="1776" w:name="_Toc517175115"/>
      <w:bookmarkStart w:id="1777" w:name="_Toc517175702"/>
      <w:bookmarkStart w:id="1778" w:name="_Toc517176290"/>
      <w:bookmarkStart w:id="1779" w:name="_Toc517337615"/>
      <w:bookmarkStart w:id="1780" w:name="_Toc517360411"/>
      <w:bookmarkStart w:id="1781" w:name="_Toc516739790"/>
      <w:bookmarkStart w:id="1782" w:name="_Toc516751702"/>
      <w:bookmarkStart w:id="1783" w:name="_Toc516825790"/>
      <w:bookmarkStart w:id="1784" w:name="_Toc516826348"/>
      <w:bookmarkStart w:id="1785" w:name="_Toc516837668"/>
      <w:bookmarkStart w:id="1786" w:name="_Toc516838227"/>
      <w:bookmarkStart w:id="1787" w:name="_Toc516838786"/>
      <w:bookmarkStart w:id="1788" w:name="_Toc516839346"/>
      <w:bookmarkStart w:id="1789" w:name="_Toc517173442"/>
      <w:bookmarkStart w:id="1790" w:name="_Toc517175116"/>
      <w:bookmarkStart w:id="1791" w:name="_Toc517175703"/>
      <w:bookmarkStart w:id="1792" w:name="_Toc517176291"/>
      <w:bookmarkStart w:id="1793" w:name="_Toc517337616"/>
      <w:bookmarkStart w:id="1794" w:name="_Toc517360412"/>
      <w:bookmarkStart w:id="1795" w:name="_Toc143779178"/>
      <w:bookmarkStart w:id="1796" w:name="_Toc208302366"/>
      <w:bookmarkStart w:id="1797" w:name="_Toc208321582"/>
      <w:bookmarkStart w:id="1798" w:name="_Toc208420080"/>
      <w:bookmarkStart w:id="1799" w:name="_Toc225504316"/>
      <w:bookmarkStart w:id="1800" w:name="_Toc225772405"/>
      <w:bookmarkStart w:id="1801" w:name="_Toc233626274"/>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rsidRPr="00BD4241">
        <w:t>040/363-08 : Immeubles reliés ou reliables au réseau d'égouts</w:t>
      </w:r>
      <w:bookmarkEnd w:id="1795"/>
      <w:bookmarkEnd w:id="1796"/>
      <w:bookmarkEnd w:id="1797"/>
      <w:bookmarkEnd w:id="1798"/>
      <w:bookmarkEnd w:id="1799"/>
      <w:bookmarkEnd w:id="1800"/>
      <w:bookmarkEnd w:id="1801"/>
      <w:r w:rsidRPr="00996D37">
        <w:t xml:space="preserve"> </w:t>
      </w:r>
      <w:bookmarkStart w:id="1802" w:name="_Toc512525489"/>
      <w:bookmarkStart w:id="1803" w:name="_Toc515896803"/>
    </w:p>
    <w:p w14:paraId="09D4934F" w14:textId="71580146" w:rsidR="00795C3E" w:rsidRPr="00B561CA" w:rsidRDefault="00795C3E" w:rsidP="00795C3E">
      <w:pPr>
        <w:spacing w:before="120"/>
        <w:rPr>
          <w:iCs/>
        </w:rPr>
      </w:pPr>
      <w:bookmarkStart w:id="1804" w:name="_Toc208302367"/>
      <w:bookmarkStart w:id="1805" w:name="_Toc208321583"/>
      <w:bookmarkStart w:id="1806" w:name="_Toc208420081"/>
      <w:bookmarkStart w:id="1807" w:name="_Toc225504317"/>
      <w:bookmarkStart w:id="1808" w:name="_Toc225772406"/>
      <w:r w:rsidRPr="00B561CA">
        <w:rPr>
          <w:iCs/>
        </w:rPr>
        <w:t>Taxe directe</w:t>
      </w:r>
      <w:bookmarkEnd w:id="1802"/>
      <w:bookmarkEnd w:id="1803"/>
      <w:bookmarkEnd w:id="1804"/>
      <w:bookmarkEnd w:id="1805"/>
      <w:bookmarkEnd w:id="1806"/>
      <w:bookmarkEnd w:id="1807"/>
      <w:bookmarkEnd w:id="1808"/>
      <w:r w:rsidRPr="00B561CA">
        <w:rPr>
          <w:iCs/>
        </w:rPr>
        <w:t xml:space="preserve"> - Modèle disponible. </w:t>
      </w:r>
    </w:p>
    <w:p w14:paraId="3B23E543" w14:textId="43DC50A9" w:rsidR="00795C3E" w:rsidRPr="00F91BDD" w:rsidRDefault="00795C3E" w:rsidP="00795C3E">
      <w:pPr>
        <w:spacing w:before="120"/>
        <w:textAlignment w:val="baseline"/>
        <w:rPr>
          <w:rFonts w:cs="Calibri Light"/>
          <w:b/>
          <w:bCs/>
        </w:rPr>
      </w:pPr>
      <w:r w:rsidRPr="00F91BDD">
        <w:rPr>
          <w:rFonts w:cs="Calibri Light"/>
        </w:rPr>
        <w:t xml:space="preserve">Taux maximum recommandé : 70,00 </w:t>
      </w:r>
      <w:r w:rsidR="00B60FC3" w:rsidRPr="00F91BDD">
        <w:rPr>
          <w:rFonts w:cs="Calibri Light"/>
        </w:rPr>
        <w:t>euros par</w:t>
      </w:r>
      <w:r w:rsidRPr="00F91BDD">
        <w:rPr>
          <w:rFonts w:cs="Calibri Light"/>
        </w:rPr>
        <w:t xml:space="preserve"> logement ou immeuble.</w:t>
      </w:r>
    </w:p>
    <w:p w14:paraId="6B1F1194" w14:textId="77777777" w:rsidR="00795C3E" w:rsidRPr="00F91BDD" w:rsidRDefault="00795C3E" w:rsidP="00795C3E">
      <w:pPr>
        <w:spacing w:before="120"/>
        <w:ind w:left="708" w:hanging="708"/>
        <w:textAlignment w:val="baseline"/>
        <w:rPr>
          <w:rFonts w:cs="Calibri Light"/>
          <w:spacing w:val="-1"/>
        </w:rPr>
      </w:pPr>
      <w:r w:rsidRPr="00F91BDD">
        <w:rPr>
          <w:rFonts w:cs="Calibri Light"/>
          <w:spacing w:val="-1"/>
        </w:rPr>
        <w:t>La taxe est due par l’occupant.</w:t>
      </w:r>
    </w:p>
    <w:p w14:paraId="21F25D98" w14:textId="77777777" w:rsidR="00795C3E" w:rsidRPr="00F91BDD" w:rsidRDefault="00795C3E" w:rsidP="00795C3E">
      <w:pPr>
        <w:spacing w:before="120"/>
        <w:textAlignment w:val="baseline"/>
        <w:rPr>
          <w:rFonts w:cs="Calibri Light"/>
          <w:spacing w:val="-1"/>
        </w:rPr>
      </w:pPr>
      <w:r w:rsidRPr="00F91BDD">
        <w:rPr>
          <w:rFonts w:cs="Calibri Light"/>
        </w:rPr>
        <w:lastRenderedPageBreak/>
        <w:t>Dans</w:t>
      </w:r>
      <w:r w:rsidRPr="00F91BDD">
        <w:rPr>
          <w:rFonts w:cs="Calibri Light"/>
          <w:spacing w:val="-1"/>
        </w:rPr>
        <w:t xml:space="preserve"> l’hypothèse d’un immeuble à appartements, la taxe est due par l’occupant de chaque logement.</w:t>
      </w:r>
    </w:p>
    <w:p w14:paraId="40346969" w14:textId="77777777" w:rsidR="00B60FC3" w:rsidRDefault="00795C3E" w:rsidP="001B36D8">
      <w:pPr>
        <w:rPr>
          <w:rFonts w:cs="Calibri Light"/>
          <w:spacing w:val="-1"/>
        </w:rPr>
      </w:pPr>
      <w:r w:rsidRPr="00F91BDD">
        <w:rPr>
          <w:rFonts w:cs="Calibri Light"/>
          <w:spacing w:val="-1"/>
        </w:rPr>
        <w:t>Ne peut faire double emploi avec 040/363-09.</w:t>
      </w:r>
    </w:p>
    <w:p w14:paraId="6C74FCAB" w14:textId="760F336A" w:rsidR="474D4AD4" w:rsidRPr="00EC2A92" w:rsidRDefault="474D4AD4" w:rsidP="001B36D8">
      <w:pPr>
        <w:rPr>
          <w:rFonts w:ascii="Times New Roman" w:eastAsia="Times New Roman" w:hAnsi="Times New Roman" w:cs="Times New Roman"/>
          <w:color w:val="000000" w:themeColor="text1"/>
        </w:rPr>
      </w:pPr>
      <w:r w:rsidRPr="00EC2A92">
        <w:rPr>
          <w:color w:val="000000" w:themeColor="text1"/>
        </w:rPr>
        <w:t xml:space="preserve">Selon l’arrêté royal du </w:t>
      </w:r>
      <w:r w:rsidR="0B6CA98D" w:rsidRPr="00EC2A92">
        <w:rPr>
          <w:color w:val="000000" w:themeColor="text1"/>
        </w:rPr>
        <w:t xml:space="preserve">3 août </w:t>
      </w:r>
      <w:r w:rsidR="62D84C6C" w:rsidRPr="00EC2A92">
        <w:rPr>
          <w:color w:val="000000" w:themeColor="text1"/>
        </w:rPr>
        <w:t>1976 portant</w:t>
      </w:r>
      <w:r w:rsidR="0B6CA98D" w:rsidRPr="00EC2A92">
        <w:rPr>
          <w:color w:val="000000" w:themeColor="text1"/>
        </w:rPr>
        <w:t xml:space="preserve"> le règlement général relatif aux déversements des eaux usées dans les eaux de surface ordinaires, dans les égouts publics et dans les voies artificielles d'écoulement des eaux pluviales</w:t>
      </w:r>
      <w:r w:rsidRPr="1200E362">
        <w:rPr>
          <w:rStyle w:val="Appelnotedebasdep"/>
          <w:color w:val="000000" w:themeColor="text1"/>
        </w:rPr>
        <w:footnoteReference w:id="91"/>
      </w:r>
      <w:r w:rsidR="7BCE6B48" w:rsidRPr="00EC2A92">
        <w:rPr>
          <w:color w:val="000000" w:themeColor="text1"/>
        </w:rPr>
        <w:t>l’</w:t>
      </w:r>
      <w:r w:rsidR="7BCE6B48" w:rsidRPr="1200E362">
        <w:rPr>
          <w:rFonts w:ascii="Times New Roman" w:eastAsia="Times New Roman" w:hAnsi="Times New Roman" w:cs="Times New Roman"/>
          <w:color w:val="000000" w:themeColor="text1"/>
        </w:rPr>
        <w:t>égout public se définit comme les voies publiques d'écoulement d'eau construites sous forme soit de conduite souterraine, soit de rigole ou de fossé à ciel ouvert et affectées à la collecte d'eaux usées</w:t>
      </w:r>
      <w:r w:rsidR="17B18EF6" w:rsidRPr="1200E362">
        <w:rPr>
          <w:rFonts w:ascii="Times New Roman" w:eastAsia="Times New Roman" w:hAnsi="Times New Roman" w:cs="Times New Roman"/>
          <w:color w:val="000000" w:themeColor="text1"/>
        </w:rPr>
        <w:t>.</w:t>
      </w:r>
    </w:p>
    <w:p w14:paraId="34F54B82" w14:textId="77777777" w:rsidR="00795C3E" w:rsidRPr="00F91BDD" w:rsidRDefault="00795C3E" w:rsidP="00795C3E">
      <w:pPr>
        <w:spacing w:before="120"/>
        <w:textAlignment w:val="baseline"/>
        <w:rPr>
          <w:rFonts w:cs="Calibri Light"/>
        </w:rPr>
      </w:pPr>
      <w:r w:rsidRPr="00F91BDD">
        <w:rPr>
          <w:rFonts w:cs="Calibri Light"/>
        </w:rPr>
        <w:t>Dans un souci de récompenser les personnes qui ont consenti un investissement en faveur de l'environnement, j'autorise les communes à établir un tarif préférentiel pour les habitations munies d'une station d'épuration individuelle.</w:t>
      </w:r>
    </w:p>
    <w:p w14:paraId="415E8D53" w14:textId="77777777" w:rsidR="00795C3E" w:rsidRPr="00F91BDD" w:rsidRDefault="00795C3E" w:rsidP="00EC2A92">
      <w:pPr>
        <w:spacing w:before="120"/>
        <w:textAlignment w:val="baseline"/>
        <w:rPr>
          <w:rFonts w:cs="Calibri Light"/>
        </w:rPr>
      </w:pPr>
      <w:r w:rsidRPr="3175478F">
        <w:rPr>
          <w:rFonts w:cs="Calibri Light"/>
        </w:rPr>
        <w:t xml:space="preserve"> Le Code règlementaire wallon de l’action sociale et la santé, en ses annexes 120, 121 et 122, prévoit que le prix mensuel de l’hébergement à charge des résidents d’une résidence-services, d’une maison de repos/home, d’un centre d’accueil de jour, de soirée et/ou de nuit, d’un centre de soin de jour ou d’un asile comprend l’évacuation de leurs déchets ainsi que les impôts relatifs à l’établissement. De ce fait, il est interdit de lever la taxe dont objet à l’égard des personnes séjournant dans ce type d’établissement. Seule une taxe sur l'établissement est admise.</w:t>
      </w:r>
      <w:r>
        <w:t xml:space="preserve"> </w:t>
      </w:r>
      <w:r w:rsidRPr="3175478F">
        <w:rPr>
          <w:rFonts w:cs="Calibri Light"/>
        </w:rPr>
        <w:t>Dans ce cadre, il conviendrait, à l’avenir, de prévoir expressément cette exonération au sein du règlement.</w:t>
      </w:r>
    </w:p>
    <w:p w14:paraId="63606D7C" w14:textId="1F0A00EE" w:rsidR="00795C3E" w:rsidRPr="00996D37" w:rsidRDefault="00795C3E" w:rsidP="35BD9115">
      <w:pPr>
        <w:pStyle w:val="Titre3"/>
        <w:rPr>
          <w:caps/>
        </w:rPr>
      </w:pPr>
      <w:bookmarkStart w:id="1809" w:name="_Toc143779179"/>
      <w:bookmarkStart w:id="1810" w:name="_Toc208420082"/>
      <w:bookmarkStart w:id="1811" w:name="_Toc225504318"/>
      <w:bookmarkStart w:id="1812" w:name="_Toc225772407"/>
      <w:bookmarkStart w:id="1813" w:name="_Toc233626275"/>
      <w:r w:rsidRPr="00BD4241">
        <w:t>040/363-09 : Entretien des égouts</w:t>
      </w:r>
      <w:bookmarkEnd w:id="1809"/>
      <w:bookmarkEnd w:id="1810"/>
      <w:bookmarkEnd w:id="1811"/>
      <w:bookmarkEnd w:id="1812"/>
      <w:bookmarkEnd w:id="1813"/>
      <w:r w:rsidRPr="00996D37">
        <w:t xml:space="preserve"> </w:t>
      </w:r>
    </w:p>
    <w:p w14:paraId="05552111" w14:textId="77777777" w:rsidR="00795C3E" w:rsidRPr="00F91BDD" w:rsidRDefault="00795C3E" w:rsidP="00795C3E">
      <w:pPr>
        <w:spacing w:before="120"/>
      </w:pPr>
      <w:r w:rsidRPr="00F91BDD">
        <w:t xml:space="preserve">Taxe directe – Modèle disponible. </w:t>
      </w:r>
    </w:p>
    <w:p w14:paraId="2DE235AF" w14:textId="0E15ABB1" w:rsidR="00795C3E" w:rsidRPr="00F91BDD" w:rsidRDefault="00795C3E" w:rsidP="00795C3E">
      <w:pPr>
        <w:spacing w:before="120"/>
        <w:textAlignment w:val="baseline"/>
        <w:rPr>
          <w:rFonts w:cs="Calibri Light"/>
          <w:spacing w:val="-1"/>
        </w:rPr>
      </w:pPr>
      <w:r w:rsidRPr="00F91BDD">
        <w:rPr>
          <w:rFonts w:cs="Calibri Light"/>
          <w:spacing w:val="-1"/>
        </w:rPr>
        <w:t xml:space="preserve">Taux maximum recommandé : </w:t>
      </w:r>
      <w:r w:rsidRPr="00F91BDD">
        <w:rPr>
          <w:rFonts w:cs="Calibri Light"/>
        </w:rPr>
        <w:t xml:space="preserve">70,00 </w:t>
      </w:r>
      <w:r w:rsidR="00F65441" w:rsidRPr="00F91BDD">
        <w:rPr>
          <w:rFonts w:cs="Calibri Light"/>
        </w:rPr>
        <w:t>euros par</w:t>
      </w:r>
      <w:r w:rsidRPr="00F91BDD">
        <w:rPr>
          <w:rFonts w:cs="Calibri Light"/>
          <w:spacing w:val="-1"/>
        </w:rPr>
        <w:t xml:space="preserve"> logement</w:t>
      </w:r>
      <w:r w:rsidRPr="00F91BDD">
        <w:t xml:space="preserve"> </w:t>
      </w:r>
      <w:r w:rsidRPr="00F91BDD">
        <w:rPr>
          <w:rFonts w:cs="Calibri Light"/>
          <w:spacing w:val="-1"/>
        </w:rPr>
        <w:t>ou immeuble.</w:t>
      </w:r>
    </w:p>
    <w:p w14:paraId="5A32505E" w14:textId="77777777" w:rsidR="00795C3E" w:rsidRPr="00F91BDD" w:rsidRDefault="00795C3E" w:rsidP="00795C3E">
      <w:pPr>
        <w:spacing w:before="120"/>
        <w:textAlignment w:val="baseline"/>
        <w:rPr>
          <w:rFonts w:cs="Calibri Light"/>
          <w:spacing w:val="-1"/>
        </w:rPr>
      </w:pPr>
      <w:r w:rsidRPr="00F91BDD">
        <w:rPr>
          <w:rFonts w:cs="Calibri Light"/>
          <w:spacing w:val="-1"/>
        </w:rPr>
        <w:t>Taxe due par l'occupant du logement. Ne peut faire double emploi avec 040/363-08.</w:t>
      </w:r>
    </w:p>
    <w:p w14:paraId="393AE06A" w14:textId="2992405B" w:rsidR="6FF8F963" w:rsidRPr="00F65441" w:rsidRDefault="6FF8F963" w:rsidP="6FFC1684">
      <w:pPr>
        <w:rPr>
          <w:color w:val="000000" w:themeColor="text1"/>
        </w:rPr>
      </w:pPr>
      <w:r w:rsidRPr="3175478F">
        <w:rPr>
          <w:color w:val="000000" w:themeColor="text1"/>
        </w:rPr>
        <w:t>Selon l’arrêté royal du 3 août 1976 portant le règlement général relatif aux déversements des eaux usées dans les eaux de surface ordinaires, dans les égouts publics et dans les voies artificielles d'écoulement des eaux pluviales</w:t>
      </w:r>
      <w:r w:rsidRPr="00F65441">
        <w:footnoteReference w:id="92"/>
      </w:r>
      <w:r w:rsidRPr="3175478F">
        <w:rPr>
          <w:color w:val="000000" w:themeColor="text1"/>
        </w:rPr>
        <w:t>l’</w:t>
      </w:r>
      <w:r w:rsidRPr="00F65441">
        <w:rPr>
          <w:color w:val="000000" w:themeColor="text1"/>
        </w:rPr>
        <w:t>égout public se définit comme les voies publiques d'écoulement d'eau construites sous forme soit de conduite souterraine, soit de rigole ou de fossé à ciel ouvert et affectées à la collecte d'eaux usées.</w:t>
      </w:r>
    </w:p>
    <w:p w14:paraId="5741FF2A" w14:textId="77777777" w:rsidR="00795C3E" w:rsidRPr="00F91BDD" w:rsidRDefault="00795C3E" w:rsidP="00EF4857">
      <w:pPr>
        <w:spacing w:before="120"/>
        <w:textAlignment w:val="baseline"/>
        <w:rPr>
          <w:rFonts w:cs="Calibri Light"/>
        </w:rPr>
      </w:pPr>
      <w:bookmarkStart w:id="1814" w:name="_Hlk38968786"/>
      <w:r w:rsidRPr="3175478F">
        <w:rPr>
          <w:rFonts w:cs="Calibri Light"/>
        </w:rPr>
        <w:t>Dans un souci de récompenser les personnes qui ont consenti un investissement en faveur de l'environnement, j'autorise les communes à établir un tarif préférentiel pour les habitations munies d'une station d'épuration individuelle.</w:t>
      </w:r>
      <w:r>
        <w:t xml:space="preserve"> Cependant, en </w:t>
      </w:r>
      <w:r w:rsidRPr="3175478F">
        <w:rPr>
          <w:rFonts w:cs="Calibri Light"/>
        </w:rPr>
        <w:t>aucun cas ce montant préférentiel ne peut être inférieur à 50 % du montant établi.</w:t>
      </w:r>
    </w:p>
    <w:bookmarkEnd w:id="1814"/>
    <w:p w14:paraId="19E6C002" w14:textId="77777777" w:rsidR="00795C3E" w:rsidRPr="00F91BDD" w:rsidRDefault="00795C3E" w:rsidP="00EF4857">
      <w:pPr>
        <w:spacing w:before="120"/>
        <w:textAlignment w:val="baseline"/>
        <w:rPr>
          <w:rFonts w:cs="Calibri Light"/>
        </w:rPr>
      </w:pPr>
      <w:r w:rsidRPr="3175478F">
        <w:rPr>
          <w:rFonts w:cs="Calibri Light"/>
        </w:rPr>
        <w:lastRenderedPageBreak/>
        <w:t xml:space="preserve">Dans l’hypothèse d’un immeuble à appartements, la taxe est due par l’occupant de chaque logement. </w:t>
      </w:r>
    </w:p>
    <w:p w14:paraId="4460C6B9" w14:textId="77777777" w:rsidR="00795C3E" w:rsidRPr="00F91BDD" w:rsidRDefault="00795C3E" w:rsidP="00EF4857">
      <w:pPr>
        <w:spacing w:before="120"/>
        <w:textAlignment w:val="baseline"/>
        <w:rPr>
          <w:rFonts w:cs="Calibri Light"/>
        </w:rPr>
      </w:pPr>
      <w:r w:rsidRPr="3175478F">
        <w:rPr>
          <w:rFonts w:cs="Calibri Light"/>
        </w:rPr>
        <w:t>Le Code règlementaire wallon de l’action sociale et la santé, en ses annexes 120, 121 et 122, prévoit que le prix mensuel de l’hébergement à charge des résidents d’une résidence-services, d’une maison de repos/home, d’un centre d’accueil de jour, de soirée et/ou de nuit, d’un centre de soin de jour ou d’un asile comprend l’évacuation de leurs déchets ainsi que les impôts relatifs à l’établissement. De ce fait, il est interdit de lever la taxe dont objet à l’égard des personnes séjournant dans ce type d’établissement. Seule une taxe sur l'établissement est admise. Dans ce cadre, il conviendrait, à l’avenir, de prévoir expressément cette exonération au sein du règlement.</w:t>
      </w:r>
    </w:p>
    <w:p w14:paraId="4FB4714F" w14:textId="5E995615" w:rsidR="00795C3E" w:rsidRPr="00996D37" w:rsidRDefault="00795C3E" w:rsidP="35BD9115">
      <w:pPr>
        <w:pStyle w:val="Titre3"/>
        <w:rPr>
          <w:caps/>
        </w:rPr>
      </w:pPr>
      <w:bookmarkStart w:id="1815" w:name="_Hlk38968872"/>
      <w:bookmarkStart w:id="1816" w:name="_Toc143779180"/>
      <w:bookmarkStart w:id="1817" w:name="_Toc208420083"/>
      <w:bookmarkStart w:id="1818" w:name="_Toc225504319"/>
      <w:bookmarkStart w:id="1819" w:name="_Toc225772408"/>
      <w:bookmarkStart w:id="1820" w:name="_Toc233626276"/>
      <w:r w:rsidRPr="00BD4241">
        <w:t xml:space="preserve">04001/363-10 : </w:t>
      </w:r>
      <w:bookmarkStart w:id="1821" w:name="_Hlk69123296"/>
      <w:r w:rsidRPr="00BD4241">
        <w:t xml:space="preserve">Inhumations, dispersions </w:t>
      </w:r>
      <w:bookmarkEnd w:id="1815"/>
      <w:r w:rsidRPr="00BD4241">
        <w:t>des cendres et mises en columbarium</w:t>
      </w:r>
      <w:bookmarkEnd w:id="1816"/>
      <w:bookmarkEnd w:id="1817"/>
      <w:bookmarkEnd w:id="1818"/>
      <w:bookmarkEnd w:id="1819"/>
      <w:bookmarkEnd w:id="1820"/>
      <w:r w:rsidRPr="00BD4241">
        <w:t xml:space="preserve"> </w:t>
      </w:r>
      <w:bookmarkEnd w:id="1821"/>
    </w:p>
    <w:p w14:paraId="586BD630" w14:textId="77777777" w:rsidR="00795C3E" w:rsidRPr="00F91BDD" w:rsidRDefault="00795C3E" w:rsidP="00795C3E">
      <w:pPr>
        <w:spacing w:before="120"/>
        <w:rPr>
          <w:rFonts w:cs="Calibri Light"/>
          <w:spacing w:val="-1"/>
        </w:rPr>
      </w:pPr>
      <w:r w:rsidRPr="00F91BDD">
        <w:rPr>
          <w:rFonts w:cs="Calibri Light"/>
          <w:spacing w:val="-1"/>
        </w:rPr>
        <w:t>Taxe indirecte – Modèle disponible.</w:t>
      </w:r>
    </w:p>
    <w:p w14:paraId="3C04DE42" w14:textId="4DDF3A52" w:rsidR="00795C3E" w:rsidRPr="00F91BDD" w:rsidRDefault="00795C3E" w:rsidP="00795C3E">
      <w:pPr>
        <w:spacing w:before="120"/>
        <w:textAlignment w:val="baseline"/>
        <w:rPr>
          <w:rFonts w:cs="Calibri Light"/>
          <w:spacing w:val="-1"/>
        </w:rPr>
      </w:pPr>
      <w:r w:rsidRPr="00F91BDD">
        <w:rPr>
          <w:rFonts w:cs="Calibri Light"/>
          <w:spacing w:val="-1"/>
        </w:rPr>
        <w:t xml:space="preserve">Taux maximum recommandé : 420,00 </w:t>
      </w:r>
      <w:r w:rsidR="00F65441" w:rsidRPr="00F91BDD">
        <w:rPr>
          <w:rFonts w:cs="Calibri Light"/>
          <w:spacing w:val="-1"/>
        </w:rPr>
        <w:t>euros.</w:t>
      </w:r>
    </w:p>
    <w:p w14:paraId="21CF5641" w14:textId="77777777" w:rsidR="00795C3E" w:rsidRDefault="00795C3E" w:rsidP="00795C3E">
      <w:pPr>
        <w:spacing w:before="120"/>
        <w:textAlignment w:val="baseline"/>
        <w:rPr>
          <w:rFonts w:cs="Calibri Light"/>
        </w:rPr>
      </w:pPr>
      <w:r w:rsidRPr="00F91BDD">
        <w:rPr>
          <w:rFonts w:cs="Calibri Light"/>
        </w:rPr>
        <w:t xml:space="preserve">L’article L 1232-17 du CDLD prévoit deux modes de sépulture qui sont l'inhumation et la dispersion ou conservation des cendres après crémation. Afin d'éviter toute discrimination fondée sur des opinions philosophiques ou religieuses, ces deux modes de sépulture doivent être taxés de manière </w:t>
      </w:r>
      <w:r w:rsidRPr="00F91BDD">
        <w:rPr>
          <w:rFonts w:cs="Calibri Light"/>
          <w:b/>
        </w:rPr>
        <w:t>identique</w:t>
      </w:r>
      <w:r w:rsidRPr="00F91BDD">
        <w:rPr>
          <w:rFonts w:cs="Calibri Light"/>
        </w:rPr>
        <w:t xml:space="preserve">. </w:t>
      </w:r>
    </w:p>
    <w:p w14:paraId="2A2CD202" w14:textId="77777777" w:rsidR="00795C3E" w:rsidRPr="00F91BDD" w:rsidRDefault="00795C3E" w:rsidP="00795C3E">
      <w:pPr>
        <w:spacing w:before="120"/>
        <w:textAlignment w:val="baseline"/>
        <w:rPr>
          <w:rFonts w:cs="Calibri Light"/>
        </w:rPr>
      </w:pPr>
      <w:r w:rsidRPr="00BE5575">
        <w:rPr>
          <w:rFonts w:cs="Calibri Light"/>
        </w:rPr>
        <w:t>L’inhumation est le placement en sépulture concédée ou non-concédée d’un cercueil, d’une enveloppe d’ensevelissement qui contient des restes mortels ou d’une urne cinéraire soit dans la terre, soit dans un caveau, soit dans une cellule de columbarium, soit dans un cavurne</w:t>
      </w:r>
      <w:r>
        <w:rPr>
          <w:rFonts w:cs="Calibri Light"/>
        </w:rPr>
        <w:t>.</w:t>
      </w:r>
    </w:p>
    <w:p w14:paraId="14815AC4" w14:textId="77777777" w:rsidR="00795C3E" w:rsidRPr="00F91BDD" w:rsidRDefault="00795C3E" w:rsidP="00795C3E">
      <w:pPr>
        <w:tabs>
          <w:tab w:val="left" w:pos="-148"/>
          <w:tab w:val="left" w:pos="0"/>
        </w:tabs>
        <w:spacing w:before="120"/>
        <w:textAlignment w:val="baseline"/>
        <w:rPr>
          <w:rFonts w:cs="Calibri Light"/>
        </w:rPr>
      </w:pPr>
      <w:r w:rsidRPr="00F91BDD">
        <w:rPr>
          <w:rFonts w:cs="Calibri Light"/>
        </w:rPr>
        <w:t xml:space="preserve">L’article L 1232-2, §5 du CDLD précise que l’inhumation, la dispersion des cendres et la mise en columbarium est </w:t>
      </w:r>
      <w:r w:rsidRPr="00F91BDD">
        <w:rPr>
          <w:rFonts w:cs="Calibri Light"/>
          <w:b/>
        </w:rPr>
        <w:t>gratuite</w:t>
      </w:r>
      <w:r w:rsidRPr="00F91BDD">
        <w:rPr>
          <w:rFonts w:cs="Calibri Light"/>
        </w:rPr>
        <w:t xml:space="preserve"> pour les indigents, les personnes inscrites dans le registre de la population, le registre des étrangers ou le registre d’attente de la commune. Cette exonération ne vise que les opérations d’inhumation, dispersion des cendres et mise en columbarium. Elle ne concerne ni la redevance pour l’octroi d’une concession ni la taxe pour l’utilisation d’un cercueil en polyester, lesquelles demeurent payantes.</w:t>
      </w:r>
    </w:p>
    <w:p w14:paraId="4183C1FB" w14:textId="77777777" w:rsidR="00795C3E" w:rsidRPr="00F91BDD" w:rsidRDefault="00795C3E" w:rsidP="00795C3E">
      <w:pPr>
        <w:tabs>
          <w:tab w:val="left" w:pos="-148"/>
          <w:tab w:val="left" w:pos="0"/>
        </w:tabs>
        <w:spacing w:before="120"/>
        <w:textAlignment w:val="baseline"/>
        <w:rPr>
          <w:rFonts w:cs="Calibri Light"/>
        </w:rPr>
      </w:pPr>
      <w:r w:rsidRPr="00F91BDD">
        <w:rPr>
          <w:rFonts w:cs="Calibri Light"/>
          <w:b/>
          <w:bCs/>
        </w:rPr>
        <w:t>L’indigent est défini</w:t>
      </w:r>
      <w:r w:rsidRPr="00F91BDD">
        <w:rPr>
          <w:rFonts w:cs="Calibri Light"/>
        </w:rPr>
        <w:t xml:space="preserve"> comme la personne, bénéficiant du statut d'indigence, accordé par la commune d'inscription au registre de la population, au registre des étrangers ou au registre d'attente, ou à défaut d'une telle inscription, par la commune sur le territoire de laquelle survient le décès, en raison de son absence de ressources ou de ressources suffisantes pour couvrir ses besoins élémentaires en référence à l'article 16 de la loi du 26 mai 2002 concernant le droit à l'intégration sociale</w:t>
      </w:r>
      <w:r w:rsidRPr="00F91BDD">
        <w:rPr>
          <w:rStyle w:val="Appelnotedebasdep"/>
          <w:rFonts w:cs="Calibri Light"/>
        </w:rPr>
        <w:footnoteReference w:id="93"/>
      </w:r>
      <w:r w:rsidRPr="00F91BDD">
        <w:rPr>
          <w:rFonts w:cs="Calibri Light"/>
        </w:rPr>
        <w:t xml:space="preserve"> ».</w:t>
      </w:r>
    </w:p>
    <w:p w14:paraId="76B59D89" w14:textId="77777777" w:rsidR="00795C3E" w:rsidRPr="00F91BDD" w:rsidRDefault="00795C3E" w:rsidP="00795C3E">
      <w:pPr>
        <w:spacing w:before="120"/>
        <w:textAlignment w:val="baseline"/>
        <w:rPr>
          <w:rFonts w:cs="Calibri Light"/>
        </w:rPr>
      </w:pPr>
      <w:r w:rsidRPr="00F91BDD">
        <w:rPr>
          <w:rFonts w:cs="Calibri Light"/>
        </w:rPr>
        <w:t>L’article L 1232-16 du CDLD précise que :</w:t>
      </w:r>
    </w:p>
    <w:p w14:paraId="30698B6E" w14:textId="77777777" w:rsidR="00795C3E" w:rsidRPr="00F91BDD" w:rsidRDefault="00795C3E">
      <w:pPr>
        <w:pStyle w:val="Paragraphedeliste"/>
        <w:numPr>
          <w:ilvl w:val="0"/>
          <w:numId w:val="31"/>
        </w:numPr>
        <w:tabs>
          <w:tab w:val="left" w:pos="-148"/>
        </w:tabs>
        <w:spacing w:before="120" w:after="120" w:line="240" w:lineRule="auto"/>
        <w:textAlignment w:val="baseline"/>
        <w:rPr>
          <w:rFonts w:cs="Calibri Light"/>
        </w:rPr>
      </w:pPr>
      <w:r w:rsidRPr="00F91BDD">
        <w:rPr>
          <w:rFonts w:cs="Calibri Light"/>
        </w:rPr>
        <w:t xml:space="preserve">Les funérailles des indigents doivent être </w:t>
      </w:r>
      <w:r w:rsidRPr="00F91BDD">
        <w:rPr>
          <w:rFonts w:cs="Calibri Light"/>
          <w:b/>
          <w:bCs/>
        </w:rPr>
        <w:t xml:space="preserve">décentes </w:t>
      </w:r>
      <w:r w:rsidRPr="00F91BDD">
        <w:rPr>
          <w:rFonts w:cs="Calibri Light"/>
        </w:rPr>
        <w:t>et conformes aux dernières volontés visées à l’article L 1232-17, §2 ;</w:t>
      </w:r>
    </w:p>
    <w:p w14:paraId="5C16BBC6" w14:textId="77777777" w:rsidR="00795C3E" w:rsidRPr="00F91BDD" w:rsidRDefault="00795C3E">
      <w:pPr>
        <w:pStyle w:val="Paragraphedeliste"/>
        <w:numPr>
          <w:ilvl w:val="0"/>
          <w:numId w:val="31"/>
        </w:numPr>
        <w:tabs>
          <w:tab w:val="left" w:pos="-148"/>
        </w:tabs>
        <w:spacing w:before="120" w:after="120" w:line="240" w:lineRule="auto"/>
        <w:textAlignment w:val="baseline"/>
        <w:rPr>
          <w:rFonts w:cs="Calibri Light"/>
        </w:rPr>
      </w:pPr>
      <w:r w:rsidRPr="00F91BDD">
        <w:rPr>
          <w:rFonts w:cs="Calibri Light"/>
        </w:rPr>
        <w:lastRenderedPageBreak/>
        <w:t xml:space="preserve">Les </w:t>
      </w:r>
      <w:r w:rsidRPr="00F91BDD">
        <w:rPr>
          <w:rFonts w:cs="Calibri Light"/>
          <w:b/>
          <w:bCs/>
        </w:rPr>
        <w:t xml:space="preserve">frais des opérations civiles </w:t>
      </w:r>
      <w:r w:rsidRPr="00F91BDD">
        <w:rPr>
          <w:rFonts w:cs="Calibri Light"/>
          <w:b/>
          <w:bCs/>
          <w:u w:val="single"/>
        </w:rPr>
        <w:t>à l’exclusion</w:t>
      </w:r>
      <w:r w:rsidRPr="00F91BDD">
        <w:rPr>
          <w:rFonts w:cs="Calibri Light"/>
        </w:rPr>
        <w:t xml:space="preserve"> des cérémonies cultuelles ou philosophiques non confessionnelles des indigents sont à charge de la commune de la région de langue française dans laquelle le défunt est inscrit au registre de la population, des étrangers ou d’attente ou, à défaut, dans laquelle le décès a eu lieu ;</w:t>
      </w:r>
    </w:p>
    <w:p w14:paraId="6F2E7956" w14:textId="77777777" w:rsidR="00795C3E" w:rsidRPr="00F91BDD" w:rsidRDefault="00795C3E">
      <w:pPr>
        <w:pStyle w:val="Paragraphedeliste"/>
        <w:numPr>
          <w:ilvl w:val="0"/>
          <w:numId w:val="31"/>
        </w:numPr>
        <w:tabs>
          <w:tab w:val="left" w:pos="-148"/>
        </w:tabs>
        <w:spacing w:before="120" w:after="120" w:line="240" w:lineRule="auto"/>
        <w:textAlignment w:val="baseline"/>
        <w:rPr>
          <w:rFonts w:cs="Calibri Light"/>
        </w:rPr>
      </w:pPr>
      <w:r w:rsidRPr="00F91BDD">
        <w:rPr>
          <w:rFonts w:cs="Calibri Light"/>
        </w:rPr>
        <w:t>Si aucune place ne leur est attribuée dans une concession préexistante les indigents sont inhumés en zone non concédée</w:t>
      </w:r>
      <w:r w:rsidRPr="00F91BDD">
        <w:rPr>
          <w:rStyle w:val="Appelnotedebasdep"/>
          <w:rFonts w:cs="Calibri Light"/>
        </w:rPr>
        <w:footnoteReference w:id="94"/>
      </w:r>
      <w:r w:rsidRPr="00F91BDD">
        <w:rPr>
          <w:rFonts w:cs="Calibri Light"/>
        </w:rPr>
        <w:t xml:space="preserve">. Si la concession préexistante est un caveau, la commune devra supporter un coût supplémentaire du fait que la législation impose que le cercueil placé dans un caveau </w:t>
      </w:r>
      <w:bookmarkStart w:id="1822" w:name="_Hlk36490769"/>
      <w:r w:rsidRPr="00F91BDD">
        <w:rPr>
          <w:rFonts w:cs="Calibri Light"/>
        </w:rPr>
        <w:t>corresponde au mode d’inhumation en caveau (enveloppe en zinc, polyester ventilé, sarcométal ventilé</w:t>
      </w:r>
      <w:bookmarkEnd w:id="1822"/>
      <w:r w:rsidRPr="00F91BDD">
        <w:rPr>
          <w:rFonts w:cs="Calibri Light"/>
        </w:rPr>
        <w:t>).</w:t>
      </w:r>
    </w:p>
    <w:p w14:paraId="64F1D359" w14:textId="77777777" w:rsidR="00795C3E" w:rsidRPr="00F91BDD" w:rsidRDefault="00795C3E" w:rsidP="00795C3E">
      <w:pPr>
        <w:tabs>
          <w:tab w:val="left" w:pos="288"/>
        </w:tabs>
        <w:spacing w:before="120"/>
        <w:ind w:left="1"/>
        <w:textAlignment w:val="baseline"/>
        <w:rPr>
          <w:rFonts w:cs="Calibri Light"/>
        </w:rPr>
      </w:pPr>
      <w:r w:rsidRPr="00F91BDD">
        <w:rPr>
          <w:rFonts w:cs="Calibri Light"/>
        </w:rPr>
        <w:t>Pour plus de détails, vous pouvez vous référer aux circulaires du 4 juin 2014 et 1er juillet 2019 relatives à la modification de la législation relative aux funérailles et sépultures.</w:t>
      </w:r>
    </w:p>
    <w:p w14:paraId="2C45E7F5" w14:textId="77777777" w:rsidR="00795C3E" w:rsidRPr="00F91BDD" w:rsidRDefault="00795C3E" w:rsidP="00795C3E">
      <w:pPr>
        <w:tabs>
          <w:tab w:val="left" w:pos="-148"/>
          <w:tab w:val="left" w:pos="504"/>
        </w:tabs>
        <w:spacing w:before="120"/>
        <w:textAlignment w:val="baseline"/>
        <w:rPr>
          <w:rFonts w:cs="Calibri Light"/>
        </w:rPr>
      </w:pPr>
      <w:r w:rsidRPr="00F91BDD">
        <w:rPr>
          <w:rFonts w:cs="Calibri Light"/>
        </w:rPr>
        <w:t>La taxe sur les inhumations et dispersion ou conservation des cendres après crémation englobant déjà les prestations effectuées par le personnel communal (par exemple : travail pour l’ouverture de caveau), il ne peut y être ajouté une redevance pour couvrir ces frais.</w:t>
      </w:r>
    </w:p>
    <w:p w14:paraId="10E067B1" w14:textId="77777777" w:rsidR="00795C3E" w:rsidRPr="00F91BDD" w:rsidRDefault="00795C3E" w:rsidP="00795C3E">
      <w:pPr>
        <w:tabs>
          <w:tab w:val="left" w:pos="-148"/>
          <w:tab w:val="left" w:pos="504"/>
        </w:tabs>
        <w:spacing w:before="120"/>
        <w:textAlignment w:val="baseline"/>
        <w:rPr>
          <w:rFonts w:cs="Calibri Light"/>
        </w:rPr>
      </w:pPr>
      <w:r w:rsidRPr="00F91BDD">
        <w:rPr>
          <w:rFonts w:cs="Calibri Light"/>
        </w:rPr>
        <w:t xml:space="preserve">La taxe sur les inhumations concerne aussi les </w:t>
      </w:r>
      <w:r w:rsidRPr="00F91BDD">
        <w:rPr>
          <w:rFonts w:cs="Calibri Light"/>
          <w:b/>
        </w:rPr>
        <w:t>inhumations surnuméraires</w:t>
      </w:r>
      <w:r w:rsidRPr="00F91BDD">
        <w:rPr>
          <w:rFonts w:cs="Calibri Light"/>
        </w:rPr>
        <w:t xml:space="preserve"> dans une concession (cette taxe est due en plus du prix éventuellement demandé pour ajouter le corps ou l’urne à la concession dont le quota est déjà atteint).</w:t>
      </w:r>
    </w:p>
    <w:p w14:paraId="0BF6A1EF" w14:textId="77777777" w:rsidR="00795C3E" w:rsidRPr="00F91BDD" w:rsidRDefault="00795C3E" w:rsidP="00795C3E">
      <w:pPr>
        <w:spacing w:before="120"/>
        <w:textAlignment w:val="baseline"/>
        <w:rPr>
          <w:rFonts w:cs="Calibri Light"/>
        </w:rPr>
      </w:pPr>
      <w:r w:rsidRPr="00F91BDD">
        <w:rPr>
          <w:rFonts w:cs="Calibri Light"/>
          <w:spacing w:val="-2"/>
        </w:rPr>
        <w:t>Il ne peut être levé aucune taxe ou rétribution sur les sépultures non concédées et provisoirement conservées à l'issue du délai de cinq ans prévus par l'article L 1232-21 du CDLD.</w:t>
      </w:r>
    </w:p>
    <w:p w14:paraId="5B811001" w14:textId="0F181C2F" w:rsidR="00795C3E" w:rsidRPr="00E26035" w:rsidRDefault="78B8D38D" w:rsidP="000D5956">
      <w:pPr>
        <w:spacing w:after="0"/>
        <w:textAlignment w:val="baseline"/>
        <w:rPr>
          <w:rFonts w:cs="Calibri Light"/>
          <w:spacing w:val="-2"/>
        </w:rPr>
      </w:pPr>
      <w:r w:rsidRPr="00E26035">
        <w:rPr>
          <w:rFonts w:cs="Calibri Light"/>
          <w:spacing w:val="-2"/>
        </w:rPr>
        <w:t xml:space="preserve">Depuis le décret du 11 avril 2024 modifiant le chapitre II du Titre III du Livre II de la première Partie du Code de la démocratie locale et de la décentralisation relatif aux funérailles et sépultures, l’article L1232-17 §4 du CDLD prévoit la possibilité de se faire inhumer avec les cendres de son animal de compagnie.  Les animaux de compagnies peuvent être inhumés plus tard que leurs propriétaires, mais uniquement dans les caveaux. Si, cette inhumation se fait en même temps que l’inhumation du propriétaire de l’animal, il n’y a pas lieu de comptabiliser des frais d’inhumation pour les animaux. Si cette inhumation se fait dans un caveau après l’inhumation du propriétaire, une redevance peut être perçue. </w:t>
      </w:r>
    </w:p>
    <w:p w14:paraId="47282046" w14:textId="77777777" w:rsidR="00795C3E" w:rsidRPr="00F91BDD" w:rsidRDefault="00795C3E" w:rsidP="00795C3E">
      <w:pPr>
        <w:spacing w:before="120"/>
        <w:textAlignment w:val="baseline"/>
        <w:rPr>
          <w:rFonts w:cs="Calibri Light"/>
          <w:spacing w:val="-2"/>
        </w:rPr>
      </w:pPr>
      <w:r w:rsidRPr="00F91BDD">
        <w:rPr>
          <w:rFonts w:cs="Calibri Light"/>
          <w:spacing w:val="-2"/>
        </w:rPr>
        <w:t>Lorsque les entreprises de pompes funèbres accomplissent des formalités auprès des administrations communales, elles n'agissent qu'en tant que mandataires et ne doivent dès lors pas être considérées comme les redevables des taxes et redevances relatives aux funérailles et sépultures.</w:t>
      </w:r>
    </w:p>
    <w:p w14:paraId="696B03C8" w14:textId="26640B5D" w:rsidR="00795C3E" w:rsidRPr="00BD4241" w:rsidRDefault="00795C3E" w:rsidP="35BD9115">
      <w:pPr>
        <w:pStyle w:val="Titre3"/>
        <w:rPr>
          <w:caps/>
        </w:rPr>
      </w:pPr>
      <w:bookmarkStart w:id="1823" w:name="_Toc208420084"/>
      <w:bookmarkStart w:id="1824" w:name="_Toc225504320"/>
      <w:bookmarkStart w:id="1825" w:name="_Toc225772409"/>
      <w:bookmarkStart w:id="1826" w:name="_Toc233626277"/>
      <w:r w:rsidRPr="00BD4241">
        <w:t>04002/363-10 : taxe sur l’utilisation de cercueils en polyester</w:t>
      </w:r>
      <w:bookmarkStart w:id="1827" w:name="_Hlk34918788"/>
      <w:bookmarkEnd w:id="1823"/>
      <w:bookmarkEnd w:id="1824"/>
      <w:bookmarkEnd w:id="1825"/>
      <w:bookmarkEnd w:id="1826"/>
    </w:p>
    <w:bookmarkEnd w:id="1827"/>
    <w:p w14:paraId="58C8B6CA" w14:textId="69DED024" w:rsidR="00795C3E" w:rsidRPr="00F91BDD" w:rsidRDefault="00795C3E" w:rsidP="00795C3E">
      <w:pPr>
        <w:spacing w:before="120"/>
        <w:rPr>
          <w:sz w:val="10"/>
          <w:szCs w:val="10"/>
        </w:rPr>
      </w:pPr>
      <w:r w:rsidRPr="00F91BDD">
        <w:t>Taxe indirecte</w:t>
      </w:r>
      <w:r>
        <w:t>.</w:t>
      </w:r>
      <w:r w:rsidR="1A674D61" w:rsidRPr="1C6C0DED">
        <w:rPr>
          <w:sz w:val="10"/>
          <w:szCs w:val="10"/>
        </w:rPr>
        <w:t>e</w:t>
      </w:r>
    </w:p>
    <w:p w14:paraId="271949D0" w14:textId="440610E5" w:rsidR="00795C3E" w:rsidRPr="00F91BDD" w:rsidRDefault="00795C3E" w:rsidP="00795C3E">
      <w:pPr>
        <w:spacing w:before="120"/>
      </w:pPr>
      <w:r w:rsidRPr="00F91BDD">
        <w:t xml:space="preserve">Taux maximum recommandé : 250,00 </w:t>
      </w:r>
      <w:r w:rsidR="00E26035" w:rsidRPr="00F91BDD">
        <w:t>euros par</w:t>
      </w:r>
      <w:r w:rsidRPr="00F91BDD">
        <w:t xml:space="preserve"> cercueil. </w:t>
      </w:r>
    </w:p>
    <w:p w14:paraId="10316FA8" w14:textId="77777777" w:rsidR="00795C3E" w:rsidRPr="00F91BDD" w:rsidRDefault="00795C3E" w:rsidP="00795C3E">
      <w:pPr>
        <w:spacing w:before="120"/>
        <w:textAlignment w:val="baseline"/>
        <w:rPr>
          <w:rFonts w:cs="Calibri Light"/>
        </w:rPr>
      </w:pPr>
      <w:r w:rsidRPr="00F91BDD">
        <w:rPr>
          <w:rFonts w:cs="Calibri Light"/>
        </w:rPr>
        <w:t xml:space="preserve">Il est indéniable que </w:t>
      </w:r>
      <w:bookmarkStart w:id="1828" w:name="_Hlk34918858"/>
      <w:r w:rsidRPr="00F91BDD">
        <w:rPr>
          <w:rFonts w:cs="Calibri Light"/>
        </w:rPr>
        <w:t xml:space="preserve">l’usage de cercueils en polyester (matériau non biodégradable) représente un coût de gestion (horaire et technique) supplémentaire ainsi qu’un coût de </w:t>
      </w:r>
      <w:r w:rsidRPr="00F91BDD">
        <w:rPr>
          <w:rFonts w:cs="Calibri Light"/>
        </w:rPr>
        <w:lastRenderedPageBreak/>
        <w:t>traitement du matériau par une filière plus onéreuse lors du recyclage de ce type de cercueils par la commune par rapport au cercueil en bois classique. Dès lors, afin d’éviter ce coût auquel devra faire face la commune lors de l’assainissement de la sépulture, il est possible de prendre une taxe pour l’utilisation de ce type de cercueil lors de l’inhumation</w:t>
      </w:r>
      <w:bookmarkEnd w:id="1828"/>
      <w:r w:rsidRPr="00F91BDD">
        <w:rPr>
          <w:rFonts w:cs="Calibri Light"/>
        </w:rPr>
        <w:t>.</w:t>
      </w:r>
    </w:p>
    <w:p w14:paraId="53953142" w14:textId="34183F39" w:rsidR="00795C3E" w:rsidRPr="00F91BDD" w:rsidRDefault="00795C3E" w:rsidP="00795C3E">
      <w:pPr>
        <w:spacing w:before="120"/>
      </w:pPr>
      <w:r w:rsidRPr="00F91BDD">
        <w:t xml:space="preserve">L’Arrêté du Gouvernement wallon du 28 mars 2019 a modifié l'arrêté du Gouvernement wallon du 29 octobre 2009 portant exécution du décret du 6 mars 2009 modifiant le chapitre II du titre III du livre II de la première partie du Code de la démocratie locale et de la décentralisation, l'arrêté du Gouvernement wallon du 3 juin 2010 déterminant les conditions sectorielles relatives aux crématoriums et enfin, l'arrêté du Gouvernement wallon du 30 juin 1994 relatif aux déchets d'activités hospitalières et de soins de santé. </w:t>
      </w:r>
      <w:r>
        <w:t xml:space="preserve">En son article 5, il </w:t>
      </w:r>
      <w:r w:rsidRPr="00F91BDD">
        <w:t xml:space="preserve">précise désormais que </w:t>
      </w:r>
      <w:r w:rsidRPr="00F91BDD">
        <w:rPr>
          <w:u w:val="single"/>
        </w:rPr>
        <w:t>seuls les cercueils fabriqués en bois massif équipés d’une doublure en zinc avec soupape, les cercueils en métal ventilés ou les cercueils en polyester ventilés peuvent être utilisés dans les sépultures en caveau</w:t>
      </w:r>
      <w:r w:rsidRPr="00F91BDD">
        <w:t>.</w:t>
      </w:r>
    </w:p>
    <w:p w14:paraId="1D8F97C8" w14:textId="77777777" w:rsidR="00795C3E" w:rsidRPr="00F91BDD" w:rsidRDefault="00795C3E" w:rsidP="00795C3E">
      <w:pPr>
        <w:spacing w:before="120"/>
        <w:textAlignment w:val="baseline"/>
        <w:rPr>
          <w:rFonts w:cs="Calibri Light"/>
        </w:rPr>
      </w:pPr>
      <w:r w:rsidRPr="00F91BDD">
        <w:rPr>
          <w:rFonts w:cs="Calibri Light"/>
          <w:u w:val="single"/>
        </w:rPr>
        <w:t>Dans les sépultures en pleine terre, seuls les cercueils fabriqués en bois massif ou « en d’autres matériaux biodégradables n’empêchant pas la décomposition naturelle et normale de la dépouille » peuvent être utilisés</w:t>
      </w:r>
      <w:r w:rsidRPr="00F91BDD">
        <w:rPr>
          <w:rFonts w:cs="Calibri Light"/>
        </w:rPr>
        <w:t xml:space="preserve">. </w:t>
      </w:r>
    </w:p>
    <w:p w14:paraId="28BE8F3A" w14:textId="53E3B508" w:rsidR="00795C3E" w:rsidRPr="00AC06C5" w:rsidRDefault="00795C3E" w:rsidP="00795C3E">
      <w:pPr>
        <w:spacing w:before="120"/>
        <w:textAlignment w:val="baseline"/>
        <w:rPr>
          <w:rFonts w:cs="Calibri Light"/>
        </w:rPr>
      </w:pPr>
      <w:r w:rsidRPr="00F91BDD">
        <w:rPr>
          <w:rFonts w:cs="Calibri Light"/>
        </w:rPr>
        <w:t>L’exonération prévue à l’article L1232-2</w:t>
      </w:r>
      <w:r w:rsidR="38660E2D" w:rsidRPr="3A0B0782">
        <w:rPr>
          <w:rFonts w:cs="Calibri Light"/>
        </w:rPr>
        <w:t>,</w:t>
      </w:r>
      <w:r w:rsidRPr="00F91BDD">
        <w:rPr>
          <w:rFonts w:cs="Calibri Light"/>
        </w:rPr>
        <w:t xml:space="preserve"> §5 du CDLD en faveur des indigents n’est pas applicable à cette taxe.</w:t>
      </w:r>
      <w:bookmarkStart w:id="1829" w:name="_Toc512525492"/>
      <w:bookmarkStart w:id="1830" w:name="_Toc515896806"/>
    </w:p>
    <w:p w14:paraId="3189670F" w14:textId="116E9BBF" w:rsidR="00795C3E" w:rsidRPr="00BD4241" w:rsidRDefault="00795C3E" w:rsidP="35BD9115">
      <w:pPr>
        <w:pStyle w:val="Titre3"/>
        <w:rPr>
          <w:caps/>
        </w:rPr>
      </w:pPr>
      <w:bookmarkStart w:id="1831" w:name="_Toc143779181"/>
      <w:bookmarkStart w:id="1832" w:name="_Toc208420085"/>
      <w:bookmarkStart w:id="1833" w:name="_Toc225504321"/>
      <w:bookmarkStart w:id="1834" w:name="_Toc225772410"/>
      <w:bookmarkStart w:id="1835" w:name="_Toc233626278"/>
      <w:r w:rsidRPr="00BD4241">
        <w:t>040/363-11 : Exhumations</w:t>
      </w:r>
      <w:bookmarkEnd w:id="1831"/>
      <w:bookmarkEnd w:id="1832"/>
      <w:bookmarkEnd w:id="1833"/>
      <w:bookmarkEnd w:id="1834"/>
      <w:bookmarkEnd w:id="1835"/>
      <w:r w:rsidRPr="00BD4241">
        <w:t xml:space="preserve"> </w:t>
      </w:r>
    </w:p>
    <w:bookmarkEnd w:id="1829"/>
    <w:bookmarkEnd w:id="1830"/>
    <w:p w14:paraId="7F436CC2" w14:textId="532D0883" w:rsidR="00795C3E" w:rsidRPr="00F91BDD" w:rsidRDefault="00795C3E" w:rsidP="00795C3E">
      <w:pPr>
        <w:spacing w:before="120"/>
        <w:textAlignment w:val="baseline"/>
        <w:rPr>
          <w:rFonts w:cs="Calibri Light"/>
        </w:rPr>
      </w:pPr>
      <w:r w:rsidRPr="1C6C0DED">
        <w:rPr>
          <w:rFonts w:cs="Calibri Light"/>
        </w:rPr>
        <w:t>Redevance</w:t>
      </w:r>
      <w:r w:rsidR="0EDB0A31" w:rsidRPr="1C6C0DED">
        <w:rPr>
          <w:rFonts w:cs="Calibri Light"/>
        </w:rPr>
        <w:t xml:space="preserve"> - Modèle disponible</w:t>
      </w:r>
    </w:p>
    <w:p w14:paraId="58B04529" w14:textId="222EE6AD" w:rsidR="00795C3E" w:rsidRPr="00F91BDD" w:rsidRDefault="00795C3E" w:rsidP="00795C3E">
      <w:pPr>
        <w:spacing w:before="120"/>
        <w:textAlignment w:val="baseline"/>
        <w:rPr>
          <w:rFonts w:cs="Calibri Light"/>
        </w:rPr>
      </w:pPr>
      <w:r w:rsidRPr="00F91BDD">
        <w:rPr>
          <w:rFonts w:cs="Calibri Light"/>
        </w:rPr>
        <w:t>Le décret du 14 février 2019</w:t>
      </w:r>
      <w:r w:rsidRPr="00F91BDD">
        <w:rPr>
          <w:rStyle w:val="Appelnotedebasdep"/>
          <w:rFonts w:cs="Calibri Light"/>
        </w:rPr>
        <w:footnoteReference w:id="95"/>
      </w:r>
      <w:r w:rsidRPr="00F91BDD">
        <w:rPr>
          <w:rFonts w:cs="Calibri Light"/>
        </w:rPr>
        <w:t xml:space="preserve"> entré en vigueur le 15 avril 2019 a apporté différents changements à la matière (art L1232-1 à 32 du CDLD). Ainsi, on relèvera notamment que :</w:t>
      </w:r>
    </w:p>
    <w:p w14:paraId="7D5A2B4E" w14:textId="77777777" w:rsidR="00795C3E" w:rsidRPr="00F91BDD" w:rsidRDefault="00795C3E">
      <w:pPr>
        <w:pStyle w:val="Paragraphedeliste"/>
        <w:numPr>
          <w:ilvl w:val="0"/>
          <w:numId w:val="33"/>
        </w:numPr>
        <w:tabs>
          <w:tab w:val="left" w:pos="284"/>
        </w:tabs>
        <w:spacing w:before="120" w:after="120" w:line="240" w:lineRule="auto"/>
        <w:contextualSpacing w:val="0"/>
        <w:textAlignment w:val="baseline"/>
        <w:rPr>
          <w:rFonts w:cs="Calibri Light"/>
        </w:rPr>
      </w:pPr>
      <w:r w:rsidRPr="00F91BDD">
        <w:rPr>
          <w:rFonts w:cs="Calibri Light"/>
        </w:rPr>
        <w:t>L’exhumation de confort est définie comme le retrait d'un cercueil ou d'une urne cinéraire de sa sépulture, à la demande de proches ou sur initiative du gestionnaire public, en vue de lui conférer un nouveau mode ou lieu de sépulture</w:t>
      </w:r>
      <w:r w:rsidRPr="00F91BDD">
        <w:rPr>
          <w:rStyle w:val="Appelnotedebasdep"/>
          <w:rFonts w:cs="Calibri Light"/>
        </w:rPr>
        <w:footnoteReference w:id="96"/>
      </w:r>
      <w:r w:rsidRPr="00F91BDD">
        <w:rPr>
          <w:rFonts w:cs="Calibri Light"/>
        </w:rPr>
        <w:t xml:space="preserve"> ;</w:t>
      </w:r>
    </w:p>
    <w:p w14:paraId="073C4161" w14:textId="01AC7EC8" w:rsidR="00795C3E" w:rsidRPr="00F91BDD" w:rsidRDefault="00795C3E">
      <w:pPr>
        <w:pStyle w:val="Paragraphedeliste"/>
        <w:numPr>
          <w:ilvl w:val="0"/>
          <w:numId w:val="33"/>
        </w:numPr>
        <w:tabs>
          <w:tab w:val="left" w:pos="284"/>
        </w:tabs>
        <w:spacing w:before="120" w:after="120" w:line="240" w:lineRule="auto"/>
        <w:contextualSpacing w:val="0"/>
        <w:textAlignment w:val="baseline"/>
        <w:rPr>
          <w:rFonts w:cs="Calibri Light"/>
        </w:rPr>
      </w:pPr>
      <w:r w:rsidRPr="00F91BDD">
        <w:rPr>
          <w:rFonts w:cs="Calibri Light"/>
        </w:rPr>
        <w:t>L’assainissement ou l’exhumation technique est défini comme le retrait, au terme de la désaffectation de la sépulture, d'un cercueil ou d'une urne cinéraire, sur initiative du gestionnaire public, impliquant le transfert des restes mortels vers l'ossuaire</w:t>
      </w:r>
      <w:r w:rsidRPr="00F91BDD">
        <w:rPr>
          <w:rStyle w:val="Appelnotedebasdep"/>
          <w:rFonts w:cs="Calibri Light"/>
        </w:rPr>
        <w:footnoteReference w:id="97"/>
      </w:r>
      <w:r w:rsidRPr="00F91BDD">
        <w:rPr>
          <w:rFonts w:cs="Calibri Light"/>
        </w:rPr>
        <w:t xml:space="preserve"> » ;</w:t>
      </w:r>
    </w:p>
    <w:p w14:paraId="2DA4EB66" w14:textId="55A8D195" w:rsidR="00795C3E" w:rsidRPr="00F91BDD" w:rsidRDefault="00795C3E">
      <w:pPr>
        <w:pStyle w:val="Paragraphedeliste"/>
        <w:numPr>
          <w:ilvl w:val="0"/>
          <w:numId w:val="33"/>
        </w:numPr>
        <w:tabs>
          <w:tab w:val="left" w:pos="284"/>
        </w:tabs>
        <w:spacing w:before="120" w:after="120" w:line="240" w:lineRule="auto"/>
        <w:contextualSpacing w:val="0"/>
        <w:textAlignment w:val="baseline"/>
        <w:rPr>
          <w:rFonts w:cs="Calibri Light"/>
        </w:rPr>
      </w:pPr>
      <w:r w:rsidRPr="00F91BDD">
        <w:rPr>
          <w:rFonts w:cs="Calibri Light"/>
        </w:rPr>
        <w:t>Aucune exhumation de confort ne peut avoir lieu sans l'autorisation du bourgmestre, e</w:t>
      </w:r>
      <w:r w:rsidRPr="00F91BDD">
        <w:rPr>
          <w:rStyle w:val="Appelnotedebasdep"/>
          <w:rFonts w:cs="Calibri Light"/>
        </w:rPr>
        <w:footnoteReference w:id="98"/>
      </w:r>
      <w:r w:rsidRPr="00F91BDD">
        <w:rPr>
          <w:rFonts w:cs="Calibri Light"/>
        </w:rPr>
        <w:t xml:space="preserve"> et en dehors des hypothèses décrites à l’article </w:t>
      </w:r>
      <w:r w:rsidR="1676E11D" w:rsidRPr="5672AB13">
        <w:rPr>
          <w:rFonts w:cs="Calibri Light"/>
        </w:rPr>
        <w:t>L1232-5</w:t>
      </w:r>
      <w:r w:rsidR="58C04601" w:rsidRPr="5672AB13">
        <w:rPr>
          <w:rFonts w:cs="Calibri Light"/>
        </w:rPr>
        <w:t>, §3</w:t>
      </w:r>
      <w:r w:rsidR="1676E11D" w:rsidRPr="5672AB13">
        <w:rPr>
          <w:rFonts w:cs="Calibri Light"/>
        </w:rPr>
        <w:t xml:space="preserve"> du CDLD</w:t>
      </w:r>
      <w:r w:rsidR="0044127F">
        <w:rPr>
          <w:rFonts w:cs="Calibri Light"/>
        </w:rPr>
        <w:t xml:space="preserve"> </w:t>
      </w:r>
      <w:r w:rsidRPr="00F91BDD">
        <w:rPr>
          <w:rFonts w:cs="Calibri Light"/>
        </w:rPr>
        <w:t xml:space="preserve">; </w:t>
      </w:r>
    </w:p>
    <w:p w14:paraId="2AE774A2" w14:textId="77777777" w:rsidR="00795C3E" w:rsidRPr="00F91BDD" w:rsidRDefault="00795C3E" w:rsidP="00795C3E">
      <w:pPr>
        <w:pStyle w:val="Paragraphedeliste"/>
        <w:tabs>
          <w:tab w:val="left" w:pos="284"/>
        </w:tabs>
        <w:spacing w:before="120"/>
        <w:ind w:left="284"/>
        <w:textAlignment w:val="baseline"/>
        <w:rPr>
          <w:rFonts w:cs="Calibri"/>
        </w:rPr>
      </w:pPr>
      <w:r w:rsidRPr="00F91BDD">
        <w:rPr>
          <w:rFonts w:cs="Calibri"/>
        </w:rPr>
        <w:t>Conformément à l’article L1232-5 du CDLD, sauf dérogation, les exhumations, qu'elles soient de confort ou techniques, sont interdites dans un délai sanitaire de huit semaines à cinq ans suivant l'inhumation.</w:t>
      </w:r>
    </w:p>
    <w:p w14:paraId="0C7236C2" w14:textId="77777777" w:rsidR="00795C3E" w:rsidRPr="00F91BDD" w:rsidRDefault="00795C3E" w:rsidP="00795C3E">
      <w:pPr>
        <w:pStyle w:val="Paragraphedeliste"/>
        <w:tabs>
          <w:tab w:val="left" w:pos="284"/>
        </w:tabs>
        <w:spacing w:before="120"/>
        <w:ind w:left="284"/>
        <w:textAlignment w:val="baseline"/>
        <w:rPr>
          <w:rFonts w:cs="Calibri"/>
        </w:rPr>
      </w:pPr>
      <w:r w:rsidRPr="00F91BDD">
        <w:rPr>
          <w:rFonts w:cs="Calibri"/>
        </w:rPr>
        <w:lastRenderedPageBreak/>
        <w:t>Les exhumations effectuées dans les huit premières semaines de l'inhumation peuvent être réalisées toute l'année.</w:t>
      </w:r>
    </w:p>
    <w:p w14:paraId="14AB6408" w14:textId="77777777" w:rsidR="00795C3E" w:rsidRPr="00F91BDD" w:rsidRDefault="00795C3E" w:rsidP="00795C3E">
      <w:pPr>
        <w:pStyle w:val="Paragraphedeliste"/>
        <w:tabs>
          <w:tab w:val="left" w:pos="284"/>
        </w:tabs>
        <w:spacing w:before="120"/>
        <w:ind w:left="284"/>
        <w:textAlignment w:val="baseline"/>
        <w:rPr>
          <w:rFonts w:cs="Calibri"/>
          <w:shd w:val="clear" w:color="auto" w:fill="FFFFFF"/>
        </w:rPr>
      </w:pPr>
      <w:r w:rsidRPr="00F91BDD">
        <w:rPr>
          <w:rFonts w:cs="Calibri"/>
        </w:rPr>
        <w:t xml:space="preserve">Ce délai ne s’applique pas </w:t>
      </w:r>
      <w:r w:rsidRPr="00F91BDD">
        <w:rPr>
          <w:rFonts w:cs="Calibri"/>
          <w:shd w:val="clear" w:color="auto" w:fill="FFFFFF"/>
        </w:rPr>
        <w:t>à l'exhumation de confort d'urnes placées en cellule de columbarium.</w:t>
      </w:r>
    </w:p>
    <w:p w14:paraId="0E293930" w14:textId="77777777" w:rsidR="00795C3E" w:rsidRPr="00F91BDD" w:rsidRDefault="00795C3E" w:rsidP="00795C3E">
      <w:pPr>
        <w:pStyle w:val="Paragraphedeliste"/>
        <w:tabs>
          <w:tab w:val="left" w:pos="284"/>
        </w:tabs>
        <w:spacing w:before="120"/>
        <w:ind w:left="284"/>
        <w:textAlignment w:val="baseline"/>
        <w:rPr>
          <w:rFonts w:cs="Calibri"/>
          <w:shd w:val="clear" w:color="auto" w:fill="FFFFFF"/>
        </w:rPr>
      </w:pPr>
      <w:r w:rsidRPr="00F91BDD">
        <w:rPr>
          <w:rFonts w:cs="Calibri"/>
        </w:rPr>
        <w:t>Les exhumations effectuées après l'échéance du délai sanitaire de cinq ans sont réalisées exclusivement entre le 15 novembre et le 15 avril.</w:t>
      </w:r>
    </w:p>
    <w:p w14:paraId="5E839557" w14:textId="77777777" w:rsidR="00795C3E" w:rsidRPr="00F91BDD" w:rsidRDefault="00795C3E">
      <w:pPr>
        <w:pStyle w:val="Paragraphedeliste"/>
        <w:numPr>
          <w:ilvl w:val="0"/>
          <w:numId w:val="33"/>
        </w:numPr>
        <w:tabs>
          <w:tab w:val="left" w:pos="284"/>
        </w:tabs>
        <w:spacing w:before="120" w:after="120" w:line="240" w:lineRule="auto"/>
        <w:contextualSpacing w:val="0"/>
        <w:textAlignment w:val="baseline"/>
        <w:rPr>
          <w:rFonts w:cs="Calibri Light"/>
        </w:rPr>
      </w:pPr>
      <w:r w:rsidRPr="00F91BDD">
        <w:rPr>
          <w:rFonts w:cs="Calibri Light"/>
        </w:rPr>
        <w:t>Les exhumations de confort de cercueils ne peuvent être réalisées que par des entreprises de pompes funèbres privées sous surveillance communale. Elles respectent les normes de sécurité et de salubrité ainsi que la mémoire des défunts</w:t>
      </w:r>
      <w:r w:rsidRPr="00F91BDD">
        <w:rPr>
          <w:rStyle w:val="Appelnotedebasdep"/>
          <w:rFonts w:cs="Calibri Light"/>
        </w:rPr>
        <w:footnoteReference w:id="99"/>
      </w:r>
      <w:r w:rsidRPr="00F91BDD">
        <w:rPr>
          <w:rFonts w:cs="Calibri Light"/>
        </w:rPr>
        <w:t>. La seule exception à cette règle est celle où l'exhumation de confort est faite à l'initiative du gestionnaire public (et dans ce cas l'autorisation visée ci-dessus prend la forme d'un arrêté actant l'opération envisagée) ;</w:t>
      </w:r>
    </w:p>
    <w:p w14:paraId="79051F91" w14:textId="41148F3D" w:rsidR="00795C3E" w:rsidRPr="00F91BDD" w:rsidRDefault="00795C3E">
      <w:pPr>
        <w:pStyle w:val="Paragraphedeliste"/>
        <w:numPr>
          <w:ilvl w:val="0"/>
          <w:numId w:val="33"/>
        </w:numPr>
        <w:tabs>
          <w:tab w:val="left" w:pos="284"/>
        </w:tabs>
        <w:spacing w:before="120" w:after="120" w:line="240" w:lineRule="auto"/>
        <w:contextualSpacing w:val="0"/>
        <w:textAlignment w:val="baseline"/>
        <w:rPr>
          <w:rFonts w:cs="Calibri Light"/>
        </w:rPr>
      </w:pPr>
      <w:r w:rsidRPr="00F91BDD">
        <w:rPr>
          <w:rFonts w:cs="Calibri Light"/>
        </w:rPr>
        <w:t xml:space="preserve">Les exhumations de confort </w:t>
      </w:r>
      <w:r w:rsidRPr="00F91BDD">
        <w:rPr>
          <w:rFonts w:cs="Calibri Light"/>
          <w:u w:val="single"/>
        </w:rPr>
        <w:t>d’urnes cinéraires</w:t>
      </w:r>
      <w:r w:rsidRPr="00F91BDD">
        <w:rPr>
          <w:rFonts w:cs="Calibri Light"/>
        </w:rPr>
        <w:t xml:space="preserve"> </w:t>
      </w:r>
      <w:r w:rsidRPr="00F91BDD">
        <w:rPr>
          <w:rFonts w:cs="Calibri Light"/>
          <w:b/>
          <w:bCs/>
        </w:rPr>
        <w:t xml:space="preserve">peuvent toujours être </w:t>
      </w:r>
      <w:r w:rsidRPr="00F91BDD">
        <w:rPr>
          <w:rFonts w:cs="Calibri Light"/>
        </w:rPr>
        <w:t>réalisées par le personnel communal.</w:t>
      </w:r>
      <w:r w:rsidRPr="00F91BDD">
        <w:t xml:space="preserve"> </w:t>
      </w:r>
      <w:r w:rsidRPr="00F91BDD">
        <w:rPr>
          <w:rFonts w:cs="Calibri Light"/>
        </w:rPr>
        <w:t xml:space="preserve">À cet effet, la commune peut percevoir une facturation sur base des frais réels ou opter pour un taux forfaitaire de maximum 550,00 </w:t>
      </w:r>
      <w:r w:rsidR="0044127F" w:rsidRPr="00F91BDD">
        <w:rPr>
          <w:rFonts w:cs="Calibri Light"/>
        </w:rPr>
        <w:t>euros par</w:t>
      </w:r>
      <w:r w:rsidRPr="00F91BDD">
        <w:rPr>
          <w:rFonts w:cs="Calibri Light"/>
        </w:rPr>
        <w:t xml:space="preserve"> exhumation d’une urne ;</w:t>
      </w:r>
    </w:p>
    <w:p w14:paraId="5498EC45" w14:textId="5CF4FBEB" w:rsidR="00795C3E" w:rsidRPr="00F91BDD" w:rsidRDefault="00795C3E">
      <w:pPr>
        <w:pStyle w:val="Paragraphedeliste"/>
        <w:numPr>
          <w:ilvl w:val="0"/>
          <w:numId w:val="33"/>
        </w:numPr>
        <w:tabs>
          <w:tab w:val="left" w:pos="284"/>
        </w:tabs>
        <w:spacing w:before="120" w:after="120" w:line="240" w:lineRule="auto"/>
        <w:contextualSpacing w:val="0"/>
        <w:textAlignment w:val="baseline"/>
        <w:rPr>
          <w:rFonts w:cs="Calibri Light"/>
        </w:rPr>
      </w:pPr>
      <w:r w:rsidRPr="00F91BDD">
        <w:rPr>
          <w:rFonts w:cs="Calibri Light"/>
        </w:rPr>
        <w:t xml:space="preserve">Dans le cadre d’une exhumation de confort (réalisée exclusivement par une entreprise de pompes funèbres privée) il est possible pour la commune de lever une </w:t>
      </w:r>
      <w:r w:rsidRPr="00F91BDD">
        <w:rPr>
          <w:rFonts w:cs="Calibri Light"/>
          <w:b/>
          <w:bCs/>
        </w:rPr>
        <w:t xml:space="preserve">redevance pour récupérer les frais administratifs et autres </w:t>
      </w:r>
      <w:r w:rsidRPr="00F91BDD">
        <w:rPr>
          <w:rFonts w:cs="Calibri Light"/>
        </w:rPr>
        <w:t xml:space="preserve">(prestation du personnel communal, surveillance communale, rédaction du procès-verbal) </w:t>
      </w:r>
      <w:r w:rsidRPr="00F91BDD">
        <w:rPr>
          <w:rFonts w:cs="Calibri Light"/>
          <w:b/>
          <w:bCs/>
        </w:rPr>
        <w:t>liés à l’exhumation faite par une société de pompes funèbres</w:t>
      </w:r>
      <w:r w:rsidRPr="00F91BDD">
        <w:rPr>
          <w:rFonts w:cs="Calibri Light"/>
        </w:rPr>
        <w:t xml:space="preserve">. Si celle-ci n’opte pas pour une facturation selon les frais réels, elle pourra adopter un taux forfaitaire dont le taux maximum recommandé est de </w:t>
      </w:r>
      <w:r w:rsidRPr="00F91BDD">
        <w:rPr>
          <w:rFonts w:cs="Calibri Light"/>
          <w:b/>
          <w:bCs/>
        </w:rPr>
        <w:t xml:space="preserve">350,00 </w:t>
      </w:r>
      <w:r w:rsidR="0044127F" w:rsidRPr="00F91BDD">
        <w:rPr>
          <w:rFonts w:cs="Calibri Light"/>
          <w:b/>
          <w:bCs/>
        </w:rPr>
        <w:t>euros</w:t>
      </w:r>
      <w:r w:rsidR="0044127F" w:rsidRPr="00F91BDD">
        <w:rPr>
          <w:rFonts w:cs="Calibri Light"/>
        </w:rPr>
        <w:t xml:space="preserve"> ;</w:t>
      </w:r>
    </w:p>
    <w:p w14:paraId="09ACF0CE" w14:textId="77777777" w:rsidR="00795C3E" w:rsidRPr="00F91BDD" w:rsidRDefault="00795C3E">
      <w:pPr>
        <w:pStyle w:val="Paragraphedeliste"/>
        <w:numPr>
          <w:ilvl w:val="0"/>
          <w:numId w:val="33"/>
        </w:numPr>
        <w:tabs>
          <w:tab w:val="left" w:pos="284"/>
        </w:tabs>
        <w:spacing w:before="120" w:after="120" w:line="240" w:lineRule="auto"/>
        <w:contextualSpacing w:val="0"/>
        <w:textAlignment w:val="baseline"/>
        <w:rPr>
          <w:rFonts w:cs="Calibri Light"/>
          <w:b/>
        </w:rPr>
      </w:pPr>
      <w:r w:rsidRPr="00F91BDD">
        <w:rPr>
          <w:rFonts w:cs="Calibri Light"/>
          <w:b/>
        </w:rPr>
        <w:t xml:space="preserve">Par contre, aucune </w:t>
      </w:r>
      <w:r w:rsidRPr="00F91BDD">
        <w:rPr>
          <w:rFonts w:cs="Calibri Light"/>
          <w:b/>
          <w:bCs/>
        </w:rPr>
        <w:t>redevance n</w:t>
      </w:r>
      <w:r w:rsidRPr="00F91BDD">
        <w:rPr>
          <w:rFonts w:cs="Calibri Light"/>
          <w:b/>
        </w:rPr>
        <w:t>e peut être prélevée pour les exhumations techniques</w:t>
      </w:r>
      <w:r w:rsidRPr="00F91BDD">
        <w:rPr>
          <w:rFonts w:cs="Calibri Light"/>
        </w:rPr>
        <w:t xml:space="preserve"> </w:t>
      </w:r>
      <w:r w:rsidRPr="00F91BDD">
        <w:rPr>
          <w:rFonts w:cs="Calibri Light"/>
          <w:b/>
        </w:rPr>
        <w:t>réalisées d’initiative par la commune au terme de la concession</w:t>
      </w:r>
      <w:r w:rsidRPr="00F91BDD">
        <w:rPr>
          <w:rFonts w:cs="Calibri Light"/>
        </w:rPr>
        <w:t xml:space="preserve">.  </w:t>
      </w:r>
      <w:r w:rsidRPr="00F91BDD">
        <w:rPr>
          <w:rFonts w:cs="Calibri Light"/>
          <w:bCs/>
        </w:rPr>
        <w:t>En effet, dans ce cas, il n’y a aucun service rendu à un particulier et il faut rappeler que l’assainissement est une mission communale prévue dans le prix de la concession initiale.</w:t>
      </w:r>
    </w:p>
    <w:p w14:paraId="4A9ECB3A" w14:textId="49E5017E" w:rsidR="00795C3E" w:rsidRPr="00F91BDD" w:rsidRDefault="00795C3E" w:rsidP="00795C3E">
      <w:pPr>
        <w:spacing w:before="120"/>
        <w:textAlignment w:val="baseline"/>
        <w:rPr>
          <w:rFonts w:cs="Calibri Light"/>
        </w:rPr>
      </w:pPr>
      <w:r w:rsidRPr="00F91BDD">
        <w:rPr>
          <w:rFonts w:cs="Calibri Light"/>
        </w:rPr>
        <w:t xml:space="preserve">La </w:t>
      </w:r>
      <w:r w:rsidRPr="00F91BDD">
        <w:rPr>
          <w:rFonts w:cs="Calibri Light"/>
          <w:b/>
          <w:bCs/>
        </w:rPr>
        <w:t>procédure de rassemblement des restes mortels</w:t>
      </w:r>
      <w:r w:rsidRPr="00F91BDD">
        <w:rPr>
          <w:rFonts w:cs="Calibri Light"/>
        </w:rPr>
        <w:t xml:space="preserve"> permet de lutter contre le manque de place dans les cimetières. Le rassemblement ne peut jamais se faire entre parcelles ou entre cimetières. Le rassemblement de restes mortels ne peut être réalisé qu’au sein d’un même caveau, pas pour les concessions en pleine-terre. Il est conseillé de confier cette opération aux seules entreprises de pompes funèbres et il convient de rappeler que cette opération, doit se faire à cimetière fermé et en présence d’un représentant communal. Au vu des modalités pratiques de cette mesure, il est possible de lever une </w:t>
      </w:r>
      <w:r w:rsidRPr="00F91BDD">
        <w:rPr>
          <w:rFonts w:cs="Calibri Light"/>
          <w:b/>
          <w:bCs/>
          <w:u w:val="single"/>
        </w:rPr>
        <w:t>redevance pour récupérer les frais administratifs liés au rassemblement des restes mortels</w:t>
      </w:r>
      <w:r w:rsidRPr="00F91BDD">
        <w:rPr>
          <w:rFonts w:cs="Calibri Light"/>
        </w:rPr>
        <w:t xml:space="preserve">. Si la commune n’opte pas pour une facturation selon les frais réels, elle pourra adopter un taux forfaitaire dont le taux maximum recommandé est de de </w:t>
      </w:r>
      <w:r w:rsidRPr="00F91BDD">
        <w:rPr>
          <w:rFonts w:cs="Calibri Light"/>
          <w:b/>
          <w:bCs/>
        </w:rPr>
        <w:t xml:space="preserve">350,00 </w:t>
      </w:r>
      <w:r w:rsidR="0044127F" w:rsidRPr="00F91BDD">
        <w:rPr>
          <w:rFonts w:cs="Calibri Light"/>
          <w:b/>
          <w:bCs/>
        </w:rPr>
        <w:t>euros</w:t>
      </w:r>
      <w:r w:rsidR="0044127F" w:rsidRPr="00F91BDD">
        <w:rPr>
          <w:rFonts w:cs="Calibri Light"/>
        </w:rPr>
        <w:t>.</w:t>
      </w:r>
      <w:r w:rsidRPr="00F91BDD">
        <w:rPr>
          <w:rFonts w:cs="Calibri Light"/>
        </w:rPr>
        <w:t> </w:t>
      </w:r>
    </w:p>
    <w:p w14:paraId="48E75958" w14:textId="252B9B07" w:rsidR="00795C3E" w:rsidRPr="00F91BDD" w:rsidRDefault="31092816" w:rsidP="00795C3E">
      <w:pPr>
        <w:spacing w:before="120"/>
        <w:rPr>
          <w:rFonts w:cs="Calibri Light"/>
        </w:rPr>
      </w:pPr>
      <w:r w:rsidRPr="5672AB13">
        <w:rPr>
          <w:rFonts w:cs="Calibri Light"/>
        </w:rPr>
        <w:t>L</w:t>
      </w:r>
      <w:r w:rsidR="00795C3E" w:rsidRPr="5672AB13">
        <w:rPr>
          <w:rFonts w:cs="Calibri Light"/>
        </w:rPr>
        <w:t xml:space="preserve">e Gouvernement </w:t>
      </w:r>
      <w:r w:rsidR="0AA61F7B" w:rsidRPr="5672AB13">
        <w:rPr>
          <w:rFonts w:cs="Calibri Light"/>
        </w:rPr>
        <w:t>est désormais autoris</w:t>
      </w:r>
      <w:r w:rsidR="2151F120" w:rsidRPr="5672AB13">
        <w:rPr>
          <w:rFonts w:cs="Calibri Light"/>
        </w:rPr>
        <w:t>é</w:t>
      </w:r>
      <w:r w:rsidR="00795C3E" w:rsidRPr="00F91BDD">
        <w:rPr>
          <w:rFonts w:cs="Calibri Light"/>
        </w:rPr>
        <w:t xml:space="preserve"> à déroger ponctuellement non seulement à la période d’exhumation s’étendant du 15 novembre au 15 avril, mais aussi au délai sanitaire, selon les conditions et modalités qu’il fixe </w:t>
      </w:r>
      <w:r w:rsidR="0B52DBF2" w:rsidRPr="5672AB13">
        <w:rPr>
          <w:rFonts w:cs="Calibri Light"/>
        </w:rPr>
        <w:t>(</w:t>
      </w:r>
      <w:r w:rsidR="42EC74DF" w:rsidRPr="5672AB13">
        <w:rPr>
          <w:rFonts w:cs="Calibri Light"/>
        </w:rPr>
        <w:t>a</w:t>
      </w:r>
      <w:r w:rsidR="00795C3E" w:rsidRPr="5672AB13">
        <w:rPr>
          <w:rFonts w:cs="Calibri Light"/>
        </w:rPr>
        <w:t>rticle</w:t>
      </w:r>
      <w:r w:rsidR="00795C3E" w:rsidRPr="00F91BDD">
        <w:rPr>
          <w:rFonts w:cs="Calibri Light"/>
        </w:rPr>
        <w:t xml:space="preserve"> L1232-5</w:t>
      </w:r>
      <w:r w:rsidR="1A3D193B" w:rsidRPr="5672AB13">
        <w:rPr>
          <w:rFonts w:cs="Calibri Light"/>
        </w:rPr>
        <w:t>,</w:t>
      </w:r>
      <w:r w:rsidR="00795C3E" w:rsidRPr="00F91BDD">
        <w:rPr>
          <w:rFonts w:cs="Calibri Light"/>
        </w:rPr>
        <w:t xml:space="preserve"> §2</w:t>
      </w:r>
      <w:r w:rsidR="724714CE" w:rsidRPr="5672AB13">
        <w:rPr>
          <w:rFonts w:cs="Calibri Light"/>
        </w:rPr>
        <w:t>,</w:t>
      </w:r>
      <w:r w:rsidR="00795C3E" w:rsidRPr="00F91BDD">
        <w:rPr>
          <w:rFonts w:cs="Calibri Light"/>
        </w:rPr>
        <w:t xml:space="preserve"> dernier alinéa). Tandis que la dérogation à la période d’exhumation est applicable à des chantiers d’exhumations </w:t>
      </w:r>
      <w:r w:rsidR="00795C3E" w:rsidRPr="00F91BDD">
        <w:rPr>
          <w:rFonts w:cs="Calibri Light"/>
        </w:rPr>
        <w:lastRenderedPageBreak/>
        <w:t>techniques, la dérogation au délai sanitaire est, logiquement, seulement envisageable pour des exhumations de confort.</w:t>
      </w:r>
    </w:p>
    <w:p w14:paraId="6E5B66AC" w14:textId="29726A62" w:rsidR="00795C3E" w:rsidRPr="00996D37" w:rsidRDefault="00795C3E" w:rsidP="35BD9115">
      <w:pPr>
        <w:pStyle w:val="Titre3"/>
        <w:rPr>
          <w:caps/>
        </w:rPr>
      </w:pPr>
      <w:bookmarkStart w:id="1836" w:name="_Toc143779182"/>
      <w:bookmarkStart w:id="1837" w:name="_Toc208420086"/>
      <w:bookmarkStart w:id="1838" w:name="_Toc225504322"/>
      <w:bookmarkStart w:id="1839" w:name="_Toc225772411"/>
      <w:bookmarkStart w:id="1840" w:name="_Toc233626279"/>
      <w:r w:rsidRPr="00BD4241">
        <w:t>040/363-12 : Transports funèbres</w:t>
      </w:r>
      <w:bookmarkEnd w:id="1836"/>
      <w:bookmarkEnd w:id="1837"/>
      <w:bookmarkEnd w:id="1838"/>
      <w:bookmarkEnd w:id="1839"/>
      <w:bookmarkEnd w:id="1840"/>
      <w:r w:rsidRPr="00996D37">
        <w:t xml:space="preserve"> </w:t>
      </w:r>
    </w:p>
    <w:p w14:paraId="437ECF4B" w14:textId="77777777" w:rsidR="00795C3E" w:rsidRPr="00F91BDD" w:rsidRDefault="00795C3E" w:rsidP="00795C3E">
      <w:pPr>
        <w:spacing w:before="120"/>
        <w:textAlignment w:val="baseline"/>
        <w:rPr>
          <w:rFonts w:cs="Calibri Light"/>
          <w:spacing w:val="4"/>
        </w:rPr>
      </w:pPr>
      <w:r w:rsidRPr="00F91BDD">
        <w:rPr>
          <w:rFonts w:cs="Calibri Light"/>
          <w:spacing w:val="4"/>
        </w:rPr>
        <w:t>Dans un souci de rationalisation, il a été décidé de ne plus reprendre cette taxe dans la liste des taxes de la présente circulaire. Les communes qui disposaient de cette taxe sont invitées à ne plus la renouveler.</w:t>
      </w:r>
    </w:p>
    <w:p w14:paraId="72E33EFE" w14:textId="75C6566F" w:rsidR="00795C3E" w:rsidRPr="00BD4241" w:rsidRDefault="00795C3E" w:rsidP="35BD9115">
      <w:pPr>
        <w:pStyle w:val="Titre3"/>
        <w:rPr>
          <w:caps/>
        </w:rPr>
      </w:pPr>
      <w:bookmarkStart w:id="1841" w:name="_Toc143779183"/>
      <w:bookmarkStart w:id="1842" w:name="_Toc208420087"/>
      <w:bookmarkStart w:id="1843" w:name="_Toc225504323"/>
      <w:bookmarkStart w:id="1844" w:name="_Toc225772412"/>
      <w:bookmarkStart w:id="1845" w:name="_Toc233626280"/>
      <w:r w:rsidRPr="00BD4241">
        <w:t>040/363-13 : Location de caveaux d’attente</w:t>
      </w:r>
      <w:bookmarkEnd w:id="1841"/>
      <w:bookmarkEnd w:id="1842"/>
      <w:bookmarkEnd w:id="1843"/>
      <w:bookmarkEnd w:id="1844"/>
      <w:bookmarkEnd w:id="1845"/>
    </w:p>
    <w:p w14:paraId="3DEABB1B" w14:textId="66288F19" w:rsidR="00AF5290" w:rsidRPr="00F91BDD" w:rsidRDefault="00795C3E" w:rsidP="00795C3E">
      <w:pPr>
        <w:spacing w:before="120"/>
      </w:pPr>
      <w:r w:rsidRPr="00F91BDD">
        <w:t>Redevance.</w:t>
      </w:r>
      <w:r w:rsidR="00AF5290">
        <w:t xml:space="preserve"> </w:t>
      </w:r>
    </w:p>
    <w:p w14:paraId="4BB0BE7B" w14:textId="08335F2E" w:rsidR="00795C3E" w:rsidRPr="00F91BDD" w:rsidRDefault="656F4566" w:rsidP="00795C3E">
      <w:pPr>
        <w:spacing w:before="120"/>
      </w:pPr>
      <w:r w:rsidRPr="5672AB13">
        <w:rPr>
          <w:rFonts w:cs="Calibri Light"/>
        </w:rPr>
        <w:t>Le</w:t>
      </w:r>
      <w:r w:rsidR="6BC1813B" w:rsidRPr="5672AB13">
        <w:rPr>
          <w:rFonts w:cs="Calibri Light"/>
        </w:rPr>
        <w:t xml:space="preserve"> nouvel </w:t>
      </w:r>
      <w:r w:rsidR="00795C3E" w:rsidRPr="5672AB13">
        <w:rPr>
          <w:rFonts w:cs="Calibri Light"/>
        </w:rPr>
        <w:t>article</w:t>
      </w:r>
      <w:r w:rsidR="00795C3E" w:rsidRPr="00F91BDD">
        <w:rPr>
          <w:rFonts w:cs="Calibri Light"/>
        </w:rPr>
        <w:t xml:space="preserve"> L1232-12/</w:t>
      </w:r>
      <w:r w:rsidR="00795C3E" w:rsidRPr="5672AB13">
        <w:rPr>
          <w:rFonts w:cs="Calibri Light"/>
        </w:rPr>
        <w:t>2</w:t>
      </w:r>
      <w:r w:rsidR="562BC301" w:rsidRPr="5672AB13">
        <w:rPr>
          <w:rFonts w:cs="Calibri Light"/>
        </w:rPr>
        <w:t xml:space="preserve"> du CDLD</w:t>
      </w:r>
      <w:r w:rsidR="003C3516">
        <w:rPr>
          <w:rStyle w:val="Appelnotedebasdep"/>
          <w:rFonts w:cs="Calibri Light"/>
        </w:rPr>
        <w:footnoteReference w:id="100"/>
      </w:r>
      <w:r w:rsidR="562BC301" w:rsidRPr="5672AB13">
        <w:rPr>
          <w:rFonts w:cs="Calibri Light"/>
        </w:rPr>
        <w:t xml:space="preserve"> </w:t>
      </w:r>
      <w:r w:rsidR="00795C3E">
        <w:t>insiste</w:t>
      </w:r>
      <w:r w:rsidR="00795C3E" w:rsidRPr="00F91BDD">
        <w:t xml:space="preserve"> sur le caractère temporaire du dépôt en caveau ou cellule de columbarium d’attente, une telle sépulture devant être utilisée uniquement en cas d’empêchement temporaire du mode de sépulture choisi. Ce caractère temporaire implique que le dépôt en caveau ou cellule de columbarium d’attente constitue une exception.</w:t>
      </w:r>
    </w:p>
    <w:p w14:paraId="56883FC3" w14:textId="26169B71" w:rsidR="00795C3E" w:rsidRPr="00F91BDD" w:rsidRDefault="00795C3E" w:rsidP="00795C3E">
      <w:pPr>
        <w:spacing w:before="120"/>
      </w:pPr>
      <w:r w:rsidRPr="00F91BDD">
        <w:t xml:space="preserve">La durée du dépôt en caveau ou cellule de columbarium d’attente est limitée à maximum sept semaines. C’est sur cette limitation </w:t>
      </w:r>
      <w:r w:rsidR="0EBDBDE8">
        <w:t xml:space="preserve">temporelle </w:t>
      </w:r>
      <w:r w:rsidRPr="00F91BDD">
        <w:t xml:space="preserve">que les redevances relatives à la location de caveaux et de cellules d’attente </w:t>
      </w:r>
      <w:r>
        <w:t>d</w:t>
      </w:r>
      <w:r w:rsidR="5979B0DE">
        <w:t xml:space="preserve">oivent </w:t>
      </w:r>
      <w:r w:rsidRPr="00F91BDD">
        <w:t>être adaptées</w:t>
      </w:r>
      <w:r w:rsidR="72EF109B">
        <w:t xml:space="preserve"> le cas échéant</w:t>
      </w:r>
      <w:r w:rsidRPr="00F91BDD">
        <w:t>.</w:t>
      </w:r>
    </w:p>
    <w:p w14:paraId="4402F5D4" w14:textId="25117DFC" w:rsidR="00795C3E" w:rsidRPr="00BD4241" w:rsidRDefault="00795C3E" w:rsidP="35BD9115">
      <w:pPr>
        <w:pStyle w:val="Titre3"/>
        <w:rPr>
          <w:caps/>
        </w:rPr>
      </w:pPr>
      <w:bookmarkStart w:id="1846" w:name="_Toc143779184"/>
      <w:bookmarkStart w:id="1847" w:name="_Toc208420088"/>
      <w:bookmarkStart w:id="1848" w:name="_Toc225504324"/>
      <w:bookmarkStart w:id="1849" w:name="_Toc225772413"/>
      <w:bookmarkStart w:id="1850" w:name="_Toc233626281"/>
      <w:r w:rsidRPr="00BD4241">
        <w:t>040/363-14 : Séjour à la morgue ou au dépôt mortuaire</w:t>
      </w:r>
      <w:bookmarkStart w:id="1851" w:name="_Hlk95139222"/>
      <w:bookmarkEnd w:id="1846"/>
      <w:bookmarkEnd w:id="1847"/>
      <w:bookmarkEnd w:id="1848"/>
      <w:bookmarkEnd w:id="1849"/>
      <w:bookmarkEnd w:id="1850"/>
    </w:p>
    <w:p w14:paraId="409DA5A0" w14:textId="77777777" w:rsidR="00795C3E" w:rsidRPr="00F91BDD" w:rsidRDefault="00795C3E" w:rsidP="00795C3E">
      <w:pPr>
        <w:spacing w:before="120"/>
      </w:pPr>
      <w:r w:rsidRPr="00F91BDD">
        <w:t>Redevance.</w:t>
      </w:r>
    </w:p>
    <w:p w14:paraId="7AE7BC45" w14:textId="56634DF3" w:rsidR="00795C3E" w:rsidRPr="00BD4241" w:rsidRDefault="00795C3E" w:rsidP="35BD9115">
      <w:pPr>
        <w:pStyle w:val="Titre3"/>
        <w:rPr>
          <w:caps/>
        </w:rPr>
      </w:pPr>
      <w:bookmarkStart w:id="1852" w:name="_Toc143779185"/>
      <w:bookmarkStart w:id="1853" w:name="_Toc208420089"/>
      <w:bookmarkStart w:id="1854" w:name="_Toc225504325"/>
      <w:bookmarkStart w:id="1855" w:name="_Toc225772414"/>
      <w:bookmarkStart w:id="1856" w:name="_Toc233626282"/>
      <w:bookmarkEnd w:id="1851"/>
      <w:r w:rsidRPr="00BD4241">
        <w:t>040/363-15 : Concession dans les cimetières</w:t>
      </w:r>
      <w:bookmarkEnd w:id="1852"/>
      <w:bookmarkEnd w:id="1853"/>
      <w:bookmarkEnd w:id="1854"/>
      <w:bookmarkEnd w:id="1855"/>
      <w:bookmarkEnd w:id="1856"/>
    </w:p>
    <w:p w14:paraId="272E9868" w14:textId="77777777" w:rsidR="00795C3E" w:rsidRPr="00F91BDD" w:rsidRDefault="00795C3E" w:rsidP="00795C3E">
      <w:pPr>
        <w:spacing w:before="120"/>
      </w:pPr>
      <w:r w:rsidRPr="00F91BDD">
        <w:t>Redevance.</w:t>
      </w:r>
    </w:p>
    <w:p w14:paraId="76391CC9" w14:textId="78394851" w:rsidR="00795C3E" w:rsidRPr="00F91BDD" w:rsidRDefault="00795C3E" w:rsidP="00795C3E">
      <w:pPr>
        <w:spacing w:before="120"/>
      </w:pPr>
      <w:r>
        <w:t xml:space="preserve">En utilisant les termes « tarif » et « rétribution », l'article L1232-9 du CDLD montre bien que le tarif des concessions constitue une redevance. </w:t>
      </w:r>
    </w:p>
    <w:p w14:paraId="419992A4" w14:textId="631935A7" w:rsidR="00795C3E" w:rsidRPr="00F91BDD" w:rsidRDefault="00795C3E" w:rsidP="00795C3E">
      <w:pPr>
        <w:spacing w:before="120"/>
      </w:pPr>
      <w:r>
        <w:t>Les concessions peuvent être accordées pour une durée minimum de 10 ans et pour une durée maximum de 30 ans (article L 1232-8, §1er du CDLD).</w:t>
      </w:r>
    </w:p>
    <w:p w14:paraId="3B9B74A5" w14:textId="77777777" w:rsidR="00795C3E" w:rsidRPr="00F91BDD" w:rsidRDefault="00795C3E" w:rsidP="00795C3E">
      <w:pPr>
        <w:spacing w:before="120"/>
      </w:pPr>
      <w:r w:rsidRPr="00F91BDD">
        <w:t xml:space="preserve">Comme on vise l’occupation d’une parcelle de terrain, le tarif des concessions doit être établi par m² d’occupation. </w:t>
      </w:r>
    </w:p>
    <w:p w14:paraId="55D6BA54" w14:textId="13C24E2C" w:rsidR="00795C3E" w:rsidRPr="00C972E1" w:rsidRDefault="00795C3E" w:rsidP="005C418E">
      <w:pPr>
        <w:pStyle w:val="Titre4"/>
        <w:numPr>
          <w:ilvl w:val="0"/>
          <w:numId w:val="1"/>
        </w:numPr>
      </w:pPr>
      <w:bookmarkStart w:id="1857" w:name="_Toc208420090"/>
      <w:r>
        <w:t>Parcelle en pleine terre, avec caveau, ancienne sépulture, cellule de colombarium, cavurne</w:t>
      </w:r>
      <w:bookmarkEnd w:id="1857"/>
      <w:r>
        <w:tab/>
      </w:r>
      <w:r>
        <w:tab/>
      </w:r>
      <w:r>
        <w:tab/>
      </w:r>
    </w:p>
    <w:p w14:paraId="29B700EF" w14:textId="4C56133E" w:rsidR="00795C3E" w:rsidRPr="00F91BDD" w:rsidRDefault="00795C3E">
      <w:pPr>
        <w:spacing w:before="120"/>
      </w:pPr>
      <w:r>
        <w:t xml:space="preserve">Suivant l’article L1232-7, §1er du CDLD, les concessions peuvent porter sur une parcelle en pleine terre, une parcelle avec caveau ou avec cavurne, une ancienne sépulture à laquelle il a été mis fin conformément aux articles L1232-8 ou L1232-12 et qui au terme du délai </w:t>
      </w:r>
      <w:r>
        <w:lastRenderedPageBreak/>
        <w:t>d’affichage, a fait l’objet d’un assainissement par le gestionnaire communal</w:t>
      </w:r>
      <w:r w:rsidR="5CF36692">
        <w:t xml:space="preserve">, </w:t>
      </w:r>
      <w:r>
        <w:t xml:space="preserve">ou une cellule de columbarium. </w:t>
      </w:r>
    </w:p>
    <w:p w14:paraId="6CAB912F" w14:textId="76939DE0" w:rsidR="00795C3E" w:rsidRPr="00F91BDD" w:rsidRDefault="00795C3E" w:rsidP="00795C3E">
      <w:pPr>
        <w:spacing w:before="120"/>
      </w:pPr>
      <w:r>
        <w:t>Lorsqu'il s'avère que le coût de construction</w:t>
      </w:r>
      <w:r w:rsidR="26DEC73E">
        <w:t xml:space="preserve"> </w:t>
      </w:r>
      <w:r>
        <w:t>le justifie, le prix demandé pour une concession dans une parcelle avec caveau</w:t>
      </w:r>
      <w:r w:rsidR="3DD16471">
        <w:t>/</w:t>
      </w:r>
      <w:r>
        <w:t>cavurne ou dans un columbarium pourra être plus élevé que celui prévu pour une concession en pleine terre.</w:t>
      </w:r>
    </w:p>
    <w:p w14:paraId="0CEDB967" w14:textId="4006E04A" w:rsidR="00795C3E" w:rsidRPr="00C972E1" w:rsidRDefault="00795C3E" w:rsidP="005C418E">
      <w:pPr>
        <w:pStyle w:val="Titre4"/>
        <w:numPr>
          <w:ilvl w:val="0"/>
          <w:numId w:val="1"/>
        </w:numPr>
      </w:pPr>
      <w:bookmarkStart w:id="1858" w:name="_Toc208420091"/>
      <w:r>
        <w:t>Concession avec monument</w:t>
      </w:r>
      <w:bookmarkEnd w:id="1858"/>
      <w:r>
        <w:tab/>
      </w:r>
      <w:r>
        <w:tab/>
      </w:r>
    </w:p>
    <w:p w14:paraId="16EE6BAD" w14:textId="181C835A" w:rsidR="00795C3E" w:rsidRPr="00F91BDD" w:rsidRDefault="00795C3E" w:rsidP="00795C3E">
      <w:pPr>
        <w:spacing w:before="120"/>
      </w:pPr>
      <w:r w:rsidRPr="00F91BDD">
        <w:t xml:space="preserve">Le décret du 6 mars 2009 ayant créé un nouveau type de concession </w:t>
      </w:r>
      <w:r w:rsidR="7B8ACCC0">
        <w:t>-</w:t>
      </w:r>
      <w:r w:rsidRPr="00F91BDD">
        <w:t xml:space="preserve"> la concession avec monument</w:t>
      </w:r>
      <w:r w:rsidR="37F47D2B">
        <w:t>-</w:t>
      </w:r>
      <w:r>
        <w:t>,</w:t>
      </w:r>
      <w:r w:rsidRPr="00F91BDD">
        <w:t xml:space="preserve"> un tarif spécifique pourra être prévu pour ce type de concession. </w:t>
      </w:r>
    </w:p>
    <w:p w14:paraId="53A59BB8" w14:textId="645C4326" w:rsidR="00795C3E" w:rsidRPr="00F91BDD" w:rsidRDefault="00795C3E" w:rsidP="00795C3E">
      <w:pPr>
        <w:spacing w:before="120"/>
      </w:pPr>
      <w:r w:rsidRPr="00F91BDD">
        <w:t>La revente de concession avec monument est un mode de réaffectation économique et patrimonial préexistant au décret du 6 mars 2009</w:t>
      </w:r>
      <w:r w:rsidR="72574832">
        <w:t xml:space="preserve"> ;</w:t>
      </w:r>
      <w:r w:rsidRPr="00F91BDD">
        <w:t xml:space="preserve"> ce décret la régularise. Et forcément, un tarif spécifique est appliqué : prix de la concession + forfait pour le monument avec obligation de préservation du monument. Ce tarif spécifique doit tenir compte du prix de la concession et du prix du monument (selon la situation, l’estimation d’un forfait peut être fixé entre 250 et 1.750 euros</w:t>
      </w:r>
      <w:r>
        <w:t>)</w:t>
      </w:r>
      <w:r w:rsidR="5682600D">
        <w:t>,</w:t>
      </w:r>
      <w:r w:rsidRPr="00F91BDD">
        <w:t xml:space="preserve"> mais en aucun cas des frais exposés par la commune pour l’assainissement de l’emplacement. Il est à souligner que ce type de concession comporte l’obligation pour le bénéficiaire de préserver le monument.</w:t>
      </w:r>
    </w:p>
    <w:p w14:paraId="1353D3D0" w14:textId="1633C6A8" w:rsidR="00795C3E" w:rsidRPr="00460597" w:rsidRDefault="00795C3E" w:rsidP="005C418E">
      <w:pPr>
        <w:pStyle w:val="Titre4"/>
        <w:numPr>
          <w:ilvl w:val="0"/>
          <w:numId w:val="1"/>
        </w:numPr>
      </w:pPr>
      <w:bookmarkStart w:id="1859" w:name="_Toc208420092"/>
      <w:r>
        <w:t>La parcelle des étoiles</w:t>
      </w:r>
      <w:bookmarkEnd w:id="1859"/>
      <w:r>
        <w:t> </w:t>
      </w:r>
    </w:p>
    <w:p w14:paraId="0D8C2092" w14:textId="3164AD10" w:rsidR="00795C3E" w:rsidRDefault="00795C3E" w:rsidP="000370E4">
      <w:pPr>
        <w:spacing w:before="120"/>
        <w:rPr>
          <w:rFonts w:ascii="Cambria" w:eastAsia="MS Mincho" w:hAnsi="Cambria" w:cs="Arial"/>
          <w:lang w:val="fr-FR"/>
        </w:rPr>
      </w:pPr>
      <w:r w:rsidRPr="00F91BDD">
        <w:t xml:space="preserve">Suivant l’article L1232-2, §4 du CDLD les emplacements au sein de la parcelle des étoiles (réservés aux fœtus nés sans vie entre le </w:t>
      </w:r>
      <w:r>
        <w:t>106</w:t>
      </w:r>
      <w:r w:rsidR="40A4FBA0" w:rsidRPr="000370E4">
        <w:rPr>
          <w:vertAlign w:val="superscript"/>
        </w:rPr>
        <w:t>ème</w:t>
      </w:r>
      <w:r w:rsidRPr="00F91BDD">
        <w:t xml:space="preserve"> et </w:t>
      </w:r>
      <w:r>
        <w:t>180</w:t>
      </w:r>
      <w:r w:rsidR="2F37A687" w:rsidRPr="000370E4">
        <w:rPr>
          <w:vertAlign w:val="superscript"/>
        </w:rPr>
        <w:t>ème</w:t>
      </w:r>
      <w:r w:rsidRPr="00F91BDD">
        <w:t xml:space="preserve"> jour de grossesse et </w:t>
      </w:r>
      <w:r w:rsidR="3FC03F1A">
        <w:t>aux</w:t>
      </w:r>
      <w:r w:rsidRPr="00F91BDD">
        <w:t xml:space="preserve"> enfants jusqu’à 12 ans) sont concédés </w:t>
      </w:r>
      <w:r w:rsidRPr="00F91BDD">
        <w:rPr>
          <w:b/>
          <w:bCs/>
        </w:rPr>
        <w:t>gratuitement</w:t>
      </w:r>
      <w:r w:rsidRPr="00F91BDD">
        <w:t xml:space="preserve"> pour une durée de trente ans, avec possibilité de renouvellements successifs pour la même durée aux conditions des articles L1232-7, L1232-8, </w:t>
      </w:r>
      <w:r w:rsidR="55850B78">
        <w:t>§2 et 3,</w:t>
      </w:r>
      <w:r w:rsidR="1C6C0DED">
        <w:t xml:space="preserve"> L1232-9, </w:t>
      </w:r>
      <w:r w:rsidR="46D7C6F7">
        <w:t>alinéa 1</w:t>
      </w:r>
      <w:r w:rsidR="46D7C6F7" w:rsidRPr="000370E4">
        <w:rPr>
          <w:vertAlign w:val="superscript"/>
        </w:rPr>
        <w:t>er</w:t>
      </w:r>
      <w:r w:rsidRPr="00F91BDD">
        <w:t xml:space="preserve">, L1232-11, L1232-12 et L1232-12/1. Par exception à l’article L1232-12, paragraphe 2, l’affichage pour défaut d’entretien est permis uniquement au moins </w:t>
      </w:r>
      <w:r w:rsidR="355AA6A6">
        <w:t xml:space="preserve">un an </w:t>
      </w:r>
      <w:r w:rsidRPr="00F91BDD">
        <w:t>avant le terme de la concession ou de son renouvellement.</w:t>
      </w:r>
      <w:r w:rsidRPr="004E425F">
        <w:t xml:space="preserve"> </w:t>
      </w:r>
      <w:r w:rsidRPr="00F91BDD">
        <w:t xml:space="preserve">Aussi aucune redevance ne peut être exigée par la commune lors de la réservation d’un emplacement au sein de la parcelle </w:t>
      </w:r>
      <w:r w:rsidR="2B754CBE">
        <w:t>des</w:t>
      </w:r>
      <w:r w:rsidR="004C24C0">
        <w:t xml:space="preserve"> </w:t>
      </w:r>
      <w:r w:rsidRPr="00F91BDD">
        <w:t>étoiles.</w:t>
      </w:r>
      <w:r w:rsidR="000370E4">
        <w:t xml:space="preserve"> </w:t>
      </w:r>
      <w:r w:rsidRPr="00F91BDD">
        <w:t>Ainsi</w:t>
      </w:r>
      <w:r w:rsidR="6AE11257">
        <w:t xml:space="preserve"> : </w:t>
      </w:r>
    </w:p>
    <w:p w14:paraId="68E9CC2B" w14:textId="6D63C7B3" w:rsidR="00663243" w:rsidRDefault="00795C3E">
      <w:pPr>
        <w:pStyle w:val="Paragraphedeliste"/>
        <w:numPr>
          <w:ilvl w:val="0"/>
          <w:numId w:val="126"/>
        </w:numPr>
        <w:spacing w:before="120"/>
        <w:rPr>
          <w:rFonts w:ascii="Cambria" w:eastAsia="MS Mincho" w:hAnsi="Cambria" w:cs="Arial"/>
          <w:lang w:val="fr-FR"/>
        </w:rPr>
      </w:pPr>
      <w:r w:rsidRPr="00F91BDD">
        <w:t xml:space="preserve">pour les </w:t>
      </w:r>
      <w:r w:rsidR="2B235FFB">
        <w:t xml:space="preserve">foetus, </w:t>
      </w:r>
      <w:r w:rsidR="2B235FFB" w:rsidRPr="00663243">
        <w:rPr>
          <w:rFonts w:ascii="Cambria" w:eastAsia="MS Mincho" w:hAnsi="Cambria" w:cs="Arial"/>
          <w:lang w:val="fr-FR"/>
        </w:rPr>
        <w:t xml:space="preserve">les cavotins et les emplacements pleine-terre sont possibles dans la parcelle des </w:t>
      </w:r>
      <w:r w:rsidR="33725700" w:rsidRPr="00663243">
        <w:rPr>
          <w:rFonts w:ascii="Cambria" w:eastAsia="MS Mincho" w:hAnsi="Cambria" w:cs="Arial"/>
          <w:lang w:val="fr-FR"/>
        </w:rPr>
        <w:t>é</w:t>
      </w:r>
      <w:r w:rsidR="2B235FFB" w:rsidRPr="00663243">
        <w:rPr>
          <w:rFonts w:ascii="Cambria" w:eastAsia="MS Mincho" w:hAnsi="Cambria" w:cs="Arial"/>
          <w:lang w:val="fr-FR"/>
        </w:rPr>
        <w:t xml:space="preserve">toiles.  </w:t>
      </w:r>
    </w:p>
    <w:p w14:paraId="5B95605D" w14:textId="206F4D00" w:rsidR="00795C3E" w:rsidRPr="00663243" w:rsidRDefault="00795C3E">
      <w:pPr>
        <w:pStyle w:val="Paragraphedeliste"/>
        <w:numPr>
          <w:ilvl w:val="0"/>
          <w:numId w:val="126"/>
        </w:numPr>
        <w:spacing w:before="120"/>
        <w:rPr>
          <w:rFonts w:ascii="Cambria" w:eastAsia="MS Mincho" w:hAnsi="Cambria" w:cs="Arial"/>
          <w:lang w:val="fr-FR"/>
        </w:rPr>
      </w:pPr>
      <w:r>
        <w:t xml:space="preserve">pour les </w:t>
      </w:r>
      <w:r w:rsidRPr="00F91BDD">
        <w:t>enfants jusqu’à 12 ans :</w:t>
      </w:r>
    </w:p>
    <w:p w14:paraId="2CAA7F4F" w14:textId="34656872" w:rsidR="00795C3E" w:rsidRPr="00F91BDD" w:rsidRDefault="00795C3E">
      <w:pPr>
        <w:pStyle w:val="Paragraphedeliste"/>
        <w:numPr>
          <w:ilvl w:val="0"/>
          <w:numId w:val="127"/>
        </w:numPr>
        <w:spacing w:before="120" w:after="120" w:line="240" w:lineRule="auto"/>
        <w:contextualSpacing w:val="0"/>
      </w:pPr>
      <w:r w:rsidRPr="00F91BDD">
        <w:t>Soit, ils sont enterrés seuls et cela se fait obligatoirement dans la parcelle des étoiles</w:t>
      </w:r>
      <w:r w:rsidR="359B40EA">
        <w:t>.</w:t>
      </w:r>
      <w:r w:rsidRPr="00F91BDD">
        <w:t xml:space="preserve"> </w:t>
      </w:r>
      <w:r w:rsidR="52260BBD">
        <w:t xml:space="preserve"> </w:t>
      </w:r>
      <w:r w:rsidR="495F5002" w:rsidRPr="003C707F">
        <w:t xml:space="preserve">La concession pleine-terre est la seule autorisée en parcelle des anges ou des </w:t>
      </w:r>
      <w:r w:rsidRPr="003C707F">
        <w:t>E</w:t>
      </w:r>
      <w:r w:rsidR="495F5002" w:rsidRPr="003C707F">
        <w:t xml:space="preserve">toiles POUR LES ENFANTS et est </w:t>
      </w:r>
      <w:r w:rsidR="004C24C0" w:rsidRPr="003C707F">
        <w:t>gratuite</w:t>
      </w:r>
      <w:r w:rsidR="004C24C0">
        <w:t xml:space="preserve"> ;</w:t>
      </w:r>
    </w:p>
    <w:p w14:paraId="23E2D68A" w14:textId="77777777" w:rsidR="00795C3E" w:rsidRDefault="00795C3E">
      <w:pPr>
        <w:pStyle w:val="Paragraphedeliste"/>
        <w:numPr>
          <w:ilvl w:val="0"/>
          <w:numId w:val="127"/>
        </w:numPr>
        <w:spacing w:before="120" w:after="120" w:line="240" w:lineRule="auto"/>
        <w:contextualSpacing w:val="0"/>
      </w:pPr>
      <w:r w:rsidRPr="00F91BDD">
        <w:t>Soit, ils sont enterrés dans une concession en parcelle classique et dans le cadre d’une concession familiale destinée non seulement à l’enfant mais également à ses parents.</w:t>
      </w:r>
    </w:p>
    <w:p w14:paraId="3FD4A958" w14:textId="6C15683C" w:rsidR="005C2BB4" w:rsidRPr="00F91BDD" w:rsidRDefault="005C2BB4">
      <w:pPr>
        <w:pStyle w:val="Paragraphedeliste"/>
        <w:numPr>
          <w:ilvl w:val="0"/>
          <w:numId w:val="127"/>
        </w:numPr>
        <w:spacing w:before="120" w:after="120" w:line="240" w:lineRule="auto"/>
        <w:contextualSpacing w:val="0"/>
      </w:pPr>
      <w:r>
        <w:t>Les cendres des foetus et des enfants jusqu’à 12 ans peuvent être dispersées, soit sur la parcelle des étoiles soit sur la parcelle de dispersion prévue à cet effet.</w:t>
      </w:r>
    </w:p>
    <w:p w14:paraId="504D21A2" w14:textId="59BD23BE" w:rsidR="00795C3E" w:rsidRPr="005B2224" w:rsidRDefault="00795C3E" w:rsidP="005C418E">
      <w:pPr>
        <w:pStyle w:val="Titre4"/>
        <w:numPr>
          <w:ilvl w:val="0"/>
          <w:numId w:val="1"/>
        </w:numPr>
        <w:rPr>
          <w:b/>
        </w:rPr>
      </w:pPr>
      <w:bookmarkStart w:id="1860" w:name="_Toc208420093"/>
      <w:r>
        <w:lastRenderedPageBreak/>
        <w:t>Parcelle non concédée</w:t>
      </w:r>
      <w:bookmarkEnd w:id="1860"/>
      <w:r>
        <w:tab/>
      </w:r>
      <w:r>
        <w:tab/>
      </w:r>
      <w:r>
        <w:tab/>
      </w:r>
      <w:r>
        <w:tab/>
      </w:r>
    </w:p>
    <w:p w14:paraId="3A1011DA" w14:textId="77777777" w:rsidR="00795C3E" w:rsidRPr="00F91BDD" w:rsidRDefault="00795C3E" w:rsidP="00795C3E">
      <w:pPr>
        <w:spacing w:before="120"/>
      </w:pPr>
      <w:r w:rsidRPr="00F91BDD">
        <w:t>Il ne peut être levé aucune taxe ou rétribution sur les sépultures non concédées et provisoirement conservées à l'issue du délai de cinq ans prévus par l'article L1232-21 du CDLD.</w:t>
      </w:r>
    </w:p>
    <w:p w14:paraId="1589B569" w14:textId="5AE19428" w:rsidR="00795C3E" w:rsidRPr="00F91BDD" w:rsidRDefault="00795C3E" w:rsidP="00795C3E">
      <w:pPr>
        <w:spacing w:before="120"/>
      </w:pPr>
      <w:r w:rsidRPr="00F91BDD">
        <w:t>Le renouvellement d’un emplacement non-concédé est strictement interdit</w:t>
      </w:r>
      <w:r w:rsidR="3F8013A0">
        <w:t xml:space="preserve"> ; </w:t>
      </w:r>
      <w:r w:rsidRPr="00F91BDD">
        <w:t>aucune famille ne peut demander de prolongation du délai</w:t>
      </w:r>
      <w:r w:rsidR="17093BD7">
        <w:t xml:space="preserve">. </w:t>
      </w:r>
      <w:r w:rsidRPr="00F91BDD">
        <w:t xml:space="preserve"> </w:t>
      </w:r>
      <w:r w:rsidR="20E6F06D">
        <w:t>S</w:t>
      </w:r>
      <w:r>
        <w:t>i</w:t>
      </w:r>
      <w:r w:rsidRPr="00F91BDD">
        <w:t xml:space="preserve"> une telle prolongation </w:t>
      </w:r>
      <w:r w:rsidR="6CE0208C">
        <w:t xml:space="preserve">survient, </w:t>
      </w:r>
      <w:r w:rsidRPr="00F91BDD">
        <w:t>elle n’est que le résultat d’une gestion communale déficiente.</w:t>
      </w:r>
    </w:p>
    <w:p w14:paraId="5F012F1F" w14:textId="77777777" w:rsidR="00795C3E" w:rsidRPr="00F91BDD" w:rsidRDefault="00795C3E" w:rsidP="00795C3E">
      <w:pPr>
        <w:spacing w:before="120"/>
      </w:pPr>
      <w:r w:rsidRPr="00F91BDD">
        <w:t>De manière générale, lorsqu’en matière de funérailles et sépultures les entreprises de pompes funèbres accomplissent des formalités auprès des administrations communales, elles n'agissent qu'en tant que mandataires (sous-traitants des familles) et ne doivent dès lors pas être considérées comme les redevables des taxes et redevances relatives aux funérailles et sépultures.</w:t>
      </w:r>
    </w:p>
    <w:p w14:paraId="12C9D6E7" w14:textId="6E98E94C" w:rsidR="00795C3E" w:rsidRPr="00802804" w:rsidRDefault="00795C3E" w:rsidP="35BD9115">
      <w:pPr>
        <w:pStyle w:val="Titre3"/>
        <w:rPr>
          <w:caps/>
        </w:rPr>
      </w:pPr>
      <w:bookmarkStart w:id="1861" w:name="_Toc208420094"/>
      <w:bookmarkStart w:id="1862" w:name="_Toc225504326"/>
      <w:bookmarkStart w:id="1863" w:name="_Toc225772415"/>
      <w:bookmarkStart w:id="1864" w:name="_Toc233626283"/>
      <w:r w:rsidRPr="00802804">
        <w:t>040/363-48 : Prestations diverses d’hygiène publique</w:t>
      </w:r>
      <w:bookmarkEnd w:id="1861"/>
      <w:bookmarkEnd w:id="1862"/>
      <w:bookmarkEnd w:id="1863"/>
      <w:bookmarkEnd w:id="1864"/>
    </w:p>
    <w:p w14:paraId="644622A6" w14:textId="77777777" w:rsidR="00795C3E" w:rsidRPr="00056D65" w:rsidRDefault="00795C3E" w:rsidP="00795C3E">
      <w:pPr>
        <w:spacing w:before="120"/>
      </w:pPr>
      <w:r w:rsidRPr="00056D65">
        <w:t>Taxe ou redevance.</w:t>
      </w:r>
    </w:p>
    <w:p w14:paraId="71AC2620" w14:textId="77777777" w:rsidR="00795C3E" w:rsidRPr="00F91BDD" w:rsidRDefault="00795C3E" w:rsidP="00795C3E">
      <w:pPr>
        <w:spacing w:before="120"/>
        <w:rPr>
          <w:sz w:val="2"/>
          <w:szCs w:val="2"/>
        </w:rPr>
      </w:pPr>
    </w:p>
    <w:p w14:paraId="743F8212" w14:textId="2E075FF3" w:rsidR="00795C3E" w:rsidRPr="00056D65" w:rsidRDefault="00795C3E" w:rsidP="35BD9115">
      <w:pPr>
        <w:pStyle w:val="Titre3"/>
        <w:rPr>
          <w:caps/>
        </w:rPr>
      </w:pPr>
      <w:bookmarkStart w:id="1865" w:name="_Toc143779186"/>
      <w:bookmarkStart w:id="1866" w:name="_Toc208420095"/>
      <w:bookmarkStart w:id="1867" w:name="_Toc225504327"/>
      <w:bookmarkStart w:id="1868" w:name="_Toc225772416"/>
      <w:bookmarkStart w:id="1869" w:name="_Toc233626284"/>
      <w:r w:rsidRPr="00056D65">
        <w:t>04001/363-48 : Redevance pour la propreté des trottoirs</w:t>
      </w:r>
      <w:bookmarkStart w:id="1870" w:name="_Hlk38969238"/>
      <w:bookmarkEnd w:id="1865"/>
      <w:bookmarkEnd w:id="1866"/>
      <w:bookmarkEnd w:id="1867"/>
      <w:bookmarkEnd w:id="1868"/>
      <w:bookmarkEnd w:id="1869"/>
    </w:p>
    <w:bookmarkEnd w:id="1870"/>
    <w:p w14:paraId="436DF4D5" w14:textId="10DA3DDD" w:rsidR="00795C3E" w:rsidRPr="00F91BDD" w:rsidRDefault="00795C3E" w:rsidP="00795C3E">
      <w:pPr>
        <w:spacing w:before="120"/>
        <w:textAlignment w:val="baseline"/>
        <w:rPr>
          <w:rFonts w:cs="Calibri Light"/>
        </w:rPr>
      </w:pPr>
      <w:r w:rsidRPr="00F91BDD">
        <w:rPr>
          <w:rFonts w:cs="Calibri Light"/>
        </w:rPr>
        <w:t xml:space="preserve">Lorsque les services communaux sont amenés à intervenir pour désherber un trottoir, l’idéal est – </w:t>
      </w:r>
      <w:r w:rsidR="2F27ADD7" w:rsidRPr="1C6C0DED">
        <w:rPr>
          <w:rFonts w:cs="Calibri Light"/>
        </w:rPr>
        <w:t xml:space="preserve">conformément à la notion </w:t>
      </w:r>
      <w:r w:rsidRPr="00F91BDD">
        <w:rPr>
          <w:rFonts w:cs="Calibri Light"/>
        </w:rPr>
        <w:t>de redevance – de prévoir un prélèvement couvrant les frais réellement engagés par la commune. Pour ce faire, on peut agir de la manière suivante :</w:t>
      </w:r>
    </w:p>
    <w:tbl>
      <w:tblPr>
        <w:tblW w:w="8961" w:type="dxa"/>
        <w:tblCellMar>
          <w:left w:w="0" w:type="dxa"/>
          <w:right w:w="0" w:type="dxa"/>
        </w:tblCellMar>
        <w:tblLook w:val="04A0" w:firstRow="1" w:lastRow="0" w:firstColumn="1" w:lastColumn="0" w:noHBand="0" w:noVBand="1"/>
      </w:tblPr>
      <w:tblGrid>
        <w:gridCol w:w="2242"/>
        <w:gridCol w:w="2239"/>
        <w:gridCol w:w="2241"/>
        <w:gridCol w:w="2239"/>
      </w:tblGrid>
      <w:tr w:rsidR="00795C3E" w:rsidRPr="00F91BDD" w14:paraId="63598B40" w14:textId="77777777" w:rsidTr="00F323D9">
        <w:trPr>
          <w:trHeight w:val="353"/>
        </w:trPr>
        <w:tc>
          <w:tcPr>
            <w:tcW w:w="672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5678CD" w14:textId="77777777" w:rsidR="00795C3E" w:rsidRPr="00F91BDD" w:rsidRDefault="00795C3E" w:rsidP="00F323D9">
            <w:pPr>
              <w:spacing w:before="120"/>
              <w:textAlignment w:val="baseline"/>
              <w:rPr>
                <w:rFonts w:cs="Calibri Light"/>
                <w:sz w:val="20"/>
                <w:szCs w:val="20"/>
              </w:rPr>
            </w:pPr>
          </w:p>
        </w:tc>
        <w:tc>
          <w:tcPr>
            <w:tcW w:w="22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65401E" w14:textId="77777777" w:rsidR="00795C3E" w:rsidRPr="00F91BDD" w:rsidRDefault="00795C3E" w:rsidP="00F323D9">
            <w:pPr>
              <w:spacing w:before="120"/>
              <w:jc w:val="center"/>
              <w:textAlignment w:val="baseline"/>
              <w:rPr>
                <w:rFonts w:cs="Calibri Light"/>
                <w:sz w:val="20"/>
                <w:szCs w:val="20"/>
              </w:rPr>
            </w:pPr>
            <w:r w:rsidRPr="00F91BDD">
              <w:rPr>
                <w:rFonts w:cs="Calibri Light"/>
                <w:sz w:val="20"/>
                <w:szCs w:val="20"/>
              </w:rPr>
              <w:t>Coût</w:t>
            </w:r>
          </w:p>
        </w:tc>
      </w:tr>
      <w:tr w:rsidR="00795C3E" w:rsidRPr="00F91BDD" w14:paraId="774E86B5" w14:textId="77777777" w:rsidTr="00F323D9">
        <w:trPr>
          <w:trHeight w:val="598"/>
        </w:trPr>
        <w:tc>
          <w:tcPr>
            <w:tcW w:w="22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FF39B" w14:textId="77777777" w:rsidR="00795C3E" w:rsidRPr="00F91BDD" w:rsidRDefault="00795C3E" w:rsidP="00F323D9">
            <w:pPr>
              <w:spacing w:before="120"/>
              <w:ind w:left="360"/>
              <w:textAlignment w:val="baseline"/>
              <w:rPr>
                <w:rFonts w:cs="Calibri Light"/>
                <w:sz w:val="20"/>
                <w:szCs w:val="20"/>
              </w:rPr>
            </w:pPr>
            <w:r w:rsidRPr="00F91BDD">
              <w:rPr>
                <w:rFonts w:cs="Calibri Light"/>
                <w:sz w:val="20"/>
                <w:szCs w:val="20"/>
              </w:rPr>
              <w:t>Intervention de l’ouvrier </w:t>
            </w:r>
          </w:p>
        </w:tc>
        <w:tc>
          <w:tcPr>
            <w:tcW w:w="2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718DF4" w14:textId="77777777" w:rsidR="00795C3E" w:rsidRPr="00F91BDD" w:rsidRDefault="00795C3E" w:rsidP="00F323D9">
            <w:pPr>
              <w:spacing w:before="120"/>
              <w:textAlignment w:val="baseline"/>
              <w:rPr>
                <w:rFonts w:cs="Calibri Light"/>
                <w:sz w:val="20"/>
                <w:szCs w:val="20"/>
              </w:rPr>
            </w:pPr>
            <w:r w:rsidRPr="00F91BDD">
              <w:rPr>
                <w:rFonts w:cs="Calibri Light"/>
                <w:sz w:val="20"/>
                <w:szCs w:val="20"/>
              </w:rPr>
              <w:t>Nombre d’heures prestées</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5F7ADF" w14:textId="77777777" w:rsidR="00795C3E" w:rsidRPr="00F91BDD" w:rsidRDefault="00795C3E" w:rsidP="00F323D9">
            <w:pPr>
              <w:spacing w:before="120"/>
              <w:textAlignment w:val="baseline"/>
              <w:rPr>
                <w:rFonts w:cs="Calibri Light"/>
                <w:sz w:val="20"/>
                <w:szCs w:val="20"/>
              </w:rPr>
            </w:pPr>
            <w:r w:rsidRPr="00F91BDD">
              <w:rPr>
                <w:rFonts w:cs="Calibri Light"/>
                <w:sz w:val="20"/>
                <w:szCs w:val="20"/>
              </w:rPr>
              <w:t>Coût horaire</w:t>
            </w:r>
          </w:p>
        </w:tc>
        <w:tc>
          <w:tcPr>
            <w:tcW w:w="223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4DF97D73" w14:textId="77777777" w:rsidR="00795C3E" w:rsidRPr="00F91BDD" w:rsidRDefault="00795C3E" w:rsidP="00F323D9">
            <w:pPr>
              <w:spacing w:before="120"/>
              <w:textAlignment w:val="baseline"/>
              <w:rPr>
                <w:rFonts w:cs="Calibri Light"/>
                <w:sz w:val="20"/>
                <w:szCs w:val="20"/>
              </w:rPr>
            </w:pPr>
          </w:p>
        </w:tc>
      </w:tr>
      <w:tr w:rsidR="00795C3E" w:rsidRPr="00F91BDD" w14:paraId="35240F95" w14:textId="77777777" w:rsidTr="00F323D9">
        <w:trPr>
          <w:trHeight w:val="381"/>
        </w:trPr>
        <w:tc>
          <w:tcPr>
            <w:tcW w:w="0" w:type="auto"/>
            <w:vMerge/>
            <w:tcBorders>
              <w:top w:val="nil"/>
              <w:left w:val="single" w:sz="8" w:space="0" w:color="auto"/>
              <w:bottom w:val="single" w:sz="8" w:space="0" w:color="auto"/>
              <w:right w:val="single" w:sz="8" w:space="0" w:color="auto"/>
            </w:tcBorders>
            <w:vAlign w:val="center"/>
            <w:hideMark/>
          </w:tcPr>
          <w:p w14:paraId="1A92B71B" w14:textId="77777777" w:rsidR="00795C3E" w:rsidRPr="00F91BDD" w:rsidRDefault="00795C3E" w:rsidP="00F323D9">
            <w:pPr>
              <w:spacing w:before="120"/>
              <w:textAlignment w:val="baseline"/>
              <w:rPr>
                <w:rFonts w:cs="Calibri Light"/>
                <w:sz w:val="20"/>
                <w:szCs w:val="20"/>
              </w:rPr>
            </w:pPr>
          </w:p>
        </w:tc>
        <w:tc>
          <w:tcPr>
            <w:tcW w:w="2239"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vAlign w:val="center"/>
          </w:tcPr>
          <w:p w14:paraId="09874946" w14:textId="77777777" w:rsidR="00795C3E" w:rsidRPr="00F91BDD" w:rsidRDefault="00795C3E" w:rsidP="00F323D9">
            <w:pPr>
              <w:spacing w:before="120"/>
              <w:textAlignment w:val="baseline"/>
              <w:rPr>
                <w:rFonts w:cs="Calibri Light"/>
                <w:sz w:val="20"/>
                <w:szCs w:val="20"/>
              </w:rPr>
            </w:pPr>
          </w:p>
        </w:tc>
        <w:tc>
          <w:tcPr>
            <w:tcW w:w="2240"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vAlign w:val="center"/>
          </w:tcPr>
          <w:p w14:paraId="2612BA54" w14:textId="77777777" w:rsidR="00795C3E" w:rsidRPr="00F91BDD" w:rsidRDefault="00795C3E" w:rsidP="00F323D9">
            <w:pPr>
              <w:spacing w:before="120"/>
              <w:textAlignment w:val="baseline"/>
              <w:rPr>
                <w:rFonts w:cs="Calibri Light"/>
                <w:sz w:val="20"/>
                <w:szCs w:val="20"/>
              </w:rPr>
            </w:pPr>
          </w:p>
        </w:tc>
        <w:tc>
          <w:tcPr>
            <w:tcW w:w="0" w:type="auto"/>
            <w:vMerge/>
            <w:tcBorders>
              <w:top w:val="nil"/>
              <w:left w:val="nil"/>
              <w:bottom w:val="single" w:sz="8" w:space="0" w:color="auto"/>
              <w:right w:val="single" w:sz="8" w:space="0" w:color="auto"/>
            </w:tcBorders>
            <w:vAlign w:val="center"/>
            <w:hideMark/>
          </w:tcPr>
          <w:p w14:paraId="3782EF53" w14:textId="77777777" w:rsidR="00795C3E" w:rsidRPr="00F91BDD" w:rsidRDefault="00795C3E" w:rsidP="00F323D9">
            <w:pPr>
              <w:spacing w:before="120"/>
              <w:textAlignment w:val="baseline"/>
              <w:rPr>
                <w:rFonts w:cs="Calibri Light"/>
                <w:sz w:val="20"/>
                <w:szCs w:val="20"/>
              </w:rPr>
            </w:pPr>
          </w:p>
        </w:tc>
      </w:tr>
      <w:tr w:rsidR="00795C3E" w:rsidRPr="00F91BDD" w14:paraId="15862845" w14:textId="77777777" w:rsidTr="00F323D9">
        <w:trPr>
          <w:trHeight w:val="353"/>
        </w:trPr>
        <w:tc>
          <w:tcPr>
            <w:tcW w:w="672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768518" w14:textId="77777777" w:rsidR="00795C3E" w:rsidRPr="00F91BDD" w:rsidRDefault="00795C3E" w:rsidP="00F323D9">
            <w:pPr>
              <w:spacing w:before="120"/>
              <w:ind w:left="360"/>
              <w:textAlignment w:val="baseline"/>
              <w:rPr>
                <w:rFonts w:cs="Calibri Light"/>
                <w:sz w:val="20"/>
                <w:szCs w:val="20"/>
              </w:rPr>
            </w:pPr>
            <w:r w:rsidRPr="00F91BDD">
              <w:rPr>
                <w:rFonts w:cs="Calibri Light"/>
                <w:sz w:val="20"/>
                <w:szCs w:val="20"/>
              </w:rPr>
              <w:t>Intervention d’une camionnette </w:t>
            </w:r>
          </w:p>
        </w:tc>
        <w:tc>
          <w:tcPr>
            <w:tcW w:w="2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DCCBE0" w14:textId="77777777" w:rsidR="00795C3E" w:rsidRPr="00F91BDD" w:rsidRDefault="00795C3E" w:rsidP="00F323D9">
            <w:pPr>
              <w:spacing w:before="120"/>
              <w:textAlignment w:val="baseline"/>
              <w:rPr>
                <w:rFonts w:cs="Calibri Light"/>
                <w:sz w:val="20"/>
                <w:szCs w:val="20"/>
              </w:rPr>
            </w:pPr>
          </w:p>
        </w:tc>
      </w:tr>
      <w:tr w:rsidR="00795C3E" w:rsidRPr="00F91BDD" w14:paraId="1F90A25C" w14:textId="77777777" w:rsidTr="00F323D9">
        <w:trPr>
          <w:trHeight w:val="598"/>
        </w:trPr>
        <w:tc>
          <w:tcPr>
            <w:tcW w:w="22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C39504" w14:textId="77777777" w:rsidR="00795C3E" w:rsidRPr="00F91BDD" w:rsidRDefault="00795C3E" w:rsidP="00F323D9">
            <w:pPr>
              <w:spacing w:before="120"/>
              <w:ind w:left="360"/>
              <w:textAlignment w:val="baseline"/>
              <w:rPr>
                <w:rFonts w:cs="Calibri Light"/>
                <w:sz w:val="20"/>
                <w:szCs w:val="20"/>
              </w:rPr>
            </w:pPr>
            <w:r w:rsidRPr="00F91BDD">
              <w:rPr>
                <w:rFonts w:cs="Calibri Light"/>
                <w:sz w:val="20"/>
                <w:szCs w:val="20"/>
              </w:rPr>
              <w:t>Frais de kilomètre :</w:t>
            </w:r>
          </w:p>
        </w:tc>
        <w:tc>
          <w:tcPr>
            <w:tcW w:w="2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388BE7" w14:textId="77777777" w:rsidR="00795C3E" w:rsidRPr="00F91BDD" w:rsidRDefault="00795C3E" w:rsidP="00F323D9">
            <w:pPr>
              <w:spacing w:before="120"/>
              <w:textAlignment w:val="baseline"/>
              <w:rPr>
                <w:rFonts w:cs="Calibri Light"/>
                <w:sz w:val="20"/>
                <w:szCs w:val="20"/>
              </w:rPr>
            </w:pPr>
            <w:r w:rsidRPr="00F91BDD">
              <w:rPr>
                <w:rFonts w:cs="Calibri Light"/>
                <w:sz w:val="20"/>
                <w:szCs w:val="20"/>
              </w:rPr>
              <w:t>Nombre de kilomètres parcourus</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5BE168" w14:textId="77777777" w:rsidR="00795C3E" w:rsidRPr="00F91BDD" w:rsidRDefault="00795C3E" w:rsidP="00F323D9">
            <w:pPr>
              <w:spacing w:before="120"/>
              <w:textAlignment w:val="baseline"/>
              <w:rPr>
                <w:rFonts w:cs="Calibri Light"/>
                <w:sz w:val="20"/>
                <w:szCs w:val="20"/>
              </w:rPr>
            </w:pPr>
            <w:r w:rsidRPr="00F91BDD">
              <w:rPr>
                <w:rFonts w:cs="Calibri Light"/>
                <w:sz w:val="20"/>
                <w:szCs w:val="20"/>
              </w:rPr>
              <w:t>Coût par kilomètres parcourus</w:t>
            </w:r>
          </w:p>
        </w:tc>
        <w:tc>
          <w:tcPr>
            <w:tcW w:w="223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0BE30703" w14:textId="77777777" w:rsidR="00795C3E" w:rsidRPr="00F91BDD" w:rsidRDefault="00795C3E" w:rsidP="00F323D9">
            <w:pPr>
              <w:spacing w:before="120"/>
              <w:textAlignment w:val="baseline"/>
              <w:rPr>
                <w:rFonts w:cs="Calibri Light"/>
                <w:sz w:val="20"/>
                <w:szCs w:val="20"/>
              </w:rPr>
            </w:pPr>
          </w:p>
        </w:tc>
      </w:tr>
      <w:tr w:rsidR="00795C3E" w:rsidRPr="00F91BDD" w14:paraId="712DC63C" w14:textId="77777777" w:rsidTr="00F323D9">
        <w:trPr>
          <w:trHeight w:val="367"/>
        </w:trPr>
        <w:tc>
          <w:tcPr>
            <w:tcW w:w="0" w:type="auto"/>
            <w:vMerge/>
            <w:tcBorders>
              <w:top w:val="nil"/>
              <w:left w:val="single" w:sz="8" w:space="0" w:color="auto"/>
              <w:bottom w:val="single" w:sz="8" w:space="0" w:color="auto"/>
              <w:right w:val="single" w:sz="8" w:space="0" w:color="auto"/>
            </w:tcBorders>
            <w:vAlign w:val="center"/>
            <w:hideMark/>
          </w:tcPr>
          <w:p w14:paraId="0AB1539B" w14:textId="77777777" w:rsidR="00795C3E" w:rsidRPr="00F91BDD" w:rsidRDefault="00795C3E" w:rsidP="00F323D9">
            <w:pPr>
              <w:spacing w:before="120"/>
              <w:textAlignment w:val="baseline"/>
              <w:rPr>
                <w:rFonts w:cs="Calibri Light"/>
                <w:sz w:val="20"/>
                <w:szCs w:val="20"/>
              </w:rPr>
            </w:pPr>
          </w:p>
        </w:tc>
        <w:tc>
          <w:tcPr>
            <w:tcW w:w="2239"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vAlign w:val="center"/>
          </w:tcPr>
          <w:p w14:paraId="4FE10CEB" w14:textId="77777777" w:rsidR="00795C3E" w:rsidRPr="00F91BDD" w:rsidRDefault="00795C3E" w:rsidP="00F323D9">
            <w:pPr>
              <w:spacing w:before="120"/>
              <w:textAlignment w:val="baseline"/>
              <w:rPr>
                <w:rFonts w:cs="Calibri Light"/>
                <w:sz w:val="20"/>
                <w:szCs w:val="20"/>
              </w:rPr>
            </w:pPr>
          </w:p>
        </w:tc>
        <w:tc>
          <w:tcPr>
            <w:tcW w:w="2240"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vAlign w:val="center"/>
          </w:tcPr>
          <w:p w14:paraId="07B96246" w14:textId="77777777" w:rsidR="00795C3E" w:rsidRPr="00F91BDD" w:rsidRDefault="00795C3E" w:rsidP="00F323D9">
            <w:pPr>
              <w:spacing w:before="120"/>
              <w:textAlignment w:val="baseline"/>
              <w:rPr>
                <w:rFonts w:cs="Calibri Light"/>
                <w:sz w:val="20"/>
                <w:szCs w:val="20"/>
              </w:rPr>
            </w:pPr>
          </w:p>
        </w:tc>
        <w:tc>
          <w:tcPr>
            <w:tcW w:w="0" w:type="auto"/>
            <w:vMerge/>
            <w:tcBorders>
              <w:top w:val="nil"/>
              <w:left w:val="nil"/>
              <w:bottom w:val="single" w:sz="8" w:space="0" w:color="auto"/>
              <w:right w:val="single" w:sz="8" w:space="0" w:color="auto"/>
            </w:tcBorders>
            <w:vAlign w:val="center"/>
            <w:hideMark/>
          </w:tcPr>
          <w:p w14:paraId="6DFBD52B" w14:textId="77777777" w:rsidR="00795C3E" w:rsidRPr="00F91BDD" w:rsidRDefault="00795C3E" w:rsidP="00F323D9">
            <w:pPr>
              <w:spacing w:before="120"/>
              <w:textAlignment w:val="baseline"/>
              <w:rPr>
                <w:rFonts w:cs="Calibri Light"/>
                <w:sz w:val="20"/>
                <w:szCs w:val="20"/>
              </w:rPr>
            </w:pPr>
          </w:p>
        </w:tc>
      </w:tr>
      <w:tr w:rsidR="00795C3E" w:rsidRPr="00F91BDD" w14:paraId="30D655A3" w14:textId="77777777" w:rsidTr="00F323D9">
        <w:trPr>
          <w:trHeight w:val="353"/>
        </w:trPr>
        <w:tc>
          <w:tcPr>
            <w:tcW w:w="22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1AD021" w14:textId="77777777" w:rsidR="00795C3E" w:rsidRPr="00F91BDD" w:rsidRDefault="00795C3E" w:rsidP="00F323D9">
            <w:pPr>
              <w:spacing w:before="120"/>
              <w:ind w:left="360"/>
              <w:textAlignment w:val="baseline"/>
              <w:rPr>
                <w:rFonts w:cs="Calibri Light"/>
                <w:sz w:val="20"/>
                <w:szCs w:val="20"/>
              </w:rPr>
            </w:pPr>
            <w:r w:rsidRPr="00F91BDD">
              <w:rPr>
                <w:rFonts w:cs="Calibri Light"/>
                <w:sz w:val="20"/>
                <w:szCs w:val="20"/>
              </w:rPr>
              <w:t>Frais de décharge :</w:t>
            </w:r>
          </w:p>
        </w:tc>
        <w:tc>
          <w:tcPr>
            <w:tcW w:w="2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AF3DDC" w14:textId="77777777" w:rsidR="00795C3E" w:rsidRPr="00F91BDD" w:rsidRDefault="00795C3E" w:rsidP="00F323D9">
            <w:pPr>
              <w:spacing w:before="120"/>
              <w:textAlignment w:val="baseline"/>
              <w:rPr>
                <w:rFonts w:cs="Calibri Light"/>
                <w:sz w:val="20"/>
                <w:szCs w:val="20"/>
              </w:rPr>
            </w:pPr>
            <w:r w:rsidRPr="00F91BDD">
              <w:rPr>
                <w:rFonts w:cs="Calibri Light"/>
                <w:sz w:val="20"/>
                <w:szCs w:val="20"/>
              </w:rPr>
              <w:t>Nombre de kilos</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4D96B" w14:textId="77777777" w:rsidR="00795C3E" w:rsidRPr="00F91BDD" w:rsidRDefault="00795C3E" w:rsidP="00F323D9">
            <w:pPr>
              <w:spacing w:before="120"/>
              <w:textAlignment w:val="baseline"/>
              <w:rPr>
                <w:rFonts w:cs="Calibri Light"/>
                <w:sz w:val="20"/>
                <w:szCs w:val="20"/>
              </w:rPr>
            </w:pPr>
            <w:r w:rsidRPr="00F91BDD">
              <w:rPr>
                <w:rFonts w:cs="Calibri Light"/>
                <w:sz w:val="20"/>
                <w:szCs w:val="20"/>
              </w:rPr>
              <w:t>Coût par kilos</w:t>
            </w:r>
          </w:p>
        </w:tc>
        <w:tc>
          <w:tcPr>
            <w:tcW w:w="223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1A75B610" w14:textId="77777777" w:rsidR="00795C3E" w:rsidRPr="00F91BDD" w:rsidRDefault="00795C3E" w:rsidP="00F323D9">
            <w:pPr>
              <w:spacing w:before="120"/>
              <w:textAlignment w:val="baseline"/>
              <w:rPr>
                <w:rFonts w:cs="Calibri Light"/>
                <w:sz w:val="20"/>
                <w:szCs w:val="20"/>
              </w:rPr>
            </w:pPr>
          </w:p>
        </w:tc>
      </w:tr>
      <w:tr w:rsidR="00795C3E" w:rsidRPr="00F91BDD" w14:paraId="4C5E357E" w14:textId="77777777" w:rsidTr="00F323D9">
        <w:trPr>
          <w:trHeight w:val="268"/>
        </w:trPr>
        <w:tc>
          <w:tcPr>
            <w:tcW w:w="0" w:type="auto"/>
            <w:vMerge/>
            <w:tcBorders>
              <w:top w:val="nil"/>
              <w:left w:val="single" w:sz="8" w:space="0" w:color="auto"/>
              <w:bottom w:val="single" w:sz="8" w:space="0" w:color="auto"/>
              <w:right w:val="single" w:sz="8" w:space="0" w:color="auto"/>
            </w:tcBorders>
            <w:vAlign w:val="center"/>
            <w:hideMark/>
          </w:tcPr>
          <w:p w14:paraId="29A00F2E" w14:textId="77777777" w:rsidR="00795C3E" w:rsidRPr="00F91BDD" w:rsidRDefault="00795C3E" w:rsidP="00F323D9">
            <w:pPr>
              <w:spacing w:before="120"/>
              <w:textAlignment w:val="baseline"/>
              <w:rPr>
                <w:rFonts w:cs="Calibri Light"/>
                <w:sz w:val="20"/>
                <w:szCs w:val="20"/>
              </w:rPr>
            </w:pPr>
          </w:p>
        </w:tc>
        <w:tc>
          <w:tcPr>
            <w:tcW w:w="2239"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vAlign w:val="center"/>
          </w:tcPr>
          <w:p w14:paraId="7C731DB1" w14:textId="77777777" w:rsidR="00795C3E" w:rsidRPr="00F91BDD" w:rsidRDefault="00795C3E" w:rsidP="00F323D9">
            <w:pPr>
              <w:spacing w:before="120"/>
              <w:textAlignment w:val="baseline"/>
              <w:rPr>
                <w:rFonts w:cs="Calibri Light"/>
                <w:sz w:val="20"/>
                <w:szCs w:val="20"/>
              </w:rPr>
            </w:pPr>
          </w:p>
        </w:tc>
        <w:tc>
          <w:tcPr>
            <w:tcW w:w="2240"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vAlign w:val="center"/>
          </w:tcPr>
          <w:p w14:paraId="6747022A" w14:textId="77777777" w:rsidR="00795C3E" w:rsidRPr="00F91BDD" w:rsidRDefault="00795C3E" w:rsidP="00F323D9">
            <w:pPr>
              <w:spacing w:before="120"/>
              <w:textAlignment w:val="baseline"/>
              <w:rPr>
                <w:rFonts w:cs="Calibri Light"/>
                <w:sz w:val="20"/>
                <w:szCs w:val="20"/>
              </w:rPr>
            </w:pPr>
          </w:p>
        </w:tc>
        <w:tc>
          <w:tcPr>
            <w:tcW w:w="0" w:type="auto"/>
            <w:vMerge/>
            <w:tcBorders>
              <w:top w:val="nil"/>
              <w:left w:val="nil"/>
              <w:bottom w:val="single" w:sz="8" w:space="0" w:color="auto"/>
              <w:right w:val="single" w:sz="8" w:space="0" w:color="auto"/>
            </w:tcBorders>
            <w:vAlign w:val="center"/>
            <w:hideMark/>
          </w:tcPr>
          <w:p w14:paraId="2A2AF0A2" w14:textId="77777777" w:rsidR="00795C3E" w:rsidRPr="00F91BDD" w:rsidRDefault="00795C3E" w:rsidP="00F323D9">
            <w:pPr>
              <w:spacing w:before="120"/>
              <w:textAlignment w:val="baseline"/>
              <w:rPr>
                <w:rFonts w:cs="Calibri Light"/>
                <w:sz w:val="20"/>
                <w:szCs w:val="20"/>
              </w:rPr>
            </w:pPr>
          </w:p>
        </w:tc>
      </w:tr>
      <w:tr w:rsidR="00795C3E" w:rsidRPr="00F91BDD" w14:paraId="23BC5D74" w14:textId="77777777" w:rsidTr="00F323D9">
        <w:trPr>
          <w:trHeight w:val="132"/>
        </w:trPr>
        <w:tc>
          <w:tcPr>
            <w:tcW w:w="672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36F6EB" w14:textId="77777777" w:rsidR="00795C3E" w:rsidRPr="00F91BDD" w:rsidRDefault="00795C3E" w:rsidP="00F323D9">
            <w:pPr>
              <w:spacing w:before="120"/>
              <w:textAlignment w:val="baseline"/>
              <w:rPr>
                <w:rFonts w:cs="Calibri Light"/>
                <w:sz w:val="20"/>
                <w:szCs w:val="20"/>
              </w:rPr>
            </w:pPr>
            <w:r w:rsidRPr="00F91BDD">
              <w:rPr>
                <w:rFonts w:cs="Calibri Light"/>
                <w:sz w:val="20"/>
                <w:szCs w:val="20"/>
              </w:rPr>
              <w:lastRenderedPageBreak/>
              <w:t>Montant de la redevance</w:t>
            </w:r>
          </w:p>
        </w:tc>
        <w:tc>
          <w:tcPr>
            <w:tcW w:w="2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38AB6E89" w14:textId="77777777" w:rsidR="00795C3E" w:rsidRPr="00F91BDD" w:rsidRDefault="00795C3E" w:rsidP="00F323D9">
            <w:pPr>
              <w:spacing w:before="120"/>
              <w:textAlignment w:val="baseline"/>
              <w:rPr>
                <w:rFonts w:cs="Calibri Light"/>
                <w:sz w:val="20"/>
                <w:szCs w:val="20"/>
              </w:rPr>
            </w:pPr>
          </w:p>
        </w:tc>
      </w:tr>
    </w:tbl>
    <w:p w14:paraId="0C5A0343" w14:textId="126DB69B" w:rsidR="00795C3E" w:rsidRPr="00F91BDD" w:rsidRDefault="00795C3E" w:rsidP="00795C3E">
      <w:pPr>
        <w:spacing w:before="120"/>
        <w:textAlignment w:val="baseline"/>
        <w:rPr>
          <w:rFonts w:cs="Calibri Light"/>
        </w:rPr>
      </w:pPr>
      <w:r w:rsidRPr="00F91BDD">
        <w:rPr>
          <w:rFonts w:cs="Calibri Light"/>
        </w:rPr>
        <w:t>Afin d’éviter une charge administrative importante pour la commune, il est possible, de prévoir</w:t>
      </w:r>
      <w:r w:rsidR="35B9FD39" w:rsidRPr="1C6C0DED">
        <w:rPr>
          <w:rFonts w:cs="Calibri Light"/>
        </w:rPr>
        <w:t xml:space="preserve"> </w:t>
      </w:r>
      <w:r w:rsidRPr="00F91BDD">
        <w:rPr>
          <w:rFonts w:cs="Calibri Light"/>
        </w:rPr>
        <w:t xml:space="preserve">un taux forfaitaire de maximum </w:t>
      </w:r>
      <w:r w:rsidRPr="00F91BDD">
        <w:rPr>
          <w:rFonts w:cs="Calibri Light"/>
          <w:b/>
          <w:bCs/>
        </w:rPr>
        <w:t xml:space="preserve">30,00 </w:t>
      </w:r>
      <w:r w:rsidR="00BE720F" w:rsidRPr="00F91BDD">
        <w:rPr>
          <w:rFonts w:cs="Calibri Light"/>
          <w:b/>
          <w:bCs/>
        </w:rPr>
        <w:t xml:space="preserve">euros </w:t>
      </w:r>
      <w:r w:rsidR="00BE720F" w:rsidRPr="00F91BDD">
        <w:rPr>
          <w:rFonts w:cs="Calibri Light"/>
        </w:rPr>
        <w:t>par</w:t>
      </w:r>
      <w:r w:rsidRPr="00F91BDD">
        <w:rPr>
          <w:rFonts w:cs="Calibri Light"/>
        </w:rPr>
        <w:t xml:space="preserve"> mètre carré de désherbage.</w:t>
      </w:r>
    </w:p>
    <w:p w14:paraId="743BC5D4" w14:textId="77777777" w:rsidR="00795C3E" w:rsidRPr="00F91BDD" w:rsidRDefault="00795C3E" w:rsidP="00795C3E">
      <w:pPr>
        <w:spacing w:before="120"/>
        <w:textAlignment w:val="baseline"/>
        <w:rPr>
          <w:rFonts w:cs="Calibri Light"/>
        </w:rPr>
      </w:pPr>
      <w:r w:rsidRPr="00F91BDD">
        <w:rPr>
          <w:rFonts w:cs="Calibri Light"/>
        </w:rPr>
        <w:t>En outre, le règlement-redevance peut toujours prévoir que le désherbage qui entraîne une dépense supérieure au taux forfaitaire prévu sera facturé sur base d'un décompte des frais réels. À défaut de prévoir une disposition en ce sens, la commune serait dans l'impossibilité de se rémunérer correctement lors de situations très particulières à gérer par les services communaux.</w:t>
      </w:r>
    </w:p>
    <w:p w14:paraId="34214177" w14:textId="6C3EE5DA" w:rsidR="00795C3E" w:rsidRPr="00AF06F7" w:rsidRDefault="00795C3E" w:rsidP="00795C3E">
      <w:pPr>
        <w:spacing w:before="120"/>
        <w:textAlignment w:val="baseline"/>
        <w:rPr>
          <w:rFonts w:cs="Calibri Light"/>
        </w:rPr>
      </w:pPr>
      <w:r w:rsidRPr="00F91BDD">
        <w:rPr>
          <w:rFonts w:cs="Calibri Light"/>
        </w:rPr>
        <w:t>Il faut préciser que cette redevance n’est applicable que si l’ordonnance générale de police (OGP) prévoit le nettoyage et/ou l’accessibilité du trottoir, voire du bas-côté et/ou du filet d’eau (désherbage, déneigement, etc…) à la charge du riverain</w:t>
      </w:r>
      <w:r w:rsidR="08C181B9" w:rsidRPr="1C6C0DED">
        <w:rPr>
          <w:rFonts w:cs="Calibri Light"/>
        </w:rPr>
        <w:t xml:space="preserve">. Elle est applicable </w:t>
      </w:r>
      <w:r w:rsidR="00BE720F" w:rsidRPr="1C6C0DED">
        <w:rPr>
          <w:rFonts w:cs="Calibri Light"/>
        </w:rPr>
        <w:t xml:space="preserve">tant </w:t>
      </w:r>
      <w:r w:rsidR="00BE720F" w:rsidRPr="00F91BDD">
        <w:rPr>
          <w:rFonts w:cs="Calibri Light"/>
        </w:rPr>
        <w:t>dans</w:t>
      </w:r>
      <w:r w:rsidRPr="00F91BDD">
        <w:rPr>
          <w:rFonts w:cs="Calibri Light"/>
        </w:rPr>
        <w:t xml:space="preserve"> l’hypothèse où le redevable requiert expressément le service</w:t>
      </w:r>
      <w:r w:rsidR="064BD7AA" w:rsidRPr="1C6C0DED">
        <w:rPr>
          <w:rFonts w:cs="Calibri Light"/>
        </w:rPr>
        <w:t xml:space="preserve"> que dans l’hypothèse où</w:t>
      </w:r>
      <w:r w:rsidR="01D57769" w:rsidRPr="1C6C0DED">
        <w:rPr>
          <w:rFonts w:cs="Calibri Light"/>
        </w:rPr>
        <w:t xml:space="preserve"> il</w:t>
      </w:r>
      <w:r w:rsidRPr="00F91BDD">
        <w:rPr>
          <w:rFonts w:cs="Calibri Light"/>
        </w:rPr>
        <w:t xml:space="preserve"> ne se conforme pas à l’obligation que lui impose l’OGP, auquel cas il est présumé accepter que les services communaux pallient son inaction.</w:t>
      </w:r>
    </w:p>
    <w:p w14:paraId="7AD937FC" w14:textId="2405BDCF" w:rsidR="00795C3E" w:rsidRPr="001853FF" w:rsidRDefault="00795C3E" w:rsidP="00795C3E">
      <w:pPr>
        <w:pStyle w:val="Titre2"/>
        <w:rPr>
          <w:caps/>
        </w:rPr>
      </w:pPr>
      <w:bookmarkStart w:id="1871" w:name="_Toc40185560"/>
      <w:bookmarkStart w:id="1872" w:name="_Toc40186295"/>
      <w:bookmarkStart w:id="1873" w:name="_Toc40185561"/>
      <w:bookmarkStart w:id="1874" w:name="_Toc40186296"/>
      <w:bookmarkStart w:id="1875" w:name="_Toc516245118"/>
      <w:bookmarkStart w:id="1876" w:name="_Toc516473689"/>
      <w:bookmarkStart w:id="1877" w:name="_Toc516473999"/>
      <w:bookmarkStart w:id="1878" w:name="_Toc516474309"/>
      <w:bookmarkStart w:id="1879" w:name="_Toc516474617"/>
      <w:bookmarkStart w:id="1880" w:name="_Toc516474949"/>
      <w:bookmarkStart w:id="1881" w:name="_Toc516479006"/>
      <w:bookmarkStart w:id="1882" w:name="_Toc516479446"/>
      <w:bookmarkStart w:id="1883" w:name="_Toc516479763"/>
      <w:bookmarkStart w:id="1884" w:name="_Toc516480085"/>
      <w:bookmarkStart w:id="1885" w:name="_Toc516480399"/>
      <w:bookmarkStart w:id="1886" w:name="_Toc516480713"/>
      <w:bookmarkStart w:id="1887" w:name="_Toc516481027"/>
      <w:bookmarkStart w:id="1888" w:name="_Toc516481341"/>
      <w:bookmarkStart w:id="1889" w:name="_Toc516481655"/>
      <w:bookmarkStart w:id="1890" w:name="_Toc516481969"/>
      <w:bookmarkStart w:id="1891" w:name="_Toc516482283"/>
      <w:bookmarkStart w:id="1892" w:name="_Toc516482597"/>
      <w:bookmarkStart w:id="1893" w:name="_Toc516739799"/>
      <w:bookmarkStart w:id="1894" w:name="_Toc516751711"/>
      <w:bookmarkStart w:id="1895" w:name="_Toc516825799"/>
      <w:bookmarkStart w:id="1896" w:name="_Toc516826357"/>
      <w:bookmarkStart w:id="1897" w:name="_Toc516837677"/>
      <w:bookmarkStart w:id="1898" w:name="_Toc516838236"/>
      <w:bookmarkStart w:id="1899" w:name="_Toc516838795"/>
      <w:bookmarkStart w:id="1900" w:name="_Toc516839355"/>
      <w:bookmarkStart w:id="1901" w:name="_Toc517173451"/>
      <w:bookmarkStart w:id="1902" w:name="_Toc517175125"/>
      <w:bookmarkStart w:id="1903" w:name="_Toc517175712"/>
      <w:bookmarkStart w:id="1904" w:name="_Toc517176300"/>
      <w:bookmarkStart w:id="1905" w:name="_Toc517337625"/>
      <w:bookmarkStart w:id="1906" w:name="_Toc517360421"/>
      <w:bookmarkStart w:id="1907" w:name="_Toc516245119"/>
      <w:bookmarkStart w:id="1908" w:name="_Toc516473690"/>
      <w:bookmarkStart w:id="1909" w:name="_Toc516474000"/>
      <w:bookmarkStart w:id="1910" w:name="_Toc516474310"/>
      <w:bookmarkStart w:id="1911" w:name="_Toc516474618"/>
      <w:bookmarkStart w:id="1912" w:name="_Toc516474950"/>
      <w:bookmarkStart w:id="1913" w:name="_Toc516479007"/>
      <w:bookmarkStart w:id="1914" w:name="_Toc516479447"/>
      <w:bookmarkStart w:id="1915" w:name="_Toc516479764"/>
      <w:bookmarkStart w:id="1916" w:name="_Toc516480086"/>
      <w:bookmarkStart w:id="1917" w:name="_Toc516480400"/>
      <w:bookmarkStart w:id="1918" w:name="_Toc516480714"/>
      <w:bookmarkStart w:id="1919" w:name="_Toc516481028"/>
      <w:bookmarkStart w:id="1920" w:name="_Toc516481342"/>
      <w:bookmarkStart w:id="1921" w:name="_Toc516481656"/>
      <w:bookmarkStart w:id="1922" w:name="_Toc516481970"/>
      <w:bookmarkStart w:id="1923" w:name="_Toc516482284"/>
      <w:bookmarkStart w:id="1924" w:name="_Toc516482598"/>
      <w:bookmarkStart w:id="1925" w:name="_Toc516739800"/>
      <w:bookmarkStart w:id="1926" w:name="_Toc516751712"/>
      <w:bookmarkStart w:id="1927" w:name="_Toc516825800"/>
      <w:bookmarkStart w:id="1928" w:name="_Toc516826358"/>
      <w:bookmarkStart w:id="1929" w:name="_Toc516837678"/>
      <w:bookmarkStart w:id="1930" w:name="_Toc516838237"/>
      <w:bookmarkStart w:id="1931" w:name="_Toc516838796"/>
      <w:bookmarkStart w:id="1932" w:name="_Toc516839356"/>
      <w:bookmarkStart w:id="1933" w:name="_Toc517173452"/>
      <w:bookmarkStart w:id="1934" w:name="_Toc517175126"/>
      <w:bookmarkStart w:id="1935" w:name="_Toc517175713"/>
      <w:bookmarkStart w:id="1936" w:name="_Toc517176301"/>
      <w:bookmarkStart w:id="1937" w:name="_Toc517337626"/>
      <w:bookmarkStart w:id="1938" w:name="_Toc517360422"/>
      <w:bookmarkStart w:id="1939" w:name="_Toc516245120"/>
      <w:bookmarkStart w:id="1940" w:name="_Toc516473691"/>
      <w:bookmarkStart w:id="1941" w:name="_Toc516474001"/>
      <w:bookmarkStart w:id="1942" w:name="_Toc516474311"/>
      <w:bookmarkStart w:id="1943" w:name="_Toc516474619"/>
      <w:bookmarkStart w:id="1944" w:name="_Toc516474951"/>
      <w:bookmarkStart w:id="1945" w:name="_Toc516479008"/>
      <w:bookmarkStart w:id="1946" w:name="_Toc516479448"/>
      <w:bookmarkStart w:id="1947" w:name="_Toc516479765"/>
      <w:bookmarkStart w:id="1948" w:name="_Toc516480087"/>
      <w:bookmarkStart w:id="1949" w:name="_Toc516480401"/>
      <w:bookmarkStart w:id="1950" w:name="_Toc516480715"/>
      <w:bookmarkStart w:id="1951" w:name="_Toc516481029"/>
      <w:bookmarkStart w:id="1952" w:name="_Toc516481343"/>
      <w:bookmarkStart w:id="1953" w:name="_Toc516481657"/>
      <w:bookmarkStart w:id="1954" w:name="_Toc516481971"/>
      <w:bookmarkStart w:id="1955" w:name="_Toc516482285"/>
      <w:bookmarkStart w:id="1956" w:name="_Toc516482599"/>
      <w:bookmarkStart w:id="1957" w:name="_Toc516739801"/>
      <w:bookmarkStart w:id="1958" w:name="_Toc516751713"/>
      <w:bookmarkStart w:id="1959" w:name="_Toc516825801"/>
      <w:bookmarkStart w:id="1960" w:name="_Toc516826359"/>
      <w:bookmarkStart w:id="1961" w:name="_Toc516837679"/>
      <w:bookmarkStart w:id="1962" w:name="_Toc516838238"/>
      <w:bookmarkStart w:id="1963" w:name="_Toc516838797"/>
      <w:bookmarkStart w:id="1964" w:name="_Toc516839357"/>
      <w:bookmarkStart w:id="1965" w:name="_Toc517173453"/>
      <w:bookmarkStart w:id="1966" w:name="_Toc517175127"/>
      <w:bookmarkStart w:id="1967" w:name="_Toc517175714"/>
      <w:bookmarkStart w:id="1968" w:name="_Toc517176302"/>
      <w:bookmarkStart w:id="1969" w:name="_Toc517337627"/>
      <w:bookmarkStart w:id="1970" w:name="_Toc517360423"/>
      <w:bookmarkStart w:id="1971" w:name="_Toc516229721"/>
      <w:bookmarkStart w:id="1972" w:name="_Toc516230016"/>
      <w:bookmarkStart w:id="1973" w:name="_Toc516230311"/>
      <w:bookmarkStart w:id="1974" w:name="_Toc516230605"/>
      <w:bookmarkStart w:id="1975" w:name="_Toc516230899"/>
      <w:bookmarkStart w:id="1976" w:name="_Toc516231194"/>
      <w:bookmarkStart w:id="1977" w:name="_Toc516231489"/>
      <w:bookmarkStart w:id="1978" w:name="_Toc516231786"/>
      <w:bookmarkStart w:id="1979" w:name="_Toc516242881"/>
      <w:bookmarkStart w:id="1980" w:name="_Toc516243185"/>
      <w:bookmarkStart w:id="1981" w:name="_Toc516245121"/>
      <w:bookmarkStart w:id="1982" w:name="_Toc516473692"/>
      <w:bookmarkStart w:id="1983" w:name="_Toc516474002"/>
      <w:bookmarkStart w:id="1984" w:name="_Toc516474312"/>
      <w:bookmarkStart w:id="1985" w:name="_Toc516474620"/>
      <w:bookmarkStart w:id="1986" w:name="_Toc516474952"/>
      <w:bookmarkStart w:id="1987" w:name="_Toc516479009"/>
      <w:bookmarkStart w:id="1988" w:name="_Toc516479449"/>
      <w:bookmarkStart w:id="1989" w:name="_Toc516479766"/>
      <w:bookmarkStart w:id="1990" w:name="_Toc516480088"/>
      <w:bookmarkStart w:id="1991" w:name="_Toc516480402"/>
      <w:bookmarkStart w:id="1992" w:name="_Toc516480716"/>
      <w:bookmarkStart w:id="1993" w:name="_Toc516481030"/>
      <w:bookmarkStart w:id="1994" w:name="_Toc516481344"/>
      <w:bookmarkStart w:id="1995" w:name="_Toc516481658"/>
      <w:bookmarkStart w:id="1996" w:name="_Toc516481972"/>
      <w:bookmarkStart w:id="1997" w:name="_Toc516482286"/>
      <w:bookmarkStart w:id="1998" w:name="_Toc516482600"/>
      <w:bookmarkStart w:id="1999" w:name="_Toc516739802"/>
      <w:bookmarkStart w:id="2000" w:name="_Toc516751714"/>
      <w:bookmarkStart w:id="2001" w:name="_Toc516825802"/>
      <w:bookmarkStart w:id="2002" w:name="_Toc516826360"/>
      <w:bookmarkStart w:id="2003" w:name="_Toc516837680"/>
      <w:bookmarkStart w:id="2004" w:name="_Toc516838239"/>
      <w:bookmarkStart w:id="2005" w:name="_Toc516838798"/>
      <w:bookmarkStart w:id="2006" w:name="_Toc516839358"/>
      <w:bookmarkStart w:id="2007" w:name="_Toc517173454"/>
      <w:bookmarkStart w:id="2008" w:name="_Toc517175128"/>
      <w:bookmarkStart w:id="2009" w:name="_Toc517175715"/>
      <w:bookmarkStart w:id="2010" w:name="_Toc517176303"/>
      <w:bookmarkStart w:id="2011" w:name="_Toc517337628"/>
      <w:bookmarkStart w:id="2012" w:name="_Toc517360424"/>
      <w:bookmarkStart w:id="2013" w:name="_Toc512523781"/>
      <w:bookmarkStart w:id="2014" w:name="_Toc512525497"/>
      <w:bookmarkStart w:id="2015" w:name="_Toc515896811"/>
      <w:bookmarkStart w:id="2016" w:name="_Toc143779187"/>
      <w:bookmarkStart w:id="2017" w:name="_Toc208420096"/>
      <w:bookmarkStart w:id="2018" w:name="_Toc225504328"/>
      <w:bookmarkStart w:id="2019" w:name="_Toc225772417"/>
      <w:bookmarkStart w:id="2020" w:name="_Toc233626285"/>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r w:rsidRPr="001853FF">
        <w:t>Taxes sur les entreprises industrielles, commerciales et agricoles</w:t>
      </w:r>
      <w:bookmarkEnd w:id="2013"/>
      <w:bookmarkEnd w:id="2014"/>
      <w:bookmarkEnd w:id="2015"/>
      <w:bookmarkEnd w:id="2016"/>
      <w:bookmarkEnd w:id="2017"/>
      <w:bookmarkEnd w:id="2018"/>
      <w:bookmarkEnd w:id="2019"/>
      <w:bookmarkEnd w:id="2020"/>
    </w:p>
    <w:p w14:paraId="7A45C2DE" w14:textId="77777777" w:rsidR="00795C3E" w:rsidRPr="00F91BDD" w:rsidRDefault="00795C3E" w:rsidP="00795C3E">
      <w:pPr>
        <w:spacing w:before="120"/>
        <w:textAlignment w:val="baseline"/>
      </w:pPr>
      <w:r w:rsidRPr="00F91BDD">
        <w:t xml:space="preserve">Il convient de rappeler qu’aucune disposition légale ou réglementaire n'interdit à un Conseil communal, lorsqu'il établit une taxe justifiée par l'état de ses finances, de la faire porter sur les activités qu’il estime prioritaires à cet escient. Celles-ci peuvent également relever des activités qu'il estime plus critiquables que d'autres ou dont il estime le développement nuisible. </w:t>
      </w:r>
    </w:p>
    <w:p w14:paraId="6151B675" w14:textId="2FF6359F" w:rsidR="00795C3E" w:rsidRPr="00F91BDD" w:rsidRDefault="00795C3E" w:rsidP="00795C3E">
      <w:pPr>
        <w:spacing w:before="120"/>
        <w:textAlignment w:val="baseline"/>
      </w:pPr>
      <w:bookmarkStart w:id="2021" w:name="_Hlk38550094"/>
      <w:r w:rsidRPr="00F91BDD">
        <w:t>Par ailleurs, si l'objectif principal de la taxe est principalement d'ordre budgétaire, rien ne s'oppose à ce que le Conseil communal poursuive des objectifs accessoires, non financiers, d'incitation ou de dissuasion. Cet objectif accessoire de dissuasion ne doit pas nécessairement ressortir des dispositions du règlement-taxe.</w:t>
      </w:r>
    </w:p>
    <w:p w14:paraId="16D1916E" w14:textId="77777777" w:rsidR="00795C3E" w:rsidRPr="00F91BDD" w:rsidRDefault="00795C3E" w:rsidP="00795C3E">
      <w:pPr>
        <w:spacing w:before="120"/>
        <w:textAlignment w:val="baseline"/>
      </w:pPr>
      <w:r w:rsidRPr="00F91BDD">
        <w:t>Néanmoins, dans une telle hypothèse, le Conseil communal doit éviter d'établir des « taxes prohibitives » qui auraient pour seul objectif d'empêcher l'exercice d'une « activité licite ». Autrement dit, la taxe ne peut pas entraver au-delà du raisonnable, voire empêcher, l'installation ou le développement d’une activité sur le territoire de la commune. Comme le souligne le Conseil d’Etat, une imposition n'est excessive que lorsqu'elle a pour effet de faire disparaître l'activité qu'elle taxe.</w:t>
      </w:r>
    </w:p>
    <w:p w14:paraId="00C4E429" w14:textId="77777777" w:rsidR="00795C3E" w:rsidRPr="00F91BDD" w:rsidRDefault="00795C3E" w:rsidP="00795C3E">
      <w:pPr>
        <w:spacing w:before="120"/>
        <w:textAlignment w:val="baseline"/>
      </w:pPr>
      <w:r w:rsidRPr="00F91BDD">
        <w:t>N’est pas considérée comme prohibitive, la taxe qui tient compte de la faculté contributive de l’ensemble des personnes qui y sont soumises et pour laquelle il existe un « rapport de proportionnalité » entre les moyens utilisés et le but poursuivi.</w:t>
      </w:r>
    </w:p>
    <w:p w14:paraId="1C71990B" w14:textId="77777777" w:rsidR="00795C3E" w:rsidRPr="00F91BDD" w:rsidRDefault="00795C3E" w:rsidP="00795C3E">
      <w:pPr>
        <w:spacing w:before="120"/>
        <w:textAlignment w:val="baseline"/>
      </w:pPr>
      <w:r w:rsidRPr="00F91BDD">
        <w:t xml:space="preserve">A cet égard, la jurisprudence constante du Conseil d’Etat fait apparaître qu’il ne fait pas de doute qu'une taxe poursuivant un objectif de dissuasion n'est pas disproportionnée au seul </w:t>
      </w:r>
      <w:r w:rsidRPr="00F91BDD">
        <w:lastRenderedPageBreak/>
        <w:t>motif que son montant est important ; qu'en effet, le caractère dissuasif que tend à se donner la taxe implique nécessairement que son montant soit élevé.</w:t>
      </w:r>
    </w:p>
    <w:p w14:paraId="4D08EB8D" w14:textId="77777777" w:rsidR="00795C3E" w:rsidRPr="00F91BDD" w:rsidRDefault="00795C3E" w:rsidP="00795C3E">
      <w:pPr>
        <w:spacing w:before="120"/>
        <w:textAlignment w:val="baseline"/>
      </w:pPr>
      <w:r w:rsidRPr="00F91BDD">
        <w:t>Enfin, la taxe « dissuasive » ne peut en aucun cas violer le principe de la liberté du commerce et de l'industrie ou apporter une restriction excessive à cette liberté par rapport à ce qu'exige le maintien de l'ordre public. Inversement, cette liberté du commerce et de l’industrie n’est pas illimitée et n’est en tout cas pas de nature à entraver le pouvoir d’un Conseil communal d’établir des taxes sur les activités économiques et commerciales.</w:t>
      </w:r>
      <w:bookmarkStart w:id="2022" w:name="_Hlk38969413"/>
      <w:bookmarkEnd w:id="2021"/>
    </w:p>
    <w:p w14:paraId="6A415A2C" w14:textId="405327C8" w:rsidR="00795C3E" w:rsidRPr="0048657F" w:rsidRDefault="00795C3E">
      <w:pPr>
        <w:pStyle w:val="Titre3"/>
        <w:numPr>
          <w:ilvl w:val="0"/>
          <w:numId w:val="120"/>
        </w:numPr>
        <w:rPr>
          <w:caps/>
        </w:rPr>
      </w:pPr>
      <w:bookmarkStart w:id="2023" w:name="_Toc143779188"/>
      <w:bookmarkStart w:id="2024" w:name="_Toc208420097"/>
      <w:bookmarkStart w:id="2025" w:name="_Toc225504329"/>
      <w:bookmarkStart w:id="2026" w:name="_Toc225772418"/>
      <w:bookmarkStart w:id="2027" w:name="_Toc233626286"/>
      <w:r w:rsidRPr="00B426D0">
        <w:t xml:space="preserve">040/364-02 : </w:t>
      </w:r>
      <w:bookmarkStart w:id="2028" w:name="_Hlk85702859"/>
      <w:r w:rsidRPr="00B426D0">
        <w:t>Établissement occupant du personnel de bar</w:t>
      </w:r>
      <w:bookmarkEnd w:id="2023"/>
      <w:bookmarkEnd w:id="2024"/>
      <w:bookmarkEnd w:id="2025"/>
      <w:bookmarkEnd w:id="2026"/>
      <w:bookmarkEnd w:id="2027"/>
      <w:r w:rsidRPr="00B426D0">
        <w:t xml:space="preserve"> </w:t>
      </w:r>
      <w:bookmarkEnd w:id="2022"/>
      <w:bookmarkEnd w:id="2028"/>
    </w:p>
    <w:p w14:paraId="682D3953" w14:textId="77777777" w:rsidR="00795C3E" w:rsidRPr="00F91BDD" w:rsidRDefault="00795C3E" w:rsidP="00795C3E">
      <w:pPr>
        <w:spacing w:before="120"/>
      </w:pPr>
      <w:r w:rsidRPr="00F91BDD">
        <w:t>Taxe directe – Modèle disponible.</w:t>
      </w:r>
    </w:p>
    <w:p w14:paraId="29FD2236" w14:textId="13FD796C" w:rsidR="00795C3E" w:rsidRPr="00F91BDD" w:rsidRDefault="00795C3E" w:rsidP="00795C3E">
      <w:pPr>
        <w:spacing w:before="120"/>
        <w:textAlignment w:val="baseline"/>
        <w:rPr>
          <w:rFonts w:cs="Calibri Light"/>
          <w:spacing w:val="-1"/>
        </w:rPr>
      </w:pPr>
      <w:bookmarkStart w:id="2029" w:name="_Toc516229723"/>
      <w:bookmarkStart w:id="2030" w:name="_Toc516230018"/>
      <w:bookmarkStart w:id="2031" w:name="_Toc516230313"/>
      <w:bookmarkStart w:id="2032" w:name="_Toc516230607"/>
      <w:bookmarkStart w:id="2033" w:name="_Toc516230901"/>
      <w:bookmarkStart w:id="2034" w:name="_Toc516231196"/>
      <w:bookmarkStart w:id="2035" w:name="_Toc516231491"/>
      <w:bookmarkStart w:id="2036" w:name="_Toc516231788"/>
      <w:bookmarkStart w:id="2037" w:name="_Toc516242883"/>
      <w:bookmarkStart w:id="2038" w:name="_Toc516243187"/>
      <w:bookmarkEnd w:id="2029"/>
      <w:bookmarkEnd w:id="2030"/>
      <w:bookmarkEnd w:id="2031"/>
      <w:bookmarkEnd w:id="2032"/>
      <w:bookmarkEnd w:id="2033"/>
      <w:bookmarkEnd w:id="2034"/>
      <w:bookmarkEnd w:id="2035"/>
      <w:bookmarkEnd w:id="2036"/>
      <w:bookmarkEnd w:id="2037"/>
      <w:bookmarkEnd w:id="2038"/>
      <w:r w:rsidRPr="00F91BDD">
        <w:rPr>
          <w:rFonts w:cs="Calibri Light"/>
          <w:spacing w:val="-1"/>
        </w:rPr>
        <w:t xml:space="preserve">Taux maximum recommandé : 21.000,00 </w:t>
      </w:r>
      <w:r w:rsidR="00BE720F" w:rsidRPr="00F91BDD">
        <w:rPr>
          <w:rFonts w:cs="Calibri Light"/>
          <w:spacing w:val="-1"/>
        </w:rPr>
        <w:t>euros par</w:t>
      </w:r>
      <w:r w:rsidRPr="00F91BDD">
        <w:rPr>
          <w:rFonts w:cs="Calibri Light"/>
          <w:spacing w:val="-1"/>
        </w:rPr>
        <w:t xml:space="preserve"> établissement </w:t>
      </w:r>
      <w:bookmarkStart w:id="2039" w:name="_Hlk105665295"/>
      <w:bookmarkStart w:id="2040" w:name="_Hlk85703016"/>
      <w:r w:rsidRPr="00F91BDD">
        <w:rPr>
          <w:rFonts w:cs="Calibri Light"/>
          <w:spacing w:val="-1"/>
        </w:rPr>
        <w:t>à moduler selon un indice qui rend compte de l’ampleur de l’activité (par exemple la superficie, l'importance du personnel ou le chiffre d'affaires)</w:t>
      </w:r>
      <w:r w:rsidRPr="00F91BDD">
        <w:rPr>
          <w:rStyle w:val="Appelnotedebasdep"/>
          <w:rFonts w:cs="Calibri Light"/>
          <w:spacing w:val="-1"/>
        </w:rPr>
        <w:footnoteReference w:id="101"/>
      </w:r>
      <w:r w:rsidRPr="00F91BDD">
        <w:rPr>
          <w:rFonts w:cs="Calibri Light"/>
          <w:spacing w:val="-1"/>
        </w:rPr>
        <w:t>.</w:t>
      </w:r>
      <w:bookmarkEnd w:id="2039"/>
    </w:p>
    <w:bookmarkEnd w:id="2040"/>
    <w:p w14:paraId="6F162B29" w14:textId="77777777" w:rsidR="00795C3E" w:rsidRPr="00F91BDD" w:rsidRDefault="00795C3E" w:rsidP="00795C3E">
      <w:pPr>
        <w:spacing w:before="120"/>
        <w:textAlignment w:val="baseline"/>
        <w:rPr>
          <w:rFonts w:cs="Calibri Light"/>
        </w:rPr>
      </w:pPr>
      <w:r w:rsidRPr="00F91BDD">
        <w:rPr>
          <w:rFonts w:cs="Calibri Light"/>
        </w:rPr>
        <w:t>La taxe vise l’établissement occupant du personnel de bar (et non le personnel de bar en tant que tel).</w:t>
      </w:r>
    </w:p>
    <w:p w14:paraId="4082B0EA" w14:textId="77777777" w:rsidR="00795C3E" w:rsidRPr="00F91BDD" w:rsidRDefault="00795C3E" w:rsidP="00795C3E">
      <w:pPr>
        <w:spacing w:before="120"/>
        <w:textAlignment w:val="baseline"/>
        <w:rPr>
          <w:rFonts w:cs="Calibri Light"/>
        </w:rPr>
      </w:pPr>
      <w:r w:rsidRPr="00F91BDD">
        <w:rPr>
          <w:rFonts w:cs="Calibri Light"/>
        </w:rPr>
        <w:t xml:space="preserve">Le personnel de bar visé ici est toute personne, en ce compris le tenancier ou la tenancière, occupée dans un bar, qui favorise directement ou indirectement le commerce de l'exploitant, soit en consommant habituellement avec les clients, soit en provoquant la consommation de toute autre manière que par le service normal des clients ou par le seul exercice du chant ou de la danse. </w:t>
      </w:r>
    </w:p>
    <w:p w14:paraId="70C9E5EF" w14:textId="22B27F57" w:rsidR="00795C3E" w:rsidRPr="00F91BDD" w:rsidRDefault="00795C3E" w:rsidP="00795C3E">
      <w:pPr>
        <w:spacing w:before="120"/>
        <w:textAlignment w:val="baseline"/>
        <w:rPr>
          <w:rFonts w:cs="Calibri Light"/>
        </w:rPr>
      </w:pPr>
      <w:r w:rsidRPr="6FFC1684">
        <w:rPr>
          <w:rFonts w:cs="Calibri Light"/>
        </w:rPr>
        <w:t>A l'occasion de l'examen des rapports sur la traite des êtres humains, la Commission spéciale de la Chambre des Représentants a recommandé une suppression de cette taxe. Il</w:t>
      </w:r>
      <w:r w:rsidRPr="6FFC1684">
        <w:rPr>
          <w:rFonts w:cs="Calibri Light"/>
          <w:b/>
          <w:bCs/>
        </w:rPr>
        <w:t xml:space="preserve"> </w:t>
      </w:r>
      <w:r w:rsidRPr="6FFC1684">
        <w:rPr>
          <w:rFonts w:cs="Calibri Light"/>
        </w:rPr>
        <w:t>appartient donc aux autorités locales d'apprécier l'opportunité d'une telle suppression en tenant compte des enjeux éthique, financier et sécuritaire de ce règlement.</w:t>
      </w:r>
    </w:p>
    <w:p w14:paraId="1F006E02" w14:textId="1EFC74B1" w:rsidR="7F4F09BD" w:rsidRPr="00BE720F" w:rsidRDefault="7F4F09BD" w:rsidP="004671C5">
      <w:pPr>
        <w:spacing w:before="120"/>
        <w:rPr>
          <w:rFonts w:cs="Calibri Light"/>
        </w:rPr>
      </w:pPr>
      <w:r w:rsidRPr="00BE720F">
        <w:rPr>
          <w:rFonts w:cs="Calibri Light"/>
        </w:rPr>
        <w:t xml:space="preserve">Dans son jugement du 17 janvier 2024, le tribunal </w:t>
      </w:r>
      <w:r w:rsidR="23C0C3FA" w:rsidRPr="00BE720F">
        <w:rPr>
          <w:rFonts w:cs="Calibri Light"/>
        </w:rPr>
        <w:t>de première instance de Namur, division de Namur a estimé</w:t>
      </w:r>
      <w:r w:rsidR="67A737F1" w:rsidRPr="00BE720F">
        <w:rPr>
          <w:rFonts w:cs="Calibri Light"/>
        </w:rPr>
        <w:t xml:space="preserve"> que le règlement-taxe qui </w:t>
      </w:r>
      <w:r w:rsidR="61362943" w:rsidRPr="00BE720F">
        <w:rPr>
          <w:rFonts w:cs="Calibri Light"/>
        </w:rPr>
        <w:t>impose</w:t>
      </w:r>
      <w:r w:rsidR="67A737F1" w:rsidRPr="00BE720F">
        <w:rPr>
          <w:rFonts w:cs="Calibri Light"/>
        </w:rPr>
        <w:t xml:space="preserve"> un montant forfaitaire employé dans un rôle d’incitation n’était pas discriminatoire dans la mesure où le r</w:t>
      </w:r>
      <w:r w:rsidR="7D9DD8B9" w:rsidRPr="00BE720F">
        <w:rPr>
          <w:rFonts w:cs="Calibri Light"/>
        </w:rPr>
        <w:t>èglement taxe est motivé principalement par un obje</w:t>
      </w:r>
      <w:r w:rsidR="20095ACE" w:rsidRPr="00BE720F">
        <w:rPr>
          <w:rFonts w:cs="Calibri Light"/>
        </w:rPr>
        <w:t xml:space="preserve">ctif financier destiné à assurer l’équilibre budgétaire et accessoirement par un objectif de police administrative </w:t>
      </w:r>
      <w:r w:rsidR="50704630" w:rsidRPr="00BE720F">
        <w:rPr>
          <w:rFonts w:cs="Calibri Light"/>
        </w:rPr>
        <w:t>visant</w:t>
      </w:r>
      <w:r w:rsidR="20095ACE" w:rsidRPr="00BE720F">
        <w:rPr>
          <w:rFonts w:cs="Calibri Light"/>
        </w:rPr>
        <w:t xml:space="preserve"> à gérer des </w:t>
      </w:r>
      <w:r w:rsidR="4BF8C2D9" w:rsidRPr="00BE720F">
        <w:rPr>
          <w:rFonts w:cs="Calibri Light"/>
        </w:rPr>
        <w:t>nuisances</w:t>
      </w:r>
      <w:r w:rsidR="20095ACE" w:rsidRPr="00BE720F">
        <w:rPr>
          <w:rFonts w:cs="Calibri Light"/>
        </w:rPr>
        <w:t xml:space="preserve"> spécifiques (sécurité, </w:t>
      </w:r>
      <w:r w:rsidR="758C774C" w:rsidRPr="00BE720F">
        <w:rPr>
          <w:rFonts w:cs="Calibri Light"/>
        </w:rPr>
        <w:t>stationnement</w:t>
      </w:r>
      <w:r w:rsidR="6BD85C3C" w:rsidRPr="00BE720F">
        <w:rPr>
          <w:rFonts w:cs="Calibri Light"/>
        </w:rPr>
        <w:t xml:space="preserve">, troubles à la </w:t>
      </w:r>
      <w:r w:rsidR="5D2516ED" w:rsidRPr="00BE720F">
        <w:rPr>
          <w:rFonts w:cs="Calibri Light"/>
        </w:rPr>
        <w:t>tranquillité</w:t>
      </w:r>
      <w:r w:rsidR="6BD85C3C" w:rsidRPr="00BE720F">
        <w:rPr>
          <w:rFonts w:cs="Calibri Light"/>
        </w:rPr>
        <w:t xml:space="preserve"> publique</w:t>
      </w:r>
      <w:r w:rsidR="5D5887CB" w:rsidRPr="00BE720F">
        <w:rPr>
          <w:rFonts w:cs="Calibri Light"/>
        </w:rPr>
        <w:t>)</w:t>
      </w:r>
      <w:r w:rsidR="6BD85C3C" w:rsidRPr="00BE720F">
        <w:rPr>
          <w:rFonts w:cs="Calibri Light"/>
        </w:rPr>
        <w:t xml:space="preserve"> et également </w:t>
      </w:r>
      <w:r w:rsidR="032A610B" w:rsidRPr="00BE720F">
        <w:rPr>
          <w:rFonts w:cs="Calibri Light"/>
        </w:rPr>
        <w:t xml:space="preserve">par </w:t>
      </w:r>
      <w:r w:rsidR="6BD85C3C" w:rsidRPr="00BE720F">
        <w:rPr>
          <w:rFonts w:cs="Calibri Light"/>
        </w:rPr>
        <w:t xml:space="preserve">un objectif dissuasif </w:t>
      </w:r>
      <w:r w:rsidR="15462A22" w:rsidRPr="00BE720F">
        <w:rPr>
          <w:rFonts w:cs="Calibri Light"/>
        </w:rPr>
        <w:t>visant</w:t>
      </w:r>
      <w:r w:rsidR="6BD85C3C" w:rsidRPr="00BE720F">
        <w:rPr>
          <w:rFonts w:cs="Calibri Light"/>
        </w:rPr>
        <w:t xml:space="preserve"> à limiter le développement de ces établissements</w:t>
      </w:r>
      <w:r w:rsidR="58E4A34F" w:rsidRPr="00BE720F">
        <w:rPr>
          <w:rFonts w:cs="Calibri Light"/>
        </w:rPr>
        <w:t>.</w:t>
      </w:r>
    </w:p>
    <w:p w14:paraId="02FBB032" w14:textId="731AC83C" w:rsidR="3E0FD893" w:rsidRPr="0046143A" w:rsidRDefault="3E0FD893" w:rsidP="004671C5">
      <w:pPr>
        <w:spacing w:before="120"/>
        <w:rPr>
          <w:rFonts w:cs="Calibri Light"/>
        </w:rPr>
      </w:pPr>
      <w:r w:rsidRPr="0046143A">
        <w:rPr>
          <w:rFonts w:cs="Calibri Light"/>
        </w:rPr>
        <w:t xml:space="preserve">Le juge a considéré que le critère de l’emploi de personnel chargé d’encourager la consommation </w:t>
      </w:r>
      <w:r w:rsidR="40E69A7A" w:rsidRPr="0046143A">
        <w:rPr>
          <w:rFonts w:cs="Calibri Light"/>
        </w:rPr>
        <w:t xml:space="preserve">était objectif, vérifiable et directement lié aux charges et </w:t>
      </w:r>
      <w:r w:rsidR="4C92FEB1" w:rsidRPr="0046143A">
        <w:rPr>
          <w:rFonts w:cs="Calibri Light"/>
        </w:rPr>
        <w:t>nuisances</w:t>
      </w:r>
      <w:r w:rsidR="40E69A7A" w:rsidRPr="0046143A">
        <w:rPr>
          <w:rFonts w:cs="Calibri Light"/>
        </w:rPr>
        <w:t xml:space="preserve"> identifiées. La commune pouvait donc cibler cette catégorie sans méconnaitre le principe d’</w:t>
      </w:r>
      <w:r w:rsidR="3074D554" w:rsidRPr="0046143A">
        <w:rPr>
          <w:rFonts w:cs="Calibri Light"/>
        </w:rPr>
        <w:t>égalité</w:t>
      </w:r>
      <w:r w:rsidR="40E69A7A" w:rsidRPr="0046143A">
        <w:rPr>
          <w:rFonts w:cs="Calibri Light"/>
        </w:rPr>
        <w:t>.</w:t>
      </w:r>
    </w:p>
    <w:p w14:paraId="0C86F55E" w14:textId="1F3C1A92" w:rsidR="00795C3E" w:rsidRPr="0046143A" w:rsidRDefault="00795C3E">
      <w:pPr>
        <w:pStyle w:val="Titre3"/>
      </w:pPr>
      <w:bookmarkStart w:id="2041" w:name="_Toc143779189"/>
      <w:bookmarkStart w:id="2042" w:name="_Toc208420098"/>
      <w:bookmarkStart w:id="2043" w:name="_Toc225504330"/>
      <w:bookmarkStart w:id="2044" w:name="_Toc225772419"/>
      <w:bookmarkStart w:id="2045" w:name="_Toc233626287"/>
      <w:bookmarkStart w:id="2046" w:name="_Toc512525499"/>
      <w:bookmarkStart w:id="2047" w:name="_Toc515896813"/>
      <w:r w:rsidRPr="00B426D0">
        <w:lastRenderedPageBreak/>
        <w:t>040/364-03 : Force motrice</w:t>
      </w:r>
      <w:bookmarkEnd w:id="2041"/>
      <w:bookmarkEnd w:id="2042"/>
      <w:bookmarkEnd w:id="2043"/>
      <w:bookmarkEnd w:id="2044"/>
      <w:bookmarkEnd w:id="2045"/>
      <w:r w:rsidRPr="00B426D0">
        <w:t xml:space="preserve"> </w:t>
      </w:r>
    </w:p>
    <w:p w14:paraId="307FCE39" w14:textId="77777777" w:rsidR="00795C3E" w:rsidRPr="00F91BDD" w:rsidRDefault="00795C3E" w:rsidP="00795C3E">
      <w:pPr>
        <w:spacing w:before="120"/>
      </w:pPr>
      <w:r w:rsidRPr="00F91BDD">
        <w:t>Taxe directe.</w:t>
      </w:r>
      <w:bookmarkEnd w:id="2046"/>
      <w:bookmarkEnd w:id="2047"/>
    </w:p>
    <w:p w14:paraId="0E6ED743" w14:textId="76BE97C1" w:rsidR="00795C3E" w:rsidRPr="00F91BDD" w:rsidRDefault="5E56803C" w:rsidP="0036480C">
      <w:pPr>
        <w:spacing w:before="120"/>
        <w:textAlignment w:val="baseline"/>
        <w:rPr>
          <w:rFonts w:ascii="Cambria" w:eastAsia="MS Mincho" w:hAnsi="Cambria" w:cs="Calibri Light"/>
          <w:color w:val="000000" w:themeColor="text1"/>
          <w:lang w:val="fr"/>
        </w:rPr>
      </w:pPr>
      <w:r w:rsidRPr="3DEDD990">
        <w:rPr>
          <w:rFonts w:ascii="Cambria" w:eastAsia="MS Mincho" w:hAnsi="Cambria" w:cs="Calibri Light"/>
          <w:color w:val="000000" w:themeColor="text1"/>
          <w:lang w:val="fr-FR"/>
        </w:rPr>
        <w:t>L</w:t>
      </w:r>
      <w:r w:rsidR="61CF43B0" w:rsidRPr="0036480C">
        <w:rPr>
          <w:rFonts w:ascii="Cambria" w:eastAsia="MS Mincho" w:hAnsi="Cambria" w:cs="Calibri Light"/>
          <w:color w:val="000000" w:themeColor="text1"/>
          <w:lang w:val="fr-FR"/>
        </w:rPr>
        <w:t>a Région wallonne</w:t>
      </w:r>
      <w:r w:rsidR="23E45DDD" w:rsidRPr="3DEDD990">
        <w:rPr>
          <w:rFonts w:ascii="Cambria" w:eastAsia="MS Mincho" w:hAnsi="Cambria" w:cs="Calibri Light"/>
          <w:color w:val="000000" w:themeColor="text1"/>
          <w:lang w:val="fr-FR"/>
        </w:rPr>
        <w:t xml:space="preserve"> a historiquement, pour la période allant de 2006 à 2025, </w:t>
      </w:r>
      <w:r w:rsidR="61CF43B0" w:rsidRPr="0036480C">
        <w:rPr>
          <w:rFonts w:ascii="Cambria" w:eastAsia="MS Mincho" w:hAnsi="Cambria" w:cs="Calibri Light"/>
          <w:color w:val="000000" w:themeColor="text1"/>
          <w:lang w:val="fr-FR"/>
        </w:rPr>
        <w:t>interdit toute taxe sur la force motrice sur tout nouvel investissement acquis ou constitué à l'état neuf sur le territoire de la Région wallonne à partir du 1er janvier 2006</w:t>
      </w:r>
      <w:r w:rsidR="7D4EFB69" w:rsidRPr="3DEDD990">
        <w:rPr>
          <w:rFonts w:ascii="Cambria" w:eastAsia="MS Mincho" w:hAnsi="Cambria" w:cs="Calibri Light"/>
          <w:color w:val="000000" w:themeColor="text1"/>
          <w:lang w:val="fr-FR"/>
        </w:rPr>
        <w:t xml:space="preserve">. </w:t>
      </w:r>
    </w:p>
    <w:p w14:paraId="08EB2C21" w14:textId="38CB4158" w:rsidR="00795C3E" w:rsidRPr="0036480C" w:rsidRDefault="61CF43B0" w:rsidP="3DEDD990">
      <w:pPr>
        <w:spacing w:before="120"/>
        <w:textAlignment w:val="baseline"/>
        <w:rPr>
          <w:rFonts w:ascii="Cambria" w:eastAsia="MS Mincho" w:hAnsi="Cambria" w:cs="Calibri Light"/>
          <w:color w:val="000000" w:themeColor="text1"/>
          <w:lang w:val="fr"/>
        </w:rPr>
      </w:pPr>
      <w:r w:rsidRPr="0036480C">
        <w:rPr>
          <w:rFonts w:ascii="Cambria" w:eastAsia="MS Mincho" w:hAnsi="Cambria" w:cs="Calibri Light"/>
          <w:color w:val="000000" w:themeColor="text1"/>
          <w:lang w:val="fr"/>
        </w:rPr>
        <w:t xml:space="preserve">Le décret-programme du 19 décembre 2025 portant diverses mesures budgétaires a réformé </w:t>
      </w:r>
      <w:r w:rsidR="24514E91" w:rsidRPr="3DEDD990">
        <w:rPr>
          <w:rFonts w:ascii="Cambria" w:eastAsia="MS Mincho" w:hAnsi="Cambria" w:cs="Calibri Light"/>
          <w:color w:val="000000" w:themeColor="text1"/>
          <w:lang w:val="fr"/>
        </w:rPr>
        <w:t>c</w:t>
      </w:r>
      <w:r w:rsidRPr="0036480C">
        <w:rPr>
          <w:rFonts w:ascii="Cambria" w:eastAsia="MS Mincho" w:hAnsi="Cambria" w:cs="Calibri Light"/>
          <w:color w:val="000000" w:themeColor="text1"/>
          <w:lang w:val="fr"/>
        </w:rPr>
        <w:t>e dispositif pour n’exonérer que les nouveaux investissements acquis ou constitué à l'état neuf sur le territoire de la Région wallonne à partir du 1er janvier 2021</w:t>
      </w:r>
      <w:r w:rsidR="45B1259C" w:rsidRPr="3DEDD990">
        <w:rPr>
          <w:rFonts w:ascii="Cambria" w:eastAsia="MS Mincho" w:hAnsi="Cambria" w:cs="Calibri Light"/>
          <w:color w:val="000000" w:themeColor="text1"/>
          <w:lang w:val="fr"/>
        </w:rPr>
        <w:t>,</w:t>
      </w:r>
      <w:r w:rsidRPr="0036480C">
        <w:rPr>
          <w:rFonts w:ascii="Cambria" w:eastAsia="MS Mincho" w:hAnsi="Cambria" w:cs="Calibri Light"/>
          <w:color w:val="000000" w:themeColor="text1"/>
          <w:lang w:val="fr"/>
        </w:rPr>
        <w:t xml:space="preserve"> pour une période dynamique de cinq ans.</w:t>
      </w:r>
    </w:p>
    <w:p w14:paraId="09073683" w14:textId="1F10F17B" w:rsidR="00795C3E" w:rsidRPr="0036480C" w:rsidRDefault="4E46C71F" w:rsidP="0036480C">
      <w:pPr>
        <w:spacing w:before="120"/>
        <w:textAlignment w:val="baseline"/>
        <w:rPr>
          <w:rFonts w:ascii="Cambria" w:eastAsia="MS Mincho" w:hAnsi="Cambria" w:cs="Calibri Light"/>
          <w:color w:val="000000" w:themeColor="text1"/>
          <w:lang w:val="fr-FR"/>
        </w:rPr>
      </w:pPr>
      <w:r w:rsidRPr="3DEDD990">
        <w:rPr>
          <w:rFonts w:ascii="Cambria" w:eastAsia="MS Mincho" w:hAnsi="Cambria" w:cs="Calibri Light"/>
          <w:color w:val="000000" w:themeColor="text1"/>
          <w:lang w:val="fr"/>
        </w:rPr>
        <w:t>L</w:t>
      </w:r>
      <w:r w:rsidR="61CF43B0" w:rsidRPr="0036480C">
        <w:rPr>
          <w:rFonts w:ascii="Cambria" w:eastAsia="MS Mincho" w:hAnsi="Cambria" w:cs="Calibri Light"/>
          <w:color w:val="000000" w:themeColor="text1"/>
          <w:lang w:val="fr"/>
        </w:rPr>
        <w:t>e Gouvernement a constaté – malgré les meilleures projections préalables possibles réalisées par l’administration – que l</w:t>
      </w:r>
      <w:r w:rsidR="405B7AB3" w:rsidRPr="42588A32">
        <w:rPr>
          <w:rFonts w:ascii="Cambria" w:eastAsia="MS Mincho" w:hAnsi="Cambria" w:cs="Calibri Light"/>
          <w:color w:val="000000" w:themeColor="text1"/>
          <w:lang w:val="fr-FR"/>
        </w:rPr>
        <w:t>a</w:t>
      </w:r>
      <w:r w:rsidR="61CF43B0" w:rsidRPr="0036480C">
        <w:rPr>
          <w:rFonts w:ascii="Cambria" w:eastAsia="MS Mincho" w:hAnsi="Cambria" w:cs="Calibri Light"/>
          <w:color w:val="000000" w:themeColor="text1"/>
          <w:lang w:val="fr-FR"/>
        </w:rPr>
        <w:t xml:space="preserve"> base imposable </w:t>
      </w:r>
      <w:r w:rsidR="61CF43B0" w:rsidRPr="42588A32">
        <w:rPr>
          <w:rFonts w:ascii="Cambria" w:eastAsia="MS Mincho" w:hAnsi="Cambria" w:cs="Calibri Light"/>
          <w:color w:val="000000" w:themeColor="text1"/>
          <w:lang w:val="fr-FR"/>
        </w:rPr>
        <w:t>de la force</w:t>
      </w:r>
      <w:r w:rsidR="61CF43B0" w:rsidRPr="0036480C">
        <w:rPr>
          <w:rFonts w:ascii="Cambria" w:eastAsia="MS Mincho" w:hAnsi="Cambria" w:cs="Calibri Light"/>
          <w:color w:val="000000" w:themeColor="text1"/>
          <w:lang w:val="fr-FR"/>
        </w:rPr>
        <w:t xml:space="preserve"> motrice </w:t>
      </w:r>
      <w:r w:rsidR="70ED36EB" w:rsidRPr="42588A32">
        <w:rPr>
          <w:rFonts w:ascii="Cambria" w:eastAsia="MS Mincho" w:hAnsi="Cambria" w:cs="Calibri Light"/>
          <w:color w:val="000000" w:themeColor="text1"/>
          <w:lang w:val="fr-FR"/>
        </w:rPr>
        <w:t>est</w:t>
      </w:r>
      <w:r w:rsidR="61CF43B0" w:rsidRPr="0036480C">
        <w:rPr>
          <w:rFonts w:ascii="Cambria" w:eastAsia="MS Mincho" w:hAnsi="Cambria" w:cs="Calibri Light"/>
          <w:color w:val="000000" w:themeColor="text1"/>
          <w:lang w:val="fr-FR"/>
        </w:rPr>
        <w:t xml:space="preserve"> obsolète et dépassée</w:t>
      </w:r>
      <w:r w:rsidR="61CF43B0" w:rsidRPr="0036480C">
        <w:rPr>
          <w:rFonts w:ascii="Cambria" w:eastAsia="MS Mincho" w:hAnsi="Cambria" w:cs="Calibri Light"/>
          <w:color w:val="000000" w:themeColor="text1"/>
          <w:lang w:val="fr"/>
        </w:rPr>
        <w:t>. C’est sur cette même base que sont fixées les recettes fiscales potentielles ainsi que les compensations</w:t>
      </w:r>
      <w:r w:rsidR="61CF43B0" w:rsidRPr="42588A32">
        <w:rPr>
          <w:rFonts w:ascii="Cambria" w:eastAsia="MS Mincho" w:hAnsi="Cambria" w:cs="Calibri Light"/>
          <w:color w:val="000000" w:themeColor="text1"/>
          <w:lang w:val="fr"/>
        </w:rPr>
        <w:t xml:space="preserve"> </w:t>
      </w:r>
      <w:r w:rsidR="3BC10252" w:rsidRPr="42588A32">
        <w:rPr>
          <w:rFonts w:ascii="Cambria" w:eastAsia="MS Mincho" w:hAnsi="Cambria" w:cs="Calibri Light"/>
          <w:color w:val="000000" w:themeColor="text1"/>
          <w:lang w:val="fr"/>
        </w:rPr>
        <w:t>octroyées aux</w:t>
      </w:r>
      <w:r w:rsidR="61CF43B0" w:rsidRPr="0036480C">
        <w:rPr>
          <w:rFonts w:ascii="Cambria" w:eastAsia="MS Mincho" w:hAnsi="Cambria" w:cs="Calibri Light"/>
          <w:color w:val="000000" w:themeColor="text1"/>
          <w:lang w:val="fr"/>
        </w:rPr>
        <w:t xml:space="preserve"> communes</w:t>
      </w:r>
      <w:r w:rsidR="6059BBA7" w:rsidRPr="42588A32">
        <w:rPr>
          <w:rFonts w:ascii="Cambria" w:eastAsia="MS Mincho" w:hAnsi="Cambria" w:cs="Calibri Light"/>
          <w:color w:val="000000" w:themeColor="text1"/>
          <w:lang w:val="fr"/>
        </w:rPr>
        <w:t xml:space="preserve"> par la Région wallonne</w:t>
      </w:r>
      <w:r w:rsidR="61CF43B0" w:rsidRPr="0036480C">
        <w:rPr>
          <w:rFonts w:ascii="Cambria" w:eastAsia="MS Mincho" w:hAnsi="Cambria" w:cs="Calibri Light"/>
          <w:color w:val="000000" w:themeColor="text1"/>
          <w:lang w:val="fr"/>
        </w:rPr>
        <w:t xml:space="preserve">. Cette obsolescence de base imposable est la conséquence d’un dispositif dans lequel ni les entreprises ni les communes n’avaient intérêt à fournir des chiffres mis à jour. </w:t>
      </w:r>
    </w:p>
    <w:p w14:paraId="41FF5284" w14:textId="75FBDCA3" w:rsidR="00795C3E" w:rsidRPr="00F91BDD" w:rsidRDefault="61CF43B0" w:rsidP="0036480C">
      <w:pPr>
        <w:spacing w:before="120"/>
        <w:textAlignment w:val="baseline"/>
        <w:rPr>
          <w:rFonts w:ascii="Cambria" w:eastAsia="MS Mincho" w:hAnsi="Cambria" w:cs="Calibri Light"/>
          <w:color w:val="000000" w:themeColor="text1"/>
          <w:lang w:val="fr-FR"/>
        </w:rPr>
      </w:pPr>
      <w:r w:rsidRPr="0036480C">
        <w:rPr>
          <w:rFonts w:ascii="Cambria" w:eastAsia="MS Mincho" w:hAnsi="Cambria" w:cs="Calibri Light"/>
          <w:color w:val="000000" w:themeColor="text1"/>
          <w:lang w:val="fr-FR"/>
        </w:rPr>
        <w:t>Le Gouvernement a, en conséquence,</w:t>
      </w:r>
      <w:r w:rsidR="0E556C5A" w:rsidRPr="6F90B905">
        <w:rPr>
          <w:rFonts w:ascii="Cambria" w:eastAsia="MS Mincho" w:hAnsi="Cambria" w:cs="Calibri Light"/>
          <w:color w:val="000000" w:themeColor="text1"/>
          <w:lang w:val="fr-FR"/>
        </w:rPr>
        <w:t xml:space="preserve"> suspendu l</w:t>
      </w:r>
      <w:r w:rsidRPr="0036480C">
        <w:rPr>
          <w:rFonts w:ascii="Cambria" w:eastAsia="MS Mincho" w:hAnsi="Cambria" w:cs="Calibri Light"/>
          <w:color w:val="000000" w:themeColor="text1"/>
          <w:lang w:val="fr-FR"/>
        </w:rPr>
        <w:t>es articles 54, 55, 56, 67 du décret-programme du 19 décembre 2025 portant diverses mesures budgétaires</w:t>
      </w:r>
      <w:r w:rsidR="5458D9D4" w:rsidRPr="6F90B905">
        <w:rPr>
          <w:rFonts w:ascii="Cambria" w:eastAsia="MS Mincho" w:hAnsi="Cambria" w:cs="Calibri Light"/>
          <w:color w:val="000000" w:themeColor="text1"/>
          <w:lang w:val="fr-FR"/>
        </w:rPr>
        <w:t xml:space="preserve"> à compter du 1</w:t>
      </w:r>
      <w:r w:rsidR="5458D9D4" w:rsidRPr="0036480C">
        <w:rPr>
          <w:rFonts w:ascii="Cambria" w:eastAsia="MS Mincho" w:hAnsi="Cambria" w:cs="Calibri Light"/>
          <w:color w:val="000000" w:themeColor="text1"/>
          <w:vertAlign w:val="superscript"/>
          <w:lang w:val="fr-FR"/>
        </w:rPr>
        <w:t>er</w:t>
      </w:r>
      <w:r w:rsidR="5458D9D4" w:rsidRPr="6F90B905">
        <w:rPr>
          <w:rFonts w:ascii="Cambria" w:eastAsia="MS Mincho" w:hAnsi="Cambria" w:cs="Calibri Light"/>
          <w:color w:val="000000" w:themeColor="text1"/>
          <w:lang w:val="fr-FR"/>
        </w:rPr>
        <w:t xml:space="preserve"> avril 2026</w:t>
      </w:r>
      <w:r w:rsidR="1DDD38C6" w:rsidRPr="6F90B905">
        <w:rPr>
          <w:rFonts w:ascii="Cambria" w:eastAsia="MS Mincho" w:hAnsi="Cambria" w:cs="Calibri Light"/>
          <w:color w:val="000000" w:themeColor="text1"/>
          <w:lang w:val="fr-FR"/>
        </w:rPr>
        <w:t xml:space="preserve"> et jusqu’’au 31 décembre 2026</w:t>
      </w:r>
      <w:r w:rsidR="4A505E41" w:rsidRPr="6F90B905">
        <w:rPr>
          <w:rFonts w:ascii="Cambria" w:eastAsia="MS Mincho" w:hAnsi="Cambria" w:cs="Calibri Light"/>
          <w:color w:val="000000" w:themeColor="text1"/>
          <w:lang w:val="fr-FR"/>
        </w:rPr>
        <w:t xml:space="preserve">. Il a corrélativement </w:t>
      </w:r>
      <w:r w:rsidR="5458D9D4" w:rsidRPr="6F90B905">
        <w:rPr>
          <w:rFonts w:ascii="Cambria" w:eastAsia="MS Mincho" w:hAnsi="Cambria" w:cs="Calibri Light"/>
          <w:color w:val="000000" w:themeColor="text1"/>
          <w:lang w:val="fr-FR"/>
        </w:rPr>
        <w:t>mis en place un groupe de travail réunissant des représentants l’Union des Villes et Communes de Wallonie, AKT et l’UCM dont l’objectif est d’aboutir à une réforme structurelle répondant à un triple objectif : 1) favoriser la réindustrialisation de la Wallonie ; 2) garantir des recettes communales stables et prévisibles ; 3) mettre fin aux effets d’aubaine et aux dévoiements multiples qui pèsent sur les finances régionales.</w:t>
      </w:r>
    </w:p>
    <w:p w14:paraId="360602B9" w14:textId="63A30841" w:rsidR="00795C3E" w:rsidRPr="00F91BDD" w:rsidRDefault="3D142B37" w:rsidP="29757AAC">
      <w:pPr>
        <w:spacing w:before="120"/>
        <w:textAlignment w:val="baseline"/>
        <w:rPr>
          <w:rFonts w:ascii="Cambria" w:eastAsia="MS Mincho" w:hAnsi="Cambria" w:cs="Calibri Light"/>
          <w:color w:val="000000" w:themeColor="text1"/>
          <w:lang w:val="fr-FR"/>
        </w:rPr>
      </w:pPr>
      <w:r w:rsidRPr="29757AAC">
        <w:rPr>
          <w:rFonts w:ascii="Cambria" w:eastAsia="MS Mincho" w:hAnsi="Cambria" w:cs="Calibri Light"/>
          <w:color w:val="000000" w:themeColor="text1"/>
          <w:u w:val="single"/>
          <w:lang w:val="fr-FR"/>
        </w:rPr>
        <w:t>A titre transitoire, aucune taxe ne peut être enrôlée par les communes entre le 1</w:t>
      </w:r>
      <w:r w:rsidRPr="29757AAC">
        <w:rPr>
          <w:rFonts w:ascii="Cambria" w:eastAsia="MS Mincho" w:hAnsi="Cambria" w:cs="Calibri Light"/>
          <w:color w:val="000000" w:themeColor="text1"/>
          <w:u w:val="single"/>
          <w:vertAlign w:val="superscript"/>
          <w:lang w:val="fr-FR"/>
        </w:rPr>
        <w:t>er</w:t>
      </w:r>
      <w:r w:rsidRPr="29757AAC">
        <w:rPr>
          <w:rFonts w:ascii="Cambria" w:eastAsia="MS Mincho" w:hAnsi="Cambria" w:cs="Calibri Light"/>
          <w:color w:val="000000" w:themeColor="text1"/>
          <w:u w:val="single"/>
          <w:lang w:val="fr-FR"/>
        </w:rPr>
        <w:t xml:space="preserve"> avril 2026 et le 31 décembre 2026 sur tout nouvel investissement acquis ou constitué à l'état neuf sur le territoire de la Région wallonne à partir du 1</w:t>
      </w:r>
      <w:r w:rsidRPr="29757AAC">
        <w:rPr>
          <w:rFonts w:ascii="Cambria" w:eastAsia="MS Mincho" w:hAnsi="Cambria" w:cs="Calibri Light"/>
          <w:color w:val="000000" w:themeColor="text1"/>
          <w:u w:val="single"/>
          <w:vertAlign w:val="superscript"/>
          <w:lang w:val="fr-FR"/>
        </w:rPr>
        <w:t xml:space="preserve">er </w:t>
      </w:r>
      <w:r w:rsidRPr="29757AAC">
        <w:rPr>
          <w:rFonts w:ascii="Cambria" w:eastAsia="MS Mincho" w:hAnsi="Cambria" w:cs="Calibri Light"/>
          <w:color w:val="000000" w:themeColor="text1"/>
          <w:u w:val="single"/>
          <w:lang w:val="fr-FR"/>
        </w:rPr>
        <w:t>janvier 2006. La taxe peut donc être enrôlée sur tout investissement acquis ou constitué à l'état neuf sur le territoire de la Région wallonne jusqu’au 31 décembre 2005 inclus</w:t>
      </w:r>
      <w:r w:rsidRPr="29757AAC">
        <w:rPr>
          <w:rFonts w:ascii="Cambria" w:eastAsia="MS Mincho" w:hAnsi="Cambria" w:cs="Calibri Light"/>
          <w:color w:val="000000" w:themeColor="text1"/>
          <w:lang w:val="fr-FR"/>
        </w:rPr>
        <w:t>.</w:t>
      </w:r>
    </w:p>
    <w:p w14:paraId="368566CB" w14:textId="2D5FBC7A" w:rsidR="00795C3E" w:rsidRPr="00F91BDD" w:rsidRDefault="642A3C42" w:rsidP="48E5F3B3">
      <w:pPr>
        <w:spacing w:before="120"/>
        <w:textAlignment w:val="baseline"/>
        <w:rPr>
          <w:rFonts w:cs="Calibri Light"/>
        </w:rPr>
      </w:pPr>
      <w:r w:rsidRPr="764E85FC">
        <w:rPr>
          <w:rFonts w:cs="Calibri Light"/>
        </w:rPr>
        <w:t xml:space="preserve">En outre, les règlements doivent satisfaire aux conditions </w:t>
      </w:r>
      <w:r w:rsidRPr="48E5F3B3">
        <w:rPr>
          <w:rFonts w:cs="Calibri Light"/>
        </w:rPr>
        <w:t>suivantes :</w:t>
      </w:r>
    </w:p>
    <w:p w14:paraId="69295673" w14:textId="77777777" w:rsidR="00FF16EF" w:rsidRDefault="00795C3E">
      <w:pPr>
        <w:pStyle w:val="Paragraphedeliste"/>
        <w:numPr>
          <w:ilvl w:val="0"/>
          <w:numId w:val="109"/>
        </w:numPr>
        <w:spacing w:before="120"/>
        <w:textAlignment w:val="baseline"/>
        <w:rPr>
          <w:rFonts w:cs="Calibri Light"/>
        </w:rPr>
      </w:pPr>
      <w:r w:rsidRPr="764E85FC">
        <w:rPr>
          <w:rFonts w:cs="Calibri Light"/>
        </w:rPr>
        <w:t>Le</w:t>
      </w:r>
      <w:r w:rsidRPr="00F91BDD">
        <w:rPr>
          <w:rFonts w:cs="Calibri Light"/>
        </w:rPr>
        <w:t xml:space="preserve"> taux maximum est fixé à 20,00 euros/kW pour les communes qui possèdent un taux inférieur.</w:t>
      </w:r>
    </w:p>
    <w:p w14:paraId="2D7E766C" w14:textId="77777777" w:rsidR="00FF16EF" w:rsidRDefault="00FF16EF" w:rsidP="00FF16EF">
      <w:pPr>
        <w:pStyle w:val="Paragraphedeliste"/>
        <w:spacing w:before="120"/>
        <w:textAlignment w:val="baseline"/>
        <w:rPr>
          <w:rFonts w:cs="Calibri Light"/>
        </w:rPr>
      </w:pPr>
    </w:p>
    <w:p w14:paraId="6BC1B465" w14:textId="71E65CAE" w:rsidR="00C546DC" w:rsidRDefault="00C546DC" w:rsidP="00FF16EF">
      <w:pPr>
        <w:pStyle w:val="Paragraphedeliste"/>
        <w:spacing w:before="120"/>
        <w:textAlignment w:val="baseline"/>
        <w:rPr>
          <w:rFonts w:ascii="Cambria" w:eastAsia="MS Mincho" w:hAnsi="Cambria" w:cs="Calibri Light"/>
          <w:color w:val="000000" w:themeColor="text1"/>
          <w:lang w:val="fr-FR"/>
        </w:rPr>
      </w:pPr>
      <w:r w:rsidRPr="00FF16EF">
        <w:rPr>
          <w:rFonts w:ascii="Cambria" w:eastAsia="MS Mincho" w:hAnsi="Cambria" w:cs="Calibri Light"/>
          <w:color w:val="000000" w:themeColor="text1"/>
          <w:lang w:val="fr-FR"/>
        </w:rPr>
        <w:t>Les communes qui avaient avant la réforme de décembre 2025 un règlement-taxe sur la force motrice dont le taux était supérieur à 20€/kW non indexé doivent réintroduire une demande de dérogation à Monsieur le Ministre avant de voter leur règlement-taxe au Conseil communal.</w:t>
      </w:r>
    </w:p>
    <w:p w14:paraId="634F1617" w14:textId="77777777" w:rsidR="00FF16EF" w:rsidRPr="00FF16EF" w:rsidRDefault="00FF16EF" w:rsidP="00FF16EF">
      <w:pPr>
        <w:pStyle w:val="Paragraphedeliste"/>
        <w:spacing w:before="120"/>
        <w:textAlignment w:val="baseline"/>
        <w:rPr>
          <w:rFonts w:cs="Calibri Light"/>
        </w:rPr>
      </w:pPr>
    </w:p>
    <w:p w14:paraId="0A1D4BE4" w14:textId="722B7C62" w:rsidR="6696C3C9" w:rsidRDefault="00795C3E">
      <w:pPr>
        <w:pStyle w:val="Paragraphedeliste"/>
        <w:numPr>
          <w:ilvl w:val="0"/>
          <w:numId w:val="109"/>
        </w:numPr>
        <w:spacing w:before="120"/>
        <w:textAlignment w:val="baseline"/>
        <w:rPr>
          <w:rFonts w:cs="Calibri Light"/>
        </w:rPr>
      </w:pPr>
      <w:r w:rsidRPr="00FF16EF">
        <w:rPr>
          <w:rFonts w:cs="Calibri Light"/>
        </w:rPr>
        <w:lastRenderedPageBreak/>
        <w:t>Dans les établissements utilisant plusieurs moteurs, il est fait application d'un coefficient de réduction allant de 0,99 à partir du deuxième moteur à 0,71 pour 30 moteurs utilisés. A partir du 31</w:t>
      </w:r>
      <w:r w:rsidRPr="00FF16EF">
        <w:rPr>
          <w:rFonts w:cs="Calibri Light"/>
          <w:vertAlign w:val="superscript"/>
        </w:rPr>
        <w:t xml:space="preserve">ème </w:t>
      </w:r>
      <w:r w:rsidRPr="00FF16EF">
        <w:rPr>
          <w:rFonts w:cs="Calibri Light"/>
        </w:rPr>
        <w:t>moteur, le coefficient de réduction pour la force motrice totale reste limité à 0,70.</w:t>
      </w:r>
      <w:r w:rsidR="2456A76A" w:rsidRPr="00FF16EF">
        <w:rPr>
          <w:rFonts w:cs="Calibri Light"/>
        </w:rPr>
        <w:t xml:space="preserve"> </w:t>
      </w:r>
      <w:r w:rsidRPr="00FF16EF">
        <w:rPr>
          <w:rFonts w:cs="Calibri Light"/>
        </w:rPr>
        <w:t>Pour appliquer ce coefficient, il convient d'additionner les puissances recensées et de multiplier cette somme par le coefficient qui y correspond.</w:t>
      </w:r>
    </w:p>
    <w:p w14:paraId="2405562A" w14:textId="77777777" w:rsidR="00FF16EF" w:rsidRPr="00FF16EF" w:rsidRDefault="00FF16EF" w:rsidP="00FF16EF">
      <w:pPr>
        <w:pStyle w:val="Paragraphedeliste"/>
        <w:spacing w:before="120"/>
        <w:textAlignment w:val="baseline"/>
        <w:rPr>
          <w:rFonts w:cs="Calibri Light"/>
        </w:rPr>
      </w:pPr>
    </w:p>
    <w:p w14:paraId="098F88B9" w14:textId="53FE69D6" w:rsidR="00EA747A" w:rsidRDefault="01236407">
      <w:pPr>
        <w:pStyle w:val="Paragraphedeliste"/>
        <w:numPr>
          <w:ilvl w:val="0"/>
          <w:numId w:val="131"/>
        </w:numPr>
        <w:spacing w:before="120"/>
        <w:rPr>
          <w:rFonts w:cs="Calibri Light"/>
        </w:rPr>
      </w:pPr>
      <w:r w:rsidRPr="00183BEA">
        <w:rPr>
          <w:rFonts w:cs="Calibri Light"/>
        </w:rPr>
        <w:t xml:space="preserve">Les dix premiers KW </w:t>
      </w:r>
      <w:r w:rsidR="39A0D28C" w:rsidRPr="00183BEA">
        <w:rPr>
          <w:rFonts w:cs="Calibri Light"/>
        </w:rPr>
        <w:t>par rede</w:t>
      </w:r>
      <w:r w:rsidR="03E84545" w:rsidRPr="00183BEA">
        <w:rPr>
          <w:rFonts w:cs="Calibri Light"/>
        </w:rPr>
        <w:t>vable</w:t>
      </w:r>
      <w:r w:rsidRPr="00183BEA">
        <w:rPr>
          <w:rFonts w:cs="Calibri Light"/>
        </w:rPr>
        <w:t xml:space="preserve"> sont exonérés</w:t>
      </w:r>
      <w:r w:rsidR="5D2B7351" w:rsidRPr="00183BEA">
        <w:rPr>
          <w:rFonts w:cs="Calibri Light"/>
        </w:rPr>
        <w:t>.</w:t>
      </w:r>
    </w:p>
    <w:p w14:paraId="2571C9F8" w14:textId="77777777" w:rsidR="00FF16EF" w:rsidRPr="00183BEA" w:rsidRDefault="00FF16EF" w:rsidP="00FF16EF">
      <w:pPr>
        <w:pStyle w:val="Paragraphedeliste"/>
        <w:spacing w:before="120"/>
        <w:rPr>
          <w:rFonts w:cs="Calibri Light"/>
        </w:rPr>
      </w:pPr>
    </w:p>
    <w:p w14:paraId="7E947452" w14:textId="72BE4CA7" w:rsidR="00795C3E" w:rsidRPr="00183BEA" w:rsidRDefault="1C8059BC">
      <w:pPr>
        <w:pStyle w:val="Paragraphedeliste"/>
        <w:numPr>
          <w:ilvl w:val="0"/>
          <w:numId w:val="131"/>
        </w:numPr>
        <w:spacing w:before="120"/>
        <w:rPr>
          <w:rFonts w:cs="Calibri Light"/>
        </w:rPr>
      </w:pPr>
      <w:r w:rsidRPr="00183BEA">
        <w:rPr>
          <w:rFonts w:ascii="Times New Roman" w:eastAsia="Times New Roman" w:hAnsi="Times New Roman" w:cs="Times New Roman"/>
          <w:sz w:val="24"/>
          <w:szCs w:val="24"/>
        </w:rPr>
        <w:t xml:space="preserve">Le moteur entraînant une génératrice d’énergie électrique </w:t>
      </w:r>
      <w:r w:rsidR="053D7B99" w:rsidRPr="00183BEA">
        <w:rPr>
          <w:rFonts w:ascii="Times New Roman" w:eastAsia="Times New Roman" w:hAnsi="Times New Roman" w:cs="Times New Roman"/>
          <w:sz w:val="24"/>
          <w:szCs w:val="24"/>
        </w:rPr>
        <w:t xml:space="preserve">est exonéré </w:t>
      </w:r>
      <w:r w:rsidRPr="00183BEA">
        <w:rPr>
          <w:rFonts w:ascii="Times New Roman" w:eastAsia="Times New Roman" w:hAnsi="Times New Roman" w:cs="Times New Roman"/>
          <w:sz w:val="24"/>
          <w:szCs w:val="24"/>
        </w:rPr>
        <w:t>pour la partie de la puissance correspondant à celle qui est nécessaire à l’entraînement de la génératrice</w:t>
      </w:r>
      <w:r w:rsidR="1C13D4F7" w:rsidRPr="00183BEA">
        <w:rPr>
          <w:rFonts w:cs="Calibri Light"/>
        </w:rPr>
        <w:t>.</w:t>
      </w:r>
    </w:p>
    <w:p w14:paraId="120B1D54" w14:textId="3FA55B7E" w:rsidR="3DAB2B3A" w:rsidRDefault="3DAB2B3A" w:rsidP="00795C3E">
      <w:pPr>
        <w:spacing w:before="120"/>
        <w:textAlignment w:val="baseline"/>
        <w:rPr>
          <w:rFonts w:ascii="Cambria" w:eastAsia="MS Mincho" w:hAnsi="Cambria" w:cs="Calibri Light"/>
          <w:color w:val="000000" w:themeColor="text1"/>
          <w:u w:val="single"/>
          <w:lang w:val="fr"/>
        </w:rPr>
      </w:pPr>
      <w:r w:rsidRPr="625AC697">
        <w:rPr>
          <w:rFonts w:ascii="Cambria" w:eastAsia="MS Mincho" w:hAnsi="Cambria" w:cs="Calibri Light"/>
        </w:rPr>
        <w:t xml:space="preserve">La compensation régionale corrélative visant à compenser les pertes </w:t>
      </w:r>
      <w:r w:rsidRPr="625AC697">
        <w:rPr>
          <w:rFonts w:ascii="Cambria" w:eastAsia="MS Mincho" w:hAnsi="Cambria" w:cs="Calibri Light"/>
          <w:color w:val="000000" w:themeColor="text1"/>
          <w:u w:val="single"/>
          <w:lang w:val="fr"/>
        </w:rPr>
        <w:t>résultant de l’interdiction ci-dessus est maintenue pendant cette période, dans les limites des crédits budgétaires disponibles.</w:t>
      </w:r>
    </w:p>
    <w:p w14:paraId="3C323E40" w14:textId="05BE3C3A" w:rsidR="625AC697" w:rsidRPr="007F2B3E" w:rsidRDefault="3DAB2B3A" w:rsidP="625AC697">
      <w:pPr>
        <w:spacing w:before="120"/>
        <w:rPr>
          <w:rFonts w:ascii="Cambria" w:eastAsia="MS Mincho" w:hAnsi="Cambria" w:cs="Calibri Light"/>
          <w:color w:val="000000" w:themeColor="text1"/>
          <w:u w:val="single"/>
          <w:lang w:val="fr-FR"/>
        </w:rPr>
      </w:pPr>
      <w:r w:rsidRPr="625AC697">
        <w:rPr>
          <w:rFonts w:ascii="Cambria" w:eastAsia="MS Mincho" w:hAnsi="Cambria" w:cs="Arial"/>
          <w:color w:val="000000" w:themeColor="text1"/>
          <w:u w:val="single"/>
          <w:lang w:val="fr-FR"/>
        </w:rPr>
        <w:t>Il convient d’être attentif aux évolutions législatives à venir en cette matière qui détermineront le nouveau dispositif applicable à l’exercice 2027.</w:t>
      </w:r>
    </w:p>
    <w:p w14:paraId="35D6F586" w14:textId="33B6E8A4" w:rsidR="00795C3E" w:rsidRPr="00C26057" w:rsidRDefault="00795C3E" w:rsidP="35BD9115">
      <w:pPr>
        <w:pStyle w:val="Titre3"/>
        <w:rPr>
          <w:caps/>
        </w:rPr>
      </w:pPr>
      <w:bookmarkStart w:id="2048" w:name="_Toc516739806"/>
      <w:bookmarkStart w:id="2049" w:name="_Toc516739809"/>
      <w:bookmarkStart w:id="2050" w:name="_Toc516751718"/>
      <w:bookmarkStart w:id="2051" w:name="_Toc516825806"/>
      <w:bookmarkStart w:id="2052" w:name="_Toc516826364"/>
      <w:bookmarkStart w:id="2053" w:name="_Toc516837684"/>
      <w:bookmarkStart w:id="2054" w:name="_Toc516838243"/>
      <w:bookmarkStart w:id="2055" w:name="_Toc516838802"/>
      <w:bookmarkStart w:id="2056" w:name="_Toc516839362"/>
      <w:bookmarkStart w:id="2057" w:name="_Toc517173458"/>
      <w:bookmarkStart w:id="2058" w:name="_Toc517175132"/>
      <w:bookmarkStart w:id="2059" w:name="_Toc517175719"/>
      <w:bookmarkStart w:id="2060" w:name="_Toc517176307"/>
      <w:bookmarkStart w:id="2061" w:name="_Toc517337632"/>
      <w:bookmarkStart w:id="2062" w:name="_Toc517360428"/>
      <w:bookmarkStart w:id="2063" w:name="_Toc516739810"/>
      <w:bookmarkStart w:id="2064" w:name="_Toc516751719"/>
      <w:bookmarkStart w:id="2065" w:name="_Toc516825807"/>
      <w:bookmarkStart w:id="2066" w:name="_Toc516826365"/>
      <w:bookmarkStart w:id="2067" w:name="_Toc516837685"/>
      <w:bookmarkStart w:id="2068" w:name="_Toc516838244"/>
      <w:bookmarkStart w:id="2069" w:name="_Toc516838803"/>
      <w:bookmarkStart w:id="2070" w:name="_Toc516839363"/>
      <w:bookmarkStart w:id="2071" w:name="_Toc517173459"/>
      <w:bookmarkStart w:id="2072" w:name="_Toc517175133"/>
      <w:bookmarkStart w:id="2073" w:name="_Toc517175720"/>
      <w:bookmarkStart w:id="2074" w:name="_Toc517176308"/>
      <w:bookmarkStart w:id="2075" w:name="_Toc517337633"/>
      <w:bookmarkStart w:id="2076" w:name="_Toc517360429"/>
      <w:bookmarkStart w:id="2077" w:name="_Toc516739811"/>
      <w:bookmarkStart w:id="2078" w:name="_Toc516751720"/>
      <w:bookmarkStart w:id="2079" w:name="_Toc516825808"/>
      <w:bookmarkStart w:id="2080" w:name="_Toc516826366"/>
      <w:bookmarkStart w:id="2081" w:name="_Toc516837686"/>
      <w:bookmarkStart w:id="2082" w:name="_Toc516838245"/>
      <w:bookmarkStart w:id="2083" w:name="_Toc516838804"/>
      <w:bookmarkStart w:id="2084" w:name="_Toc516839364"/>
      <w:bookmarkStart w:id="2085" w:name="_Toc517173460"/>
      <w:bookmarkStart w:id="2086" w:name="_Toc517175134"/>
      <w:bookmarkStart w:id="2087" w:name="_Toc517175721"/>
      <w:bookmarkStart w:id="2088" w:name="_Toc517176309"/>
      <w:bookmarkStart w:id="2089" w:name="_Toc517337634"/>
      <w:bookmarkStart w:id="2090" w:name="_Toc517360430"/>
      <w:bookmarkStart w:id="2091" w:name="_Toc516739812"/>
      <w:bookmarkStart w:id="2092" w:name="_Toc516751721"/>
      <w:bookmarkStart w:id="2093" w:name="_Toc516825809"/>
      <w:bookmarkStart w:id="2094" w:name="_Toc516826367"/>
      <w:bookmarkStart w:id="2095" w:name="_Toc516837687"/>
      <w:bookmarkStart w:id="2096" w:name="_Toc516838246"/>
      <w:bookmarkStart w:id="2097" w:name="_Toc516838805"/>
      <w:bookmarkStart w:id="2098" w:name="_Toc516839365"/>
      <w:bookmarkStart w:id="2099" w:name="_Toc517173461"/>
      <w:bookmarkStart w:id="2100" w:name="_Toc517175135"/>
      <w:bookmarkStart w:id="2101" w:name="_Toc517175722"/>
      <w:bookmarkStart w:id="2102" w:name="_Toc517176310"/>
      <w:bookmarkStart w:id="2103" w:name="_Toc517337635"/>
      <w:bookmarkStart w:id="2104" w:name="_Toc517360431"/>
      <w:bookmarkStart w:id="2105" w:name="_Toc516739813"/>
      <w:bookmarkStart w:id="2106" w:name="_Toc516751722"/>
      <w:bookmarkStart w:id="2107" w:name="_Toc516825810"/>
      <w:bookmarkStart w:id="2108" w:name="_Toc516826368"/>
      <w:bookmarkStart w:id="2109" w:name="_Toc516837688"/>
      <w:bookmarkStart w:id="2110" w:name="_Toc516838247"/>
      <w:bookmarkStart w:id="2111" w:name="_Toc516838806"/>
      <w:bookmarkStart w:id="2112" w:name="_Toc516839366"/>
      <w:bookmarkStart w:id="2113" w:name="_Toc517173462"/>
      <w:bookmarkStart w:id="2114" w:name="_Toc517175136"/>
      <w:bookmarkStart w:id="2115" w:name="_Toc517175723"/>
      <w:bookmarkStart w:id="2116" w:name="_Toc517176311"/>
      <w:bookmarkStart w:id="2117" w:name="_Toc517337636"/>
      <w:bookmarkStart w:id="2118" w:name="_Toc517360432"/>
      <w:bookmarkStart w:id="2119" w:name="_Toc516739814"/>
      <w:bookmarkStart w:id="2120" w:name="_Toc516751723"/>
      <w:bookmarkStart w:id="2121" w:name="_Toc516825811"/>
      <w:bookmarkStart w:id="2122" w:name="_Toc516826369"/>
      <w:bookmarkStart w:id="2123" w:name="_Toc516837689"/>
      <w:bookmarkStart w:id="2124" w:name="_Toc516838248"/>
      <w:bookmarkStart w:id="2125" w:name="_Toc516838807"/>
      <w:bookmarkStart w:id="2126" w:name="_Toc516839367"/>
      <w:bookmarkStart w:id="2127" w:name="_Toc517173463"/>
      <w:bookmarkStart w:id="2128" w:name="_Toc517175137"/>
      <w:bookmarkStart w:id="2129" w:name="_Toc517175724"/>
      <w:bookmarkStart w:id="2130" w:name="_Toc517176312"/>
      <w:bookmarkStart w:id="2131" w:name="_Toc517337637"/>
      <w:bookmarkStart w:id="2132" w:name="_Toc517360433"/>
      <w:bookmarkStart w:id="2133" w:name="_Toc516739815"/>
      <w:bookmarkStart w:id="2134" w:name="_Toc516751724"/>
      <w:bookmarkStart w:id="2135" w:name="_Toc516825812"/>
      <w:bookmarkStart w:id="2136" w:name="_Toc516826370"/>
      <w:bookmarkStart w:id="2137" w:name="_Toc516837690"/>
      <w:bookmarkStart w:id="2138" w:name="_Toc516838249"/>
      <w:bookmarkStart w:id="2139" w:name="_Toc516838808"/>
      <w:bookmarkStart w:id="2140" w:name="_Toc516839368"/>
      <w:bookmarkStart w:id="2141" w:name="_Toc517173464"/>
      <w:bookmarkStart w:id="2142" w:name="_Toc517175138"/>
      <w:bookmarkStart w:id="2143" w:name="_Toc517175725"/>
      <w:bookmarkStart w:id="2144" w:name="_Toc517176313"/>
      <w:bookmarkStart w:id="2145" w:name="_Toc517337638"/>
      <w:bookmarkStart w:id="2146" w:name="_Toc517360434"/>
      <w:bookmarkStart w:id="2147" w:name="_Toc516739816"/>
      <w:bookmarkStart w:id="2148" w:name="_Toc516751725"/>
      <w:bookmarkStart w:id="2149" w:name="_Toc516825813"/>
      <w:bookmarkStart w:id="2150" w:name="_Toc516826371"/>
      <w:bookmarkStart w:id="2151" w:name="_Toc516837691"/>
      <w:bookmarkStart w:id="2152" w:name="_Toc516838250"/>
      <w:bookmarkStart w:id="2153" w:name="_Toc516838809"/>
      <w:bookmarkStart w:id="2154" w:name="_Toc516839369"/>
      <w:bookmarkStart w:id="2155" w:name="_Toc517173465"/>
      <w:bookmarkStart w:id="2156" w:name="_Toc517175139"/>
      <w:bookmarkStart w:id="2157" w:name="_Toc517175726"/>
      <w:bookmarkStart w:id="2158" w:name="_Toc517176314"/>
      <w:bookmarkStart w:id="2159" w:name="_Toc517337639"/>
      <w:bookmarkStart w:id="2160" w:name="_Toc517360435"/>
      <w:bookmarkStart w:id="2161" w:name="_Toc516739817"/>
      <w:bookmarkStart w:id="2162" w:name="_Toc516751726"/>
      <w:bookmarkStart w:id="2163" w:name="_Toc516825814"/>
      <w:bookmarkStart w:id="2164" w:name="_Toc516826372"/>
      <w:bookmarkStart w:id="2165" w:name="_Toc516837692"/>
      <w:bookmarkStart w:id="2166" w:name="_Toc516838251"/>
      <w:bookmarkStart w:id="2167" w:name="_Toc516838810"/>
      <w:bookmarkStart w:id="2168" w:name="_Toc516839370"/>
      <w:bookmarkStart w:id="2169" w:name="_Toc517173466"/>
      <w:bookmarkStart w:id="2170" w:name="_Toc517175140"/>
      <w:bookmarkStart w:id="2171" w:name="_Toc517175727"/>
      <w:bookmarkStart w:id="2172" w:name="_Toc517176315"/>
      <w:bookmarkStart w:id="2173" w:name="_Toc517337640"/>
      <w:bookmarkStart w:id="2174" w:name="_Toc517360436"/>
      <w:bookmarkStart w:id="2175" w:name="_Toc516739818"/>
      <w:bookmarkStart w:id="2176" w:name="_Toc516751727"/>
      <w:bookmarkStart w:id="2177" w:name="_Toc516825815"/>
      <w:bookmarkStart w:id="2178" w:name="_Toc516826373"/>
      <w:bookmarkStart w:id="2179" w:name="_Toc516837693"/>
      <w:bookmarkStart w:id="2180" w:name="_Toc516838252"/>
      <w:bookmarkStart w:id="2181" w:name="_Toc516838811"/>
      <w:bookmarkStart w:id="2182" w:name="_Toc516839371"/>
      <w:bookmarkStart w:id="2183" w:name="_Toc517173467"/>
      <w:bookmarkStart w:id="2184" w:name="_Toc517175141"/>
      <w:bookmarkStart w:id="2185" w:name="_Toc517175728"/>
      <w:bookmarkStart w:id="2186" w:name="_Toc517176316"/>
      <w:bookmarkStart w:id="2187" w:name="_Toc517337641"/>
      <w:bookmarkStart w:id="2188" w:name="_Toc517360437"/>
      <w:bookmarkStart w:id="2189" w:name="_Toc143779190"/>
      <w:bookmarkStart w:id="2190" w:name="_Toc208420099"/>
      <w:bookmarkStart w:id="2191" w:name="_Toc225504331"/>
      <w:bookmarkStart w:id="2192" w:name="_Toc225772420"/>
      <w:bookmarkStart w:id="2193" w:name="_Toc233626288"/>
      <w:bookmarkStart w:id="2194" w:name="_Toc512525500"/>
      <w:bookmarkStart w:id="2195" w:name="_Toc515896814"/>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r w:rsidRPr="00C26057">
        <w:t>040/364-04 : Tanks et réservoirs</w:t>
      </w:r>
      <w:bookmarkEnd w:id="2189"/>
      <w:bookmarkEnd w:id="2190"/>
      <w:bookmarkEnd w:id="2191"/>
      <w:bookmarkEnd w:id="2192"/>
      <w:bookmarkEnd w:id="2193"/>
      <w:r w:rsidRPr="00C26057">
        <w:t xml:space="preserve"> </w:t>
      </w:r>
    </w:p>
    <w:p w14:paraId="1295DCF1" w14:textId="77777777" w:rsidR="00795C3E" w:rsidRPr="00F91BDD" w:rsidRDefault="00795C3E" w:rsidP="00795C3E">
      <w:pPr>
        <w:spacing w:before="120"/>
      </w:pPr>
      <w:r w:rsidRPr="00F91BDD">
        <w:t>Taxe directe.</w:t>
      </w:r>
      <w:bookmarkEnd w:id="2194"/>
      <w:bookmarkEnd w:id="2195"/>
    </w:p>
    <w:p w14:paraId="1A49B310" w14:textId="77777777" w:rsidR="00795C3E" w:rsidRPr="00F91BDD" w:rsidRDefault="00795C3E" w:rsidP="00795C3E">
      <w:pPr>
        <w:spacing w:before="120"/>
        <w:textAlignment w:val="baseline"/>
        <w:rPr>
          <w:rFonts w:cs="Calibri Light"/>
        </w:rPr>
      </w:pPr>
      <w:r w:rsidRPr="00F91BDD">
        <w:rPr>
          <w:rFonts w:cs="Calibri Light"/>
        </w:rPr>
        <w:t>La Commune peut établir une taxe sur les tanks et réservoirs fixes en exploitation, à des fins commerciales ou industrielles, au 1</w:t>
      </w:r>
      <w:r w:rsidRPr="00F91BDD">
        <w:rPr>
          <w:rFonts w:cs="Calibri Light"/>
          <w:vertAlign w:val="superscript"/>
        </w:rPr>
        <w:t>er</w:t>
      </w:r>
      <w:r w:rsidRPr="00F91BDD">
        <w:rPr>
          <w:rFonts w:cs="Calibri Light"/>
        </w:rPr>
        <w:t xml:space="preserve"> janvier de l'exercice d'imposition.</w:t>
      </w:r>
    </w:p>
    <w:p w14:paraId="1867386B" w14:textId="77777777" w:rsidR="00795C3E" w:rsidRPr="00F91BDD" w:rsidRDefault="00795C3E" w:rsidP="00795C3E">
      <w:pPr>
        <w:spacing w:before="120"/>
        <w:textAlignment w:val="baseline"/>
        <w:rPr>
          <w:rFonts w:cs="Calibri Light"/>
        </w:rPr>
      </w:pPr>
      <w:r w:rsidRPr="00F91BDD">
        <w:rPr>
          <w:rFonts w:cs="Calibri Light"/>
        </w:rPr>
        <w:t xml:space="preserve">Sont visés les réservoirs fixes (aériens ou enterrés) de liquides combustibles dont le point d'éclair est supérieur à 55 </w:t>
      </w:r>
      <w:r w:rsidRPr="00F91BDD">
        <w:rPr>
          <w:rFonts w:cs="Calibri Light"/>
          <w:vertAlign w:val="superscript"/>
        </w:rPr>
        <w:t>°</w:t>
      </w:r>
      <w:r w:rsidRPr="00F91BDD">
        <w:rPr>
          <w:rFonts w:cs="Calibri Light"/>
        </w:rPr>
        <w:t xml:space="preserve">C et inférieur ou égal à 100 </w:t>
      </w:r>
      <w:r w:rsidRPr="00F91BDD">
        <w:rPr>
          <w:rFonts w:cs="Calibri Light"/>
          <w:vertAlign w:val="superscript"/>
        </w:rPr>
        <w:t>°</w:t>
      </w:r>
      <w:r w:rsidRPr="00F91BDD">
        <w:rPr>
          <w:rFonts w:cs="Calibri Light"/>
        </w:rPr>
        <w:t>C (catégorie C) et dont la capacité de stockage est supérieure ou égale à 3.000 litres visés par la rubrique 63.12.09.03.01 de l'annexe I de l'arrêté du Gouvernement wallon du 4 juillet 2002 arrêtant la liste des projets soumis à étude d'incidence et des installations et activités classées.</w:t>
      </w:r>
    </w:p>
    <w:p w14:paraId="4AEC1EE9" w14:textId="55A2632D" w:rsidR="00795C3E" w:rsidRPr="00F91BDD" w:rsidRDefault="00795C3E" w:rsidP="00795C3E">
      <w:pPr>
        <w:spacing w:before="120"/>
        <w:textAlignment w:val="baseline"/>
        <w:rPr>
          <w:rFonts w:cs="Calibri Light"/>
          <w:spacing w:val="-1"/>
        </w:rPr>
      </w:pPr>
      <w:r w:rsidRPr="00F91BDD">
        <w:rPr>
          <w:rFonts w:cs="Calibri Light"/>
          <w:spacing w:val="-1"/>
        </w:rPr>
        <w:t>Elle est fixée à 0,50 euro/m</w:t>
      </w:r>
      <w:r w:rsidRPr="00F91BDD">
        <w:rPr>
          <w:rFonts w:cs="Calibri Light"/>
          <w:spacing w:val="-1"/>
          <w:vertAlign w:val="superscript"/>
        </w:rPr>
        <w:t>3</w:t>
      </w:r>
      <w:r w:rsidRPr="00F91BDD">
        <w:rPr>
          <w:rFonts w:cs="Calibri Light"/>
          <w:spacing w:val="-1"/>
        </w:rPr>
        <w:t xml:space="preserve">  et n'intègre pas les bassins de décantation.</w:t>
      </w:r>
    </w:p>
    <w:p w14:paraId="5F6AB9C4" w14:textId="556BA922" w:rsidR="00795C3E" w:rsidRPr="00C26057" w:rsidRDefault="00795C3E" w:rsidP="35BD9115">
      <w:pPr>
        <w:pStyle w:val="Titre3"/>
        <w:rPr>
          <w:caps/>
        </w:rPr>
      </w:pPr>
      <w:bookmarkStart w:id="2196" w:name="_Toc143779191"/>
      <w:bookmarkStart w:id="2197" w:name="_Toc208420100"/>
      <w:bookmarkStart w:id="2198" w:name="_Toc225504332"/>
      <w:bookmarkStart w:id="2199" w:name="_Toc225772421"/>
      <w:bookmarkStart w:id="2200" w:name="_Toc233626289"/>
      <w:bookmarkStart w:id="2201" w:name="_Hlk68531005"/>
      <w:bookmarkStart w:id="2202" w:name="_Toc512525501"/>
      <w:bookmarkStart w:id="2203" w:name="_Toc515896815"/>
      <w:bookmarkStart w:id="2204" w:name="_Hlk38966723"/>
      <w:r w:rsidRPr="00C26057">
        <w:t>040/364-09 : Mines, minières, carrières et terrils</w:t>
      </w:r>
      <w:bookmarkEnd w:id="2196"/>
      <w:bookmarkEnd w:id="2197"/>
      <w:bookmarkEnd w:id="2198"/>
      <w:bookmarkEnd w:id="2199"/>
      <w:bookmarkEnd w:id="2200"/>
      <w:r w:rsidRPr="00C26057">
        <w:t xml:space="preserve"> </w:t>
      </w:r>
      <w:bookmarkEnd w:id="2201"/>
    </w:p>
    <w:p w14:paraId="1C658E57" w14:textId="77777777" w:rsidR="00795C3E" w:rsidRPr="00F91BDD" w:rsidRDefault="00795C3E" w:rsidP="00795C3E">
      <w:pPr>
        <w:spacing w:before="120"/>
      </w:pPr>
      <w:r w:rsidRPr="00F91BDD">
        <w:t>Taxe directe.</w:t>
      </w:r>
      <w:bookmarkEnd w:id="2202"/>
      <w:bookmarkEnd w:id="2203"/>
    </w:p>
    <w:p w14:paraId="7F1255ED" w14:textId="77777777" w:rsidR="00795C3E" w:rsidRPr="00F91BDD" w:rsidRDefault="00795C3E" w:rsidP="00795C3E">
      <w:pPr>
        <w:spacing w:before="120"/>
        <w:textAlignment w:val="baseline"/>
        <w:rPr>
          <w:rFonts w:cs="Calibri Light"/>
        </w:rPr>
      </w:pPr>
      <w:r w:rsidRPr="00F91BDD">
        <w:rPr>
          <w:rFonts w:cs="Calibri Light"/>
        </w:rPr>
        <w:t>Toute taxe indirecte sur les mines, minières et carrières est illégale</w:t>
      </w:r>
      <w:r w:rsidRPr="00F91BDD">
        <w:rPr>
          <w:rStyle w:val="Appelnotedebasdep"/>
          <w:rFonts w:cs="Calibri Light"/>
        </w:rPr>
        <w:footnoteReference w:id="102"/>
      </w:r>
      <w:r w:rsidRPr="00F91BDD">
        <w:rPr>
          <w:rFonts w:cs="Calibri Light"/>
        </w:rPr>
        <w:t>.</w:t>
      </w:r>
    </w:p>
    <w:p w14:paraId="7D775962" w14:textId="77777777" w:rsidR="00795C3E" w:rsidRPr="00F91BDD" w:rsidRDefault="00795C3E" w:rsidP="00795C3E">
      <w:pPr>
        <w:spacing w:before="120"/>
        <w:textAlignment w:val="baseline"/>
        <w:rPr>
          <w:rFonts w:cs="Calibri Light"/>
          <w:spacing w:val="-1"/>
        </w:rPr>
      </w:pPr>
      <w:r w:rsidRPr="00F91BDD">
        <w:rPr>
          <w:rFonts w:cs="Calibri Light"/>
          <w:spacing w:val="-1"/>
        </w:rPr>
        <w:t>Il est recommandé de définir le taux de la taxe en tenant compte de la production annuelle.</w:t>
      </w:r>
    </w:p>
    <w:p w14:paraId="66AD0135" w14:textId="77777777" w:rsidR="00795C3E" w:rsidRPr="00F91BDD" w:rsidRDefault="00795C3E" w:rsidP="00795C3E">
      <w:pPr>
        <w:spacing w:before="120"/>
        <w:textAlignment w:val="baseline"/>
        <w:rPr>
          <w:rFonts w:cs="Calibri Light"/>
          <w:spacing w:val="-1"/>
        </w:rPr>
      </w:pPr>
      <w:r w:rsidRPr="00F91BDD">
        <w:rPr>
          <w:rFonts w:cs="Calibri Light"/>
          <w:spacing w:val="-1"/>
        </w:rPr>
        <w:t>Le système de la taxe de répartition me semble être adéquat pour taxer cette activité.</w:t>
      </w:r>
    </w:p>
    <w:p w14:paraId="16142ACB" w14:textId="77777777" w:rsidR="00795C3E" w:rsidRPr="00F91BDD" w:rsidRDefault="00795C3E" w:rsidP="00795C3E">
      <w:pPr>
        <w:spacing w:before="120"/>
        <w:textAlignment w:val="baseline"/>
        <w:rPr>
          <w:rFonts w:cs="Calibri Light"/>
          <w:spacing w:val="1"/>
        </w:rPr>
      </w:pPr>
      <w:r w:rsidRPr="00F91BDD">
        <w:rPr>
          <w:rFonts w:cs="Calibri Light"/>
          <w:spacing w:val="1"/>
        </w:rPr>
        <w:lastRenderedPageBreak/>
        <w:t xml:space="preserve">En ce qui concerne les critères de répartition du taux de la taxe, celui de la production annuelle de l'année précédant l'exercice d'imposition me semble être un bon critère. </w:t>
      </w:r>
    </w:p>
    <w:p w14:paraId="1EBA6DBD" w14:textId="13A9377B" w:rsidR="00795C3E" w:rsidRPr="00F91BDD" w:rsidRDefault="7A4EB386" w:rsidP="00795C3E">
      <w:pPr>
        <w:spacing w:before="120"/>
        <w:textAlignment w:val="baseline"/>
        <w:rPr>
          <w:rFonts w:cs="Calibri Light"/>
          <w:spacing w:val="1"/>
        </w:rPr>
      </w:pPr>
      <w:bookmarkStart w:id="2205" w:name="_Hlk68531139"/>
      <w:r w:rsidRPr="00F91BDD">
        <w:rPr>
          <w:rFonts w:cs="Calibri Light"/>
          <w:spacing w:val="1"/>
        </w:rPr>
        <w:t>Depuis 2017, un mécanisme de suppression partielle des taxes communales</w:t>
      </w:r>
      <w:r w:rsidR="50BAA5C6" w:rsidRPr="00F91BDD">
        <w:rPr>
          <w:rFonts w:cs="Calibri Light"/>
          <w:spacing w:val="1"/>
        </w:rPr>
        <w:t xml:space="preserve"> sur les carrières accompagné d’une compensation régionale avait été mis en place </w:t>
      </w:r>
      <w:r w:rsidR="3DD735A0" w:rsidRPr="00F91BDD">
        <w:rPr>
          <w:rFonts w:cs="Calibri Light"/>
          <w:spacing w:val="1"/>
        </w:rPr>
        <w:t>pour limiter l’impact du prélèvement kilométrique sur les</w:t>
      </w:r>
      <w:r w:rsidR="0F6B2F21" w:rsidRPr="00F91BDD">
        <w:rPr>
          <w:rFonts w:cs="Calibri Light"/>
          <w:spacing w:val="1"/>
        </w:rPr>
        <w:t xml:space="preserve"> </w:t>
      </w:r>
      <w:r w:rsidR="3DD735A0" w:rsidRPr="00F91BDD">
        <w:rPr>
          <w:rFonts w:cs="Calibri Light"/>
          <w:spacing w:val="1"/>
        </w:rPr>
        <w:t xml:space="preserve">poids lourds pour ce secteur. </w:t>
      </w:r>
      <w:r w:rsidR="00795C3E" w:rsidRPr="00F91BDD">
        <w:rPr>
          <w:rFonts w:cs="Calibri Light"/>
          <w:spacing w:val="1"/>
        </w:rPr>
        <w:t xml:space="preserve">Je souhaite que l’abandon </w:t>
      </w:r>
      <w:r w:rsidR="4B24709F" w:rsidRPr="00F91BDD">
        <w:rPr>
          <w:rFonts w:cs="Calibri Light"/>
          <w:spacing w:val="1"/>
        </w:rPr>
        <w:t xml:space="preserve">depuis l’exercice 2024 </w:t>
      </w:r>
      <w:r w:rsidR="00795C3E" w:rsidRPr="00F91BDD">
        <w:rPr>
          <w:rFonts w:cs="Calibri Light"/>
          <w:spacing w:val="1"/>
        </w:rPr>
        <w:t>de</w:t>
      </w:r>
      <w:r w:rsidR="3E745819" w:rsidRPr="00F91BDD">
        <w:rPr>
          <w:rFonts w:cs="Calibri Light"/>
          <w:spacing w:val="1"/>
        </w:rPr>
        <w:t xml:space="preserve"> cette</w:t>
      </w:r>
      <w:r w:rsidR="00795C3E" w:rsidRPr="00F91BDD">
        <w:rPr>
          <w:rFonts w:cs="Calibri Light"/>
          <w:spacing w:val="1"/>
        </w:rPr>
        <w:t xml:space="preserve"> mesure </w:t>
      </w:r>
      <w:r w:rsidR="00FF16EF" w:rsidRPr="00F91BDD">
        <w:rPr>
          <w:rFonts w:cs="Calibri Light"/>
          <w:spacing w:val="1"/>
        </w:rPr>
        <w:t>d’accompagnement n’engendre</w:t>
      </w:r>
      <w:r w:rsidR="00795C3E" w:rsidRPr="00F91BDD">
        <w:rPr>
          <w:rFonts w:cs="Calibri Light"/>
          <w:spacing w:val="1"/>
        </w:rPr>
        <w:t xml:space="preserve"> pas une augmentation inconsidérée de la charge imposée aux entreprises de ce secteur.</w:t>
      </w:r>
    </w:p>
    <w:p w14:paraId="7110A3C7" w14:textId="3E7FDCAB" w:rsidR="00795C3E" w:rsidRPr="002241E4" w:rsidRDefault="00795C3E" w:rsidP="35BD9115">
      <w:pPr>
        <w:pStyle w:val="Titre3"/>
        <w:rPr>
          <w:caps/>
        </w:rPr>
      </w:pPr>
      <w:bookmarkStart w:id="2206" w:name="_Toc516229728"/>
      <w:bookmarkStart w:id="2207" w:name="_Toc516230023"/>
      <w:bookmarkStart w:id="2208" w:name="_Toc516230318"/>
      <w:bookmarkStart w:id="2209" w:name="_Toc516230612"/>
      <w:bookmarkStart w:id="2210" w:name="_Toc516230906"/>
      <w:bookmarkStart w:id="2211" w:name="_Toc516231201"/>
      <w:bookmarkStart w:id="2212" w:name="_Toc516231496"/>
      <w:bookmarkStart w:id="2213" w:name="_Toc516231793"/>
      <w:bookmarkStart w:id="2214" w:name="_Toc516242888"/>
      <w:bookmarkStart w:id="2215" w:name="_Toc516243192"/>
      <w:bookmarkStart w:id="2216" w:name="_Toc516245127"/>
      <w:bookmarkStart w:id="2217" w:name="_Toc516473698"/>
      <w:bookmarkStart w:id="2218" w:name="_Toc516474008"/>
      <w:bookmarkStart w:id="2219" w:name="_Toc516474318"/>
      <w:bookmarkStart w:id="2220" w:name="_Toc516474626"/>
      <w:bookmarkStart w:id="2221" w:name="_Toc516474958"/>
      <w:bookmarkStart w:id="2222" w:name="_Toc516479019"/>
      <w:bookmarkStart w:id="2223" w:name="_Toc516479455"/>
      <w:bookmarkStart w:id="2224" w:name="_Toc516479772"/>
      <w:bookmarkStart w:id="2225" w:name="_Toc516480094"/>
      <w:bookmarkStart w:id="2226" w:name="_Toc516480408"/>
      <w:bookmarkStart w:id="2227" w:name="_Toc516480722"/>
      <w:bookmarkStart w:id="2228" w:name="_Toc516481036"/>
      <w:bookmarkStart w:id="2229" w:name="_Toc516481350"/>
      <w:bookmarkStart w:id="2230" w:name="_Toc516481664"/>
      <w:bookmarkStart w:id="2231" w:name="_Toc516481978"/>
      <w:bookmarkStart w:id="2232" w:name="_Toc516482292"/>
      <w:bookmarkStart w:id="2233" w:name="_Toc516482606"/>
      <w:bookmarkStart w:id="2234" w:name="_Toc516739821"/>
      <w:bookmarkStart w:id="2235" w:name="_Toc516751730"/>
      <w:bookmarkStart w:id="2236" w:name="_Toc516825818"/>
      <w:bookmarkStart w:id="2237" w:name="_Toc516826376"/>
      <w:bookmarkStart w:id="2238" w:name="_Toc516837696"/>
      <w:bookmarkStart w:id="2239" w:name="_Toc516838255"/>
      <w:bookmarkStart w:id="2240" w:name="_Toc516838814"/>
      <w:bookmarkStart w:id="2241" w:name="_Toc516839374"/>
      <w:bookmarkStart w:id="2242" w:name="_Toc517173470"/>
      <w:bookmarkStart w:id="2243" w:name="_Toc517175144"/>
      <w:bookmarkStart w:id="2244" w:name="_Toc517175731"/>
      <w:bookmarkStart w:id="2245" w:name="_Toc517176319"/>
      <w:bookmarkStart w:id="2246" w:name="_Toc517337644"/>
      <w:bookmarkStart w:id="2247" w:name="_Toc517360440"/>
      <w:bookmarkStart w:id="2248" w:name="_Toc143779192"/>
      <w:bookmarkStart w:id="2249" w:name="_Toc208420101"/>
      <w:bookmarkStart w:id="2250" w:name="_Toc225504333"/>
      <w:bookmarkStart w:id="2251" w:name="_Toc225772422"/>
      <w:bookmarkStart w:id="2252" w:name="_Toc233626290"/>
      <w:bookmarkStart w:id="2253" w:name="_Toc512525502"/>
      <w:bookmarkStart w:id="2254" w:name="_Toc515896816"/>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r w:rsidRPr="00C26057">
        <w:t>040/364-12 : Débits de boissons</w:t>
      </w:r>
      <w:bookmarkEnd w:id="2248"/>
      <w:bookmarkEnd w:id="2249"/>
      <w:bookmarkEnd w:id="2250"/>
      <w:bookmarkEnd w:id="2251"/>
      <w:bookmarkEnd w:id="2252"/>
      <w:r w:rsidRPr="00C26057">
        <w:t xml:space="preserve"> </w:t>
      </w:r>
    </w:p>
    <w:p w14:paraId="26680B5F" w14:textId="77777777" w:rsidR="00795C3E" w:rsidRPr="00F91BDD" w:rsidRDefault="00795C3E" w:rsidP="00795C3E">
      <w:pPr>
        <w:spacing w:before="120"/>
      </w:pPr>
      <w:r w:rsidRPr="00F91BDD">
        <w:t>Taxe directe.</w:t>
      </w:r>
      <w:bookmarkEnd w:id="2253"/>
      <w:bookmarkEnd w:id="2254"/>
    </w:p>
    <w:p w14:paraId="0088FB94" w14:textId="7E32998B" w:rsidR="00795C3E" w:rsidRPr="00F91BDD" w:rsidRDefault="00795C3E" w:rsidP="00795C3E">
      <w:pPr>
        <w:spacing w:before="120"/>
        <w:textAlignment w:val="baseline"/>
        <w:rPr>
          <w:rFonts w:cs="Calibri Light"/>
          <w:spacing w:val="-1"/>
        </w:rPr>
      </w:pPr>
      <w:r w:rsidRPr="00F91BDD">
        <w:rPr>
          <w:rFonts w:cs="Calibri Light"/>
          <w:spacing w:val="-1"/>
        </w:rPr>
        <w:t>Taux maximum recommandé : 250,00 euros/</w:t>
      </w:r>
      <w:r w:rsidR="00FF16EF" w:rsidRPr="00F91BDD">
        <w:rPr>
          <w:rFonts w:cs="Calibri Light"/>
          <w:spacing w:val="-1"/>
        </w:rPr>
        <w:t>établissement.</w:t>
      </w:r>
    </w:p>
    <w:p w14:paraId="22281BDB" w14:textId="77777777" w:rsidR="00795C3E" w:rsidRPr="00F91BDD" w:rsidRDefault="00795C3E" w:rsidP="00795C3E">
      <w:pPr>
        <w:spacing w:before="120"/>
        <w:textAlignment w:val="baseline"/>
        <w:rPr>
          <w:rFonts w:cs="Calibri Light"/>
        </w:rPr>
      </w:pPr>
      <w:r w:rsidRPr="00F91BDD">
        <w:rPr>
          <w:rFonts w:cs="Calibri Light"/>
        </w:rPr>
        <w:t>Taux à moduler au choix, selon le chiffre d'affaires, le caractère accessoire ou non de l'activité exercée ou encore la superficie des locaux exploités, auquel cas il convient de tenir compte des terrasses établies sur le domaine privé ou public.</w:t>
      </w:r>
    </w:p>
    <w:p w14:paraId="77C17826" w14:textId="77777777" w:rsidR="00795C3E" w:rsidRPr="00F91BDD" w:rsidRDefault="00795C3E" w:rsidP="00795C3E">
      <w:pPr>
        <w:spacing w:before="120"/>
        <w:textAlignment w:val="baseline"/>
        <w:rPr>
          <w:rFonts w:cs="Calibri Light"/>
        </w:rPr>
      </w:pPr>
      <w:r w:rsidRPr="00F91BDD">
        <w:rPr>
          <w:rFonts w:cs="Calibri Light"/>
        </w:rPr>
        <w:t>Cette modulation est d’autant plus importante que dans l’arrêt du 19 avril 2021</w:t>
      </w:r>
      <w:r w:rsidRPr="00F91BDD">
        <w:rPr>
          <w:rStyle w:val="Appelnotedebasdep"/>
          <w:rFonts w:cs="Calibri Light"/>
        </w:rPr>
        <w:footnoteReference w:id="103"/>
      </w:r>
      <w:r w:rsidRPr="00F91BDD">
        <w:rPr>
          <w:rFonts w:cs="Calibri Light"/>
        </w:rPr>
        <w:t xml:space="preserve"> dans lequel la Cour de cassation a considéré que « En raison de son taux forfaitaire unique, la taxe litigieuse sur les bars frappe l'exercice d'une activité économique sans avoir égard au moindre indice qui rende compte de son ampleur (par exemple la superficie, l'importance du personnel ou le chiffre d'affaires). A défaut de tels indices, le règlement-taxe traite de manière identique des établissements qui, tout en exerçant la même activité, se trouvent dans des situations essentiellement différentes du point de vue de leurs capacités contributives. »</w:t>
      </w:r>
    </w:p>
    <w:p w14:paraId="542B3C1B" w14:textId="77777777" w:rsidR="00795C3E" w:rsidRPr="00F91BDD" w:rsidRDefault="00795C3E" w:rsidP="00795C3E">
      <w:pPr>
        <w:spacing w:before="120"/>
        <w:textAlignment w:val="baseline"/>
        <w:rPr>
          <w:rFonts w:cs="Calibri Light"/>
        </w:rPr>
      </w:pPr>
      <w:r w:rsidRPr="00F91BDD">
        <w:rPr>
          <w:rFonts w:cs="Calibri Light"/>
        </w:rPr>
        <w:t>Les dispositions légales applicables aux débits de boissons sont les suivantes :</w:t>
      </w:r>
    </w:p>
    <w:p w14:paraId="19ADC86E" w14:textId="77777777"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La loi du 28 décembre 1983 – Loi sur la patente pour les débits de boissons spiritueuses ;</w:t>
      </w:r>
    </w:p>
    <w:p w14:paraId="3AEED7A9" w14:textId="77777777"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La loi du 3 avril 1953 – Loi coordonnant les dispositions légales concernant les débits de boissons fermentées coordonnées le 3 avril 1953 ;</w:t>
      </w:r>
    </w:p>
    <w:p w14:paraId="77D454F8" w14:textId="77777777" w:rsidR="00795C3E" w:rsidRPr="00E8730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L’arrêté royal du 4 avril 1953 réglant l’exécution des dispositions légales concernant les débits de boissons fermentées coordonnées le 3 avril 1953.</w:t>
      </w:r>
    </w:p>
    <w:p w14:paraId="27CCA17C" w14:textId="77777777" w:rsidR="00795C3E" w:rsidRPr="00F91BDD" w:rsidRDefault="00795C3E" w:rsidP="00795C3E">
      <w:pPr>
        <w:spacing w:before="120"/>
        <w:textAlignment w:val="baseline"/>
        <w:rPr>
          <w:rFonts w:cs="Calibri Light"/>
        </w:rPr>
      </w:pPr>
      <w:r w:rsidRPr="00F91BDD">
        <w:rPr>
          <w:rFonts w:cs="Calibri Light"/>
        </w:rPr>
        <w:t>Outre les établissements énumérés par l’article 17 de la loi du 3 avril 1953 (débit de boissons fermentées), cette taxe ne peut pas être appliquée aux grands magasins, ainsi qu'aux petites et moyennes surfaces. Ceux-ci ne doivent pas être considérés comme des débits de boissons puisqu'ils ne vendent pas des boissons à consommer sur place.</w:t>
      </w:r>
    </w:p>
    <w:p w14:paraId="0FE2C73F" w14:textId="1637D03A" w:rsidR="00795C3E" w:rsidRPr="00F91BDD" w:rsidRDefault="00795C3E" w:rsidP="00795C3E">
      <w:pPr>
        <w:spacing w:before="120"/>
        <w:textAlignment w:val="baseline"/>
        <w:rPr>
          <w:rFonts w:cs="Calibri Light"/>
        </w:rPr>
      </w:pPr>
      <w:r w:rsidRPr="00F91BDD">
        <w:rPr>
          <w:rFonts w:cs="Calibri Light"/>
        </w:rPr>
        <w:t>Cette taxe ne peut être appliquée qu'aux débits de boissons fermentées et/ou spiritueuses.</w:t>
      </w:r>
    </w:p>
    <w:p w14:paraId="0A027091" w14:textId="17457161" w:rsidR="00795C3E" w:rsidRPr="00C26057" w:rsidRDefault="00795C3E" w:rsidP="35BD9115">
      <w:pPr>
        <w:pStyle w:val="Titre3"/>
        <w:rPr>
          <w:caps/>
        </w:rPr>
      </w:pPr>
      <w:bookmarkStart w:id="2255" w:name="_Toc143779193"/>
      <w:bookmarkStart w:id="2256" w:name="_Toc208420102"/>
      <w:bookmarkStart w:id="2257" w:name="_Toc225504334"/>
      <w:bookmarkStart w:id="2258" w:name="_Toc225772423"/>
      <w:bookmarkStart w:id="2259" w:name="_Toc233626291"/>
      <w:r w:rsidRPr="00C26057">
        <w:lastRenderedPageBreak/>
        <w:t>040/364-13 : Débits de tabac</w:t>
      </w:r>
      <w:bookmarkStart w:id="2260" w:name="_Toc512525503"/>
      <w:bookmarkStart w:id="2261" w:name="_Toc515896817"/>
      <w:bookmarkEnd w:id="2255"/>
      <w:bookmarkEnd w:id="2256"/>
      <w:bookmarkEnd w:id="2257"/>
      <w:bookmarkEnd w:id="2258"/>
      <w:bookmarkEnd w:id="2259"/>
      <w:r w:rsidRPr="00C26057">
        <w:t xml:space="preserve"> </w:t>
      </w:r>
    </w:p>
    <w:p w14:paraId="1AA51264" w14:textId="77777777" w:rsidR="00795C3E" w:rsidRPr="00F91BDD" w:rsidRDefault="00795C3E" w:rsidP="00795C3E">
      <w:pPr>
        <w:spacing w:before="120"/>
      </w:pPr>
      <w:r w:rsidRPr="00F91BDD">
        <w:t>Taxe directe.</w:t>
      </w:r>
      <w:bookmarkEnd w:id="2260"/>
      <w:bookmarkEnd w:id="2261"/>
    </w:p>
    <w:p w14:paraId="49BF4425" w14:textId="407454C8" w:rsidR="00795C3E" w:rsidRPr="00F91BDD" w:rsidRDefault="00795C3E" w:rsidP="00795C3E">
      <w:pPr>
        <w:spacing w:before="120"/>
        <w:textAlignment w:val="baseline"/>
        <w:rPr>
          <w:rFonts w:cs="Calibri Light"/>
          <w:spacing w:val="-1"/>
        </w:rPr>
      </w:pPr>
      <w:r w:rsidRPr="00F91BDD">
        <w:rPr>
          <w:rFonts w:cs="Calibri Light"/>
          <w:spacing w:val="-1"/>
        </w:rPr>
        <w:t>Taux maximum recommandé : 250,00 euros/</w:t>
      </w:r>
      <w:r w:rsidR="007E68DE" w:rsidRPr="00F91BDD">
        <w:rPr>
          <w:rFonts w:cs="Calibri Light"/>
          <w:spacing w:val="-1"/>
        </w:rPr>
        <w:t>établissement.</w:t>
      </w:r>
    </w:p>
    <w:p w14:paraId="49A613A9" w14:textId="77777777" w:rsidR="00795C3E" w:rsidRPr="00F91BDD" w:rsidRDefault="00795C3E" w:rsidP="00795C3E">
      <w:pPr>
        <w:spacing w:before="120"/>
        <w:textAlignment w:val="baseline"/>
        <w:rPr>
          <w:rFonts w:cs="Calibri Light"/>
        </w:rPr>
      </w:pPr>
      <w:r w:rsidRPr="00F91BDD">
        <w:rPr>
          <w:rFonts w:cs="Calibri Light"/>
        </w:rPr>
        <w:t>Taux à moduler au choix, selon le chiffre d'affaires ou le caractère accessoire ou non de l'activité exercée.</w:t>
      </w:r>
    </w:p>
    <w:p w14:paraId="034D1A88" w14:textId="1D7D15C7" w:rsidR="00795C3E" w:rsidRPr="00F91BDD" w:rsidRDefault="00795C3E" w:rsidP="00795C3E">
      <w:pPr>
        <w:spacing w:before="120"/>
        <w:textAlignment w:val="baseline"/>
        <w:rPr>
          <w:rFonts w:cs="Calibri Light"/>
        </w:rPr>
      </w:pPr>
      <w:r w:rsidRPr="00F91BDD">
        <w:rPr>
          <w:rFonts w:cs="Calibri Light"/>
        </w:rPr>
        <w:t>Cette modulation est d’autant plus importante que dans l’arrêt du 19 avril 2021</w:t>
      </w:r>
      <w:r w:rsidRPr="00F91BDD">
        <w:rPr>
          <w:rStyle w:val="Appelnotedebasdep"/>
          <w:rFonts w:cs="Calibri Light"/>
        </w:rPr>
        <w:footnoteReference w:id="104"/>
      </w:r>
      <w:r w:rsidRPr="00F91BDD">
        <w:rPr>
          <w:rFonts w:cs="Calibri Light"/>
        </w:rPr>
        <w:t xml:space="preserve"> </w:t>
      </w:r>
      <w:r w:rsidR="36812769" w:rsidRPr="00F91BDD">
        <w:rPr>
          <w:rFonts w:cs="Calibri Light"/>
        </w:rPr>
        <w:t>,</w:t>
      </w:r>
      <w:r w:rsidRPr="00F91BDD">
        <w:rPr>
          <w:rFonts w:cs="Calibri Light"/>
        </w:rPr>
        <w:t xml:space="preserve"> la Cour de cassation a considéré que « En raison de son taux forfaitaire unique, la taxe litigieuse sur les bars frappe l'exercice d'une activité économique sans avoir égard au moindre indice qui rende compte de son ampleur (par exemple la superficie, l'importance du personnel ou le chiffre d'affaires). A défaut de tels indices, le règlement-taxe traite de manière identique des établissements qui, tout en exerçant la même activité, se trouvent dans des situations essentiellement différentes du point de vue de leurs capacités contributives. ».</w:t>
      </w:r>
    </w:p>
    <w:p w14:paraId="3FFF889B" w14:textId="77777777" w:rsidR="00795C3E" w:rsidRPr="00F91BDD" w:rsidRDefault="00795C3E" w:rsidP="00795C3E">
      <w:pPr>
        <w:spacing w:before="120"/>
        <w:textAlignment w:val="baseline"/>
        <w:rPr>
          <w:rFonts w:cs="Calibri Light"/>
        </w:rPr>
      </w:pPr>
      <w:r w:rsidRPr="00F91BDD">
        <w:rPr>
          <w:rFonts w:cs="Calibri Light"/>
        </w:rPr>
        <w:t>Les distributeurs automatiques de cigarettes ne peuvent plus être repris dans la base d'imposition de la présente taxe.</w:t>
      </w:r>
    </w:p>
    <w:p w14:paraId="49287ACD" w14:textId="77777777" w:rsidR="00795C3E" w:rsidRPr="00F91BDD" w:rsidRDefault="00795C3E" w:rsidP="00795C3E">
      <w:pPr>
        <w:spacing w:before="120"/>
        <w:textAlignment w:val="baseline"/>
        <w:rPr>
          <w:rFonts w:cs="Calibri Light"/>
        </w:rPr>
      </w:pPr>
      <w:r w:rsidRPr="00F91BDD">
        <w:rPr>
          <w:rFonts w:cs="Calibri Light"/>
        </w:rPr>
        <w:t>Compte tenu de la marge bénéficiaire sur les produits de tabacs fabriqués et du fait que l'on se trouve dans un secteur où les prix sont réglementés, il y a lieu d'être attentif à ne pas lever une taxe qui rendrait impossible l'exercice d'une activité commerciale.</w:t>
      </w:r>
    </w:p>
    <w:p w14:paraId="30FBE8CF" w14:textId="5E3814DE" w:rsidR="00795C3E" w:rsidRPr="00B922DE" w:rsidRDefault="00795C3E" w:rsidP="35BD9115">
      <w:pPr>
        <w:pStyle w:val="Titre3"/>
        <w:rPr>
          <w:caps/>
        </w:rPr>
      </w:pPr>
      <w:bookmarkStart w:id="2262" w:name="_Toc143779194"/>
      <w:bookmarkStart w:id="2263" w:name="_Hlk39071167"/>
      <w:bookmarkStart w:id="2264" w:name="_Toc208420103"/>
      <w:bookmarkStart w:id="2265" w:name="_Toc225504335"/>
      <w:bookmarkStart w:id="2266" w:name="_Toc225772424"/>
      <w:bookmarkStart w:id="2267" w:name="_Toc233626292"/>
      <w:r w:rsidRPr="00B922DE">
        <w:t>040/364-16 : Agences de paris sur les courses de chevaux</w:t>
      </w:r>
      <w:bookmarkEnd w:id="2262"/>
      <w:bookmarkEnd w:id="2263"/>
      <w:bookmarkEnd w:id="2264"/>
      <w:bookmarkEnd w:id="2265"/>
      <w:bookmarkEnd w:id="2266"/>
      <w:bookmarkEnd w:id="2267"/>
    </w:p>
    <w:p w14:paraId="4B1F1AF9" w14:textId="77777777" w:rsidR="00795C3E" w:rsidRPr="00F91BDD" w:rsidRDefault="00795C3E" w:rsidP="00795C3E">
      <w:pPr>
        <w:spacing w:before="120"/>
      </w:pPr>
      <w:r w:rsidRPr="00F91BDD">
        <w:t>Taxe directe – Modèle disponible.</w:t>
      </w:r>
    </w:p>
    <w:p w14:paraId="035AB121" w14:textId="56865F4F" w:rsidR="00795C3E" w:rsidRPr="00F91BDD" w:rsidRDefault="00795C3E" w:rsidP="00795C3E">
      <w:pPr>
        <w:spacing w:before="120"/>
        <w:textAlignment w:val="baseline"/>
        <w:rPr>
          <w:rFonts w:cs="Calibri Light"/>
        </w:rPr>
      </w:pPr>
      <w:r w:rsidRPr="00F91BDD">
        <w:rPr>
          <w:rFonts w:cs="Calibri Light"/>
        </w:rPr>
        <w:t xml:space="preserve">Le taux est fixé par l'article 74 du Code des taxes assimilées aux impôts sur les revenus. </w:t>
      </w:r>
    </w:p>
    <w:p w14:paraId="4949FD54" w14:textId="77777777" w:rsidR="00795C3E" w:rsidRPr="00F91BDD" w:rsidRDefault="00795C3E" w:rsidP="00795C3E">
      <w:pPr>
        <w:spacing w:before="120"/>
        <w:textAlignment w:val="baseline"/>
        <w:rPr>
          <w:rFonts w:cs="Calibri Light"/>
          <w:b/>
        </w:rPr>
      </w:pPr>
      <w:r w:rsidRPr="00F91BDD">
        <w:rPr>
          <w:rFonts w:cs="Calibri Light"/>
        </w:rPr>
        <w:t xml:space="preserve">Actuellement, ce taux ne peut pas être supérieur à 62,00 euros par mois ou fraction de mois d'exploitation et ne peut pas être indexé (la loi ne le permet pas). </w:t>
      </w:r>
      <w:bookmarkStart w:id="2268" w:name="_Hlk39071191"/>
    </w:p>
    <w:bookmarkEnd w:id="2268"/>
    <w:p w14:paraId="36885E27" w14:textId="77777777" w:rsidR="00795C3E" w:rsidRPr="00F91BDD" w:rsidRDefault="00795C3E" w:rsidP="00795C3E">
      <w:pPr>
        <w:spacing w:before="120"/>
        <w:textAlignment w:val="baseline"/>
        <w:rPr>
          <w:rFonts w:cs="Calibri Light"/>
        </w:rPr>
      </w:pPr>
      <w:r w:rsidRPr="00F91BDD">
        <w:rPr>
          <w:rFonts w:cs="Calibri Light"/>
        </w:rPr>
        <w:t>Cette taxe ne peut être établie que sur les agences de paris aux courses de chevaux autorisées dans le cadre de l'article 66 du Code des taxes assimilées aux impôts sur les revenus (agences acceptant des paris sur les courses de chevaux courues à l'étranger).</w:t>
      </w:r>
    </w:p>
    <w:p w14:paraId="2890C175" w14:textId="3B226A23" w:rsidR="00795C3E" w:rsidRPr="00B922DE" w:rsidRDefault="00795C3E" w:rsidP="35BD9115">
      <w:pPr>
        <w:pStyle w:val="Titre3"/>
        <w:rPr>
          <w:caps/>
        </w:rPr>
      </w:pPr>
      <w:bookmarkStart w:id="2269" w:name="_Toc516739825"/>
      <w:bookmarkStart w:id="2270" w:name="_Toc516751734"/>
      <w:bookmarkStart w:id="2271" w:name="_Toc516825822"/>
      <w:bookmarkStart w:id="2272" w:name="_Toc516826380"/>
      <w:bookmarkStart w:id="2273" w:name="_Toc516837700"/>
      <w:bookmarkStart w:id="2274" w:name="_Toc516838259"/>
      <w:bookmarkStart w:id="2275" w:name="_Toc516838818"/>
      <w:bookmarkStart w:id="2276" w:name="_Toc516839378"/>
      <w:bookmarkStart w:id="2277" w:name="_Toc517173474"/>
      <w:bookmarkStart w:id="2278" w:name="_Toc517175148"/>
      <w:bookmarkStart w:id="2279" w:name="_Toc517175735"/>
      <w:bookmarkStart w:id="2280" w:name="_Toc517176323"/>
      <w:bookmarkStart w:id="2281" w:name="_Toc517337648"/>
      <w:bookmarkStart w:id="2282" w:name="_Toc517360444"/>
      <w:bookmarkStart w:id="2283" w:name="_Toc143779195"/>
      <w:bookmarkStart w:id="2284" w:name="_Toc208420104"/>
      <w:bookmarkStart w:id="2285" w:name="_Toc225504336"/>
      <w:bookmarkStart w:id="2286" w:name="_Toc225772425"/>
      <w:bookmarkStart w:id="2287" w:name="_Toc233626293"/>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r w:rsidRPr="00B922DE">
        <w:t>040/364-18 : Clubs privés</w:t>
      </w:r>
      <w:bookmarkEnd w:id="2283"/>
      <w:bookmarkEnd w:id="2284"/>
      <w:bookmarkEnd w:id="2285"/>
      <w:bookmarkEnd w:id="2286"/>
      <w:bookmarkEnd w:id="2287"/>
    </w:p>
    <w:p w14:paraId="545A5D53" w14:textId="77777777" w:rsidR="00795C3E" w:rsidRPr="00F91BDD" w:rsidRDefault="00795C3E" w:rsidP="00795C3E">
      <w:pPr>
        <w:spacing w:before="120"/>
      </w:pPr>
      <w:r w:rsidRPr="00F91BDD">
        <w:t>Taxe directe – Modèle disponible.</w:t>
      </w:r>
    </w:p>
    <w:p w14:paraId="29BB1F5B" w14:textId="45A5295C" w:rsidR="00795C3E" w:rsidRPr="00F91BDD" w:rsidRDefault="00795C3E" w:rsidP="00795C3E">
      <w:pPr>
        <w:spacing w:before="120"/>
        <w:textAlignment w:val="baseline"/>
        <w:rPr>
          <w:rFonts w:cs="Calibri Light"/>
          <w:spacing w:val="-2"/>
        </w:rPr>
      </w:pPr>
      <w:r w:rsidRPr="00F91BDD">
        <w:rPr>
          <w:rFonts w:cs="Calibri Light"/>
          <w:spacing w:val="-2"/>
        </w:rPr>
        <w:t xml:space="preserve">Taux maximum recommandé : 10.000,00 </w:t>
      </w:r>
      <w:r w:rsidR="007E68DE" w:rsidRPr="00F91BDD">
        <w:rPr>
          <w:rFonts w:cs="Calibri Light"/>
          <w:spacing w:val="-2"/>
        </w:rPr>
        <w:t>euros par</w:t>
      </w:r>
      <w:r w:rsidRPr="00F91BDD">
        <w:rPr>
          <w:rFonts w:cs="Calibri Light"/>
          <w:spacing w:val="-2"/>
        </w:rPr>
        <w:t xml:space="preserve"> établissement.</w:t>
      </w:r>
    </w:p>
    <w:p w14:paraId="0AAEB69C" w14:textId="77777777" w:rsidR="00795C3E" w:rsidRPr="00F91BDD" w:rsidRDefault="00795C3E" w:rsidP="00795C3E">
      <w:pPr>
        <w:spacing w:before="120"/>
        <w:textAlignment w:val="baseline"/>
        <w:rPr>
          <w:rFonts w:cs="Calibri Light"/>
        </w:rPr>
      </w:pPr>
      <w:r w:rsidRPr="00F91BDD">
        <w:rPr>
          <w:rFonts w:cs="Calibri Light"/>
        </w:rPr>
        <w:t>Sont visés les établissements où est offerte la possibilité de consommer des boissons et dont l'accès est réservé à certaines personnes ou subordonné à l'accomplissement de certaines formalités.</w:t>
      </w:r>
    </w:p>
    <w:p w14:paraId="6BA03C43" w14:textId="77777777" w:rsidR="00795C3E" w:rsidRPr="00F91BDD" w:rsidRDefault="00795C3E" w:rsidP="00795C3E">
      <w:pPr>
        <w:spacing w:before="120"/>
        <w:textAlignment w:val="baseline"/>
        <w:rPr>
          <w:rFonts w:cs="Calibri Light"/>
        </w:rPr>
      </w:pPr>
      <w:r w:rsidRPr="00F91BDD">
        <w:rPr>
          <w:rFonts w:cs="Calibri Light"/>
        </w:rPr>
        <w:lastRenderedPageBreak/>
        <w:t>La commune veillera cependant à exonérer les cercles qui poursuivent un but philosophique, culturel, social ou sportif.</w:t>
      </w:r>
    </w:p>
    <w:p w14:paraId="7D34BC04" w14:textId="77777777" w:rsidR="00795C3E" w:rsidRPr="00F91BDD" w:rsidRDefault="00795C3E" w:rsidP="00795C3E">
      <w:pPr>
        <w:spacing w:before="120"/>
        <w:textAlignment w:val="baseline"/>
        <w:rPr>
          <w:rFonts w:cs="Calibri Light"/>
        </w:rPr>
      </w:pPr>
      <w:bookmarkStart w:id="2288" w:name="_Hlk38969620"/>
      <w:r w:rsidRPr="00F91BDD">
        <w:rPr>
          <w:rFonts w:cs="Calibri Light"/>
        </w:rPr>
        <w:t>Lorsque le club privé occupe du personnel visé au 040/364-02, il convient d'appliquer à l'exploitant la taxe sur l’établissement occupant du personnel de bar, à l'exclusion de la présente imposition.</w:t>
      </w:r>
      <w:bookmarkEnd w:id="2288"/>
    </w:p>
    <w:p w14:paraId="6B1DD206" w14:textId="6D1EACC2" w:rsidR="00795C3E" w:rsidRPr="00B922DE" w:rsidRDefault="00795C3E" w:rsidP="35BD9115">
      <w:pPr>
        <w:pStyle w:val="Titre3"/>
        <w:rPr>
          <w:caps/>
        </w:rPr>
      </w:pPr>
      <w:bookmarkStart w:id="2289" w:name="_Toc143779196"/>
      <w:bookmarkStart w:id="2290" w:name="_Toc208420105"/>
      <w:bookmarkStart w:id="2291" w:name="_Toc225504337"/>
      <w:bookmarkStart w:id="2292" w:name="_Toc225772426"/>
      <w:bookmarkStart w:id="2293" w:name="_Toc233626294"/>
      <w:r w:rsidRPr="00B922DE">
        <w:t>040/364-21 : Exploitations de taxis</w:t>
      </w:r>
      <w:bookmarkEnd w:id="2289"/>
      <w:bookmarkEnd w:id="2290"/>
      <w:bookmarkEnd w:id="2291"/>
      <w:bookmarkEnd w:id="2292"/>
      <w:bookmarkEnd w:id="2293"/>
      <w:r w:rsidRPr="00B922DE">
        <w:t xml:space="preserve"> </w:t>
      </w:r>
    </w:p>
    <w:p w14:paraId="720F11A9" w14:textId="77777777" w:rsidR="00795C3E" w:rsidRPr="00F91BDD" w:rsidRDefault="00795C3E" w:rsidP="00795C3E">
      <w:pPr>
        <w:spacing w:before="120"/>
        <w:ind w:right="679"/>
        <w:rPr>
          <w:rFonts w:eastAsia="Century Gothic" w:cstheme="minorHAnsi"/>
        </w:rPr>
      </w:pPr>
      <w:r w:rsidRPr="00F91BDD">
        <w:rPr>
          <w:rFonts w:eastAsia="Century Gothic" w:cstheme="minorHAnsi"/>
        </w:rPr>
        <w:t xml:space="preserve"> Taxe directe - Modèle disponible</w:t>
      </w:r>
      <w:r>
        <w:rPr>
          <w:rFonts w:eastAsia="Century Gothic" w:cstheme="minorHAnsi"/>
        </w:rPr>
        <w:t>.</w:t>
      </w:r>
    </w:p>
    <w:p w14:paraId="4725665F" w14:textId="77777777" w:rsidR="00795C3E" w:rsidRPr="00F91BDD" w:rsidRDefault="00795C3E" w:rsidP="00795C3E">
      <w:pPr>
        <w:spacing w:before="120"/>
        <w:ind w:right="679"/>
        <w:rPr>
          <w:rFonts w:eastAsia="Century Gothic" w:cstheme="minorHAnsi"/>
        </w:rPr>
      </w:pPr>
      <w:r w:rsidRPr="00F91BDD">
        <w:rPr>
          <w:rFonts w:eastAsia="Century Gothic" w:cstheme="minorHAnsi"/>
        </w:rPr>
        <w:t xml:space="preserve">La matière est régie par les dispositions légales suivantes : </w:t>
      </w:r>
    </w:p>
    <w:p w14:paraId="00D52C99" w14:textId="6A7BE1C7" w:rsidR="00795C3E" w:rsidRPr="00F91BDD" w:rsidRDefault="00795C3E">
      <w:pPr>
        <w:pStyle w:val="Paragraphedeliste"/>
        <w:numPr>
          <w:ilvl w:val="0"/>
          <w:numId w:val="105"/>
        </w:numPr>
        <w:spacing w:before="120"/>
        <w:ind w:right="679"/>
        <w:rPr>
          <w:rFonts w:eastAsia="Century Gothic"/>
        </w:rPr>
      </w:pPr>
      <w:r w:rsidRPr="1C6C0DED">
        <w:rPr>
          <w:rFonts w:eastAsia="Century Gothic"/>
        </w:rPr>
        <w:t>Le</w:t>
      </w:r>
      <w:r w:rsidRPr="004E425F">
        <w:rPr>
          <w:rFonts w:eastAsia="Century Gothic"/>
        </w:rPr>
        <w:t xml:space="preserve"> décret du 28 septembre 2023</w:t>
      </w:r>
      <w:r w:rsidRPr="1C6C0DED">
        <w:rPr>
          <w:rFonts w:eastAsia="Century Gothic"/>
        </w:rPr>
        <w:t xml:space="preserve"> relatif aux services de transport rémunéré de personnes par route au moyen de véhicules de petite capacité ; </w:t>
      </w:r>
    </w:p>
    <w:p w14:paraId="0D1C9425" w14:textId="1443D34E" w:rsidR="00795C3E" w:rsidRPr="004E425F" w:rsidRDefault="00795C3E">
      <w:pPr>
        <w:pStyle w:val="Paragraphedeliste"/>
        <w:numPr>
          <w:ilvl w:val="0"/>
          <w:numId w:val="104"/>
        </w:numPr>
        <w:spacing w:before="120"/>
        <w:ind w:right="679"/>
        <w:rPr>
          <w:rFonts w:eastAsia="Century Gothic"/>
          <w:lang w:val="fr"/>
        </w:rPr>
      </w:pPr>
      <w:r w:rsidRPr="1C6C0DED">
        <w:rPr>
          <w:rFonts w:eastAsia="Century Gothic"/>
          <w:lang w:val="fr"/>
        </w:rPr>
        <w:t>L’arrêté du 16 mai 2024 portant exécution du décret du 28 septembre 2023</w:t>
      </w:r>
      <w:r w:rsidRPr="004E425F">
        <w:rPr>
          <w:rFonts w:eastAsia="Century Gothic"/>
          <w:lang w:val="fr"/>
        </w:rPr>
        <w:t xml:space="preserve"> relatif aux services de transport rémunéré de personnes par route au moyen de véhicules de petite capacité.</w:t>
      </w:r>
    </w:p>
    <w:p w14:paraId="1C6C0984" w14:textId="033302E3" w:rsidR="00795C3E" w:rsidRPr="004E425F" w:rsidRDefault="00795C3E" w:rsidP="00795C3E">
      <w:pPr>
        <w:spacing w:before="120"/>
        <w:ind w:right="679"/>
        <w:rPr>
          <w:rFonts w:eastAsia="Century Gothic"/>
        </w:rPr>
      </w:pPr>
      <w:r w:rsidRPr="001B6DC8">
        <w:t>Le décret</w:t>
      </w:r>
      <w:r w:rsidR="6A42FCD0" w:rsidRPr="1C6C0DED">
        <w:t xml:space="preserve"> du 28 septembre 2023 </w:t>
      </w:r>
      <w:r w:rsidRPr="00AB2807">
        <w:t>est entré en vigueur depuis le 1</w:t>
      </w:r>
      <w:r w:rsidRPr="001B6DC8">
        <w:t xml:space="preserve">er décembre 2024. Il distingue plusieurs catégories : les taxis de station (utilisant un taximètre ou un autre équipement agréé), </w:t>
      </w:r>
      <w:r w:rsidR="6556C6C0" w:rsidRPr="1C6C0DED">
        <w:t xml:space="preserve">les taxis </w:t>
      </w:r>
      <w:r w:rsidRPr="001B6DC8">
        <w:t xml:space="preserve">de rue (recourant exclusivement à un service d’intermédiation électronique), les services de transport à finalité spéciale et ceux à finalité sociale. </w:t>
      </w:r>
    </w:p>
    <w:p w14:paraId="77B5C329" w14:textId="77777777" w:rsidR="00795C3E" w:rsidRPr="00F91BDD" w:rsidRDefault="00795C3E" w:rsidP="00795C3E">
      <w:pPr>
        <w:spacing w:before="120"/>
        <w:ind w:right="679"/>
        <w:rPr>
          <w:rFonts w:eastAsia="Century Gothic" w:cstheme="minorHAnsi"/>
          <w:lang w:val="fr"/>
        </w:rPr>
      </w:pPr>
      <w:r w:rsidRPr="00F91BDD">
        <w:rPr>
          <w:rFonts w:eastAsia="Century Gothic" w:cstheme="minorHAnsi"/>
          <w:lang w:val="fr"/>
        </w:rPr>
        <w:t xml:space="preserve">Désormais, comme le précise les travaux préparatoires du décret précité, ce dernier utilise des notions différentes pour qualifier l’accès à l’exercice de tel ou tel service afin de différencier le service de taxi et le service de transport à finalité spécialisée. </w:t>
      </w:r>
    </w:p>
    <w:p w14:paraId="130CF8EA" w14:textId="77777777" w:rsidR="00795C3E" w:rsidRPr="00F91BDD" w:rsidRDefault="00795C3E" w:rsidP="00795C3E">
      <w:pPr>
        <w:spacing w:before="120"/>
        <w:ind w:right="679"/>
        <w:rPr>
          <w:rFonts w:eastAsia="Century Gothic" w:cstheme="minorHAnsi"/>
          <w:lang w:val="fr"/>
        </w:rPr>
      </w:pPr>
      <w:r w:rsidRPr="00F91BDD">
        <w:rPr>
          <w:rFonts w:eastAsia="Century Gothic" w:cstheme="minorHAnsi"/>
          <w:lang w:val="fr"/>
        </w:rPr>
        <w:t xml:space="preserve">Ainsi, l’exploitant d’un service de taxi disposera d’une « licence d’exploitation » alors que l’exploitant d’un service de transport à finalité spécialisée disposera d’une « autorisation d’exploiter ». </w:t>
      </w:r>
    </w:p>
    <w:p w14:paraId="73B5F25C" w14:textId="77777777" w:rsidR="00795C3E" w:rsidRPr="00F91BDD" w:rsidRDefault="00795C3E" w:rsidP="00795C3E">
      <w:pPr>
        <w:spacing w:before="120"/>
        <w:ind w:right="679"/>
        <w:rPr>
          <w:rFonts w:eastAsia="Century Gothic" w:cstheme="minorHAnsi"/>
          <w:lang w:val="fr"/>
        </w:rPr>
      </w:pPr>
      <w:r w:rsidRPr="00F91BDD">
        <w:rPr>
          <w:rFonts w:eastAsia="Century Gothic" w:cstheme="minorHAnsi"/>
          <w:lang w:val="fr"/>
        </w:rPr>
        <w:t xml:space="preserve">L’autorisation d’exploiter, contrairement à la licence d’exploitation qui est délivrée par le Collège communal, est délivrée par le Gouvernement. </w:t>
      </w:r>
    </w:p>
    <w:p w14:paraId="261FACF5" w14:textId="77777777" w:rsidR="00795C3E" w:rsidRPr="00F91BDD" w:rsidRDefault="00795C3E" w:rsidP="00795C3E">
      <w:pPr>
        <w:spacing w:before="120"/>
        <w:ind w:right="679"/>
        <w:rPr>
          <w:rFonts w:eastAsia="Century Gothic" w:cstheme="minorHAnsi"/>
          <w:b/>
          <w:bCs/>
          <w:i/>
          <w:iCs/>
          <w:lang w:val="fr"/>
        </w:rPr>
      </w:pPr>
      <w:r w:rsidRPr="00F91BDD">
        <w:rPr>
          <w:rFonts w:eastAsia="Century Gothic" w:cstheme="minorHAnsi"/>
          <w:b/>
          <w:bCs/>
          <w:i/>
          <w:iCs/>
          <w:lang w:val="fr"/>
        </w:rPr>
        <w:t xml:space="preserve">La licence d’exploitation </w:t>
      </w:r>
    </w:p>
    <w:p w14:paraId="283AFE75" w14:textId="77777777" w:rsidR="00795C3E" w:rsidRPr="00F91BDD" w:rsidRDefault="00795C3E" w:rsidP="00795C3E">
      <w:pPr>
        <w:spacing w:before="120"/>
        <w:ind w:right="679"/>
        <w:rPr>
          <w:rFonts w:eastAsia="Century Gothic" w:cstheme="minorHAnsi"/>
          <w:lang w:val="fr"/>
        </w:rPr>
      </w:pPr>
      <w:r w:rsidRPr="00F91BDD">
        <w:rPr>
          <w:rFonts w:eastAsia="Century Gothic" w:cstheme="minorHAnsi"/>
          <w:lang w:val="fr"/>
        </w:rPr>
        <w:t>La licence d’exploitation est donc définie comme « l’autorisation d’exercer un service de taxi délivrée par la commune pour chaque véhicule affecté à ce service ».</w:t>
      </w:r>
    </w:p>
    <w:p w14:paraId="7A40A4F8" w14:textId="77777777" w:rsidR="00795C3E" w:rsidRPr="004E425F" w:rsidRDefault="00795C3E" w:rsidP="00795C3E">
      <w:pPr>
        <w:spacing w:before="120"/>
        <w:ind w:right="679"/>
        <w:rPr>
          <w:rFonts w:eastAsia="Century Gothic"/>
          <w:lang w:val="fr"/>
        </w:rPr>
      </w:pPr>
      <w:r w:rsidRPr="004E425F">
        <w:rPr>
          <w:rFonts w:eastAsia="Century Gothic"/>
          <w:lang w:val="fr"/>
        </w:rPr>
        <w:t>Les conditions d'exploitation d'un service de taxi (de station ou de rue) sont fixées par le conseil communal dans les limites arrêtées par le Gouvernement.</w:t>
      </w:r>
      <w:r w:rsidRPr="00F91BDD">
        <w:rPr>
          <w:rFonts w:eastAsia="Century Gothic" w:cstheme="minorHAnsi"/>
          <w:lang w:val="fr"/>
        </w:rPr>
        <w:t xml:space="preserve"> </w:t>
      </w:r>
    </w:p>
    <w:p w14:paraId="1D05AF76" w14:textId="77777777" w:rsidR="00795C3E" w:rsidRPr="00F91BDD" w:rsidRDefault="00795C3E" w:rsidP="00795C3E">
      <w:pPr>
        <w:spacing w:before="120"/>
        <w:ind w:right="679"/>
        <w:rPr>
          <w:rFonts w:eastAsia="Century Gothic" w:cstheme="minorHAnsi"/>
        </w:rPr>
      </w:pPr>
      <w:r w:rsidRPr="004E425F">
        <w:rPr>
          <w:rFonts w:eastAsia="Century Gothic"/>
          <w:lang w:val="fr"/>
        </w:rPr>
        <w:t>Aux conditions fixées par le conseil, la licence d'exploitation est délivrée par le collège communal.</w:t>
      </w:r>
      <w:r w:rsidRPr="00F91BDD">
        <w:rPr>
          <w:rFonts w:eastAsia="Century Gothic" w:cstheme="minorHAnsi"/>
          <w:lang w:val="fr"/>
        </w:rPr>
        <w:t xml:space="preserve"> Cette licence doit être obtenue pour chaque véhicule utilisé </w:t>
      </w:r>
      <w:r w:rsidRPr="00F91BDD">
        <w:rPr>
          <w:rFonts w:eastAsia="Century Gothic" w:cstheme="minorHAnsi"/>
        </w:rPr>
        <w:t xml:space="preserve">et peut être subordonnée à la perception d'un montant annuel </w:t>
      </w:r>
      <w:r w:rsidRPr="00F91BDD">
        <w:rPr>
          <w:rFonts w:eastAsia="Century Gothic" w:cstheme="minorHAnsi"/>
          <w:b/>
          <w:bCs/>
          <w:u w:val="single"/>
        </w:rPr>
        <w:t>à charge de l'exploitant</w:t>
      </w:r>
      <w:r w:rsidRPr="00F91BDD">
        <w:rPr>
          <w:rFonts w:eastAsia="Century Gothic" w:cstheme="minorHAnsi"/>
        </w:rPr>
        <w:t xml:space="preserve"> par la commune compétente.</w:t>
      </w:r>
    </w:p>
    <w:p w14:paraId="7E2914F6" w14:textId="77777777" w:rsidR="00795C3E" w:rsidRPr="004E425F" w:rsidRDefault="00795C3E" w:rsidP="00795C3E">
      <w:pPr>
        <w:spacing w:before="120"/>
        <w:ind w:right="679"/>
        <w:rPr>
          <w:rFonts w:eastAsia="Century Gothic"/>
          <w:lang w:val="fr"/>
        </w:rPr>
      </w:pPr>
      <w:r w:rsidRPr="004E425F">
        <w:rPr>
          <w:rFonts w:eastAsia="Century Gothic"/>
          <w:lang w:val="fr"/>
        </w:rPr>
        <w:lastRenderedPageBreak/>
        <w:t>Le conseil fixe le tarif applicable dans les limites arrêtées par le Gouvernement. Si les conditions de l'autorisation ne prescrivent pas l'application d'un tarif déterminé, le collège arrête le tarif sur proposition de l'exploitant.</w:t>
      </w:r>
    </w:p>
    <w:p w14:paraId="09160C12" w14:textId="77777777" w:rsidR="00795C3E" w:rsidRPr="004E425F" w:rsidRDefault="00795C3E" w:rsidP="00795C3E">
      <w:pPr>
        <w:spacing w:before="120"/>
        <w:ind w:right="679"/>
        <w:rPr>
          <w:rFonts w:eastAsia="Century Gothic"/>
          <w:lang w:val="fr"/>
        </w:rPr>
      </w:pPr>
      <w:r w:rsidRPr="004E425F">
        <w:rPr>
          <w:rFonts w:eastAsia="Century Gothic"/>
          <w:lang w:val="fr"/>
        </w:rPr>
        <w:t>Le demandeur adresse une demande de licence d'exploitation au collège de la commune concernée. Le collège, ou son délégué, délivre, refuse de délivrer, retire ou suspend une licence d'exploitation.</w:t>
      </w:r>
    </w:p>
    <w:p w14:paraId="2DD9B4D4" w14:textId="77777777" w:rsidR="00795C3E" w:rsidRPr="004E425F" w:rsidRDefault="00795C3E" w:rsidP="00795C3E">
      <w:pPr>
        <w:spacing w:before="120"/>
        <w:ind w:right="679"/>
        <w:rPr>
          <w:rFonts w:eastAsia="Century Gothic"/>
          <w:lang w:val="fr"/>
        </w:rPr>
      </w:pPr>
      <w:r w:rsidRPr="004E425F">
        <w:rPr>
          <w:rFonts w:eastAsia="Century Gothic"/>
          <w:lang w:val="fr"/>
        </w:rPr>
        <w:t>La commune délivre les licences d'exploitation justifiant de l'utilité publique du service. Le nombre maximum de licences à délivrer par commune est fixé par le Gouvernement.</w:t>
      </w:r>
    </w:p>
    <w:p w14:paraId="13FAFBE4" w14:textId="77777777" w:rsidR="00795C3E" w:rsidRPr="004E425F" w:rsidRDefault="00795C3E" w:rsidP="00795C3E">
      <w:pPr>
        <w:spacing w:before="120"/>
        <w:ind w:right="679"/>
        <w:rPr>
          <w:rFonts w:eastAsia="Century Gothic"/>
          <w:lang w:val="fr"/>
        </w:rPr>
      </w:pPr>
      <w:r w:rsidRPr="004E425F">
        <w:rPr>
          <w:rFonts w:eastAsia="Century Gothic"/>
          <w:lang w:val="fr"/>
        </w:rPr>
        <w:t>La commune peut déterminer, dans les limites fixées par le Gouvernement, des conditions complémentaires à la délivrance de la licence d'exploitation. La commune adresse une copie de la licence d'exploitation au Gouvernement.</w:t>
      </w:r>
    </w:p>
    <w:p w14:paraId="2FD601FE" w14:textId="57025D7C" w:rsidR="00795C3E" w:rsidRPr="00F91BDD" w:rsidRDefault="00795C3E" w:rsidP="00795C3E">
      <w:pPr>
        <w:spacing w:before="120"/>
        <w:ind w:right="679"/>
        <w:rPr>
          <w:rFonts w:eastAsia="Century Gothic"/>
          <w:lang w:val="fr"/>
        </w:rPr>
      </w:pPr>
      <w:r w:rsidRPr="1C6C0DED">
        <w:rPr>
          <w:rFonts w:eastAsia="Century Gothic"/>
          <w:lang w:val="fr"/>
        </w:rPr>
        <w:t xml:space="preserve">La durée de la licence d'exploitation est fixée en fonction </w:t>
      </w:r>
      <w:r w:rsidRPr="1C6C0DED">
        <w:rPr>
          <w:rFonts w:eastAsia="Century Gothic"/>
          <w:b/>
          <w:u w:val="single"/>
          <w:lang w:val="fr"/>
        </w:rPr>
        <w:t>de la limite d'âge autorisée du véhicule</w:t>
      </w:r>
      <w:r w:rsidRPr="1C6C0DED">
        <w:rPr>
          <w:rFonts w:eastAsia="Century Gothic"/>
          <w:lang w:val="fr"/>
        </w:rPr>
        <w:t xml:space="preserve">, déterminée par le Gouvernement. A ce titre, l’arrêté précité précise que « </w:t>
      </w:r>
      <w:r w:rsidRPr="1C6C0DED">
        <w:rPr>
          <w:rFonts w:eastAsia="Century Gothic"/>
          <w:i/>
          <w:lang w:val="fr"/>
        </w:rPr>
        <w:t>La durée de la licence d’exploitation est fixée en fonction de la limite d’âge du véhicule qui est atteinte sept ans après la date de première immatriculation. Lorsque le véhicule est, soit adapté au transport de personnes voiturées, soit un véhicule à zéro-émission électrique ou zéro-émission hydrogène, la durée de la licence d'exploitation est fixée en fonction de la limite d'âge du véhicule qui est atteinte dix ans après la date de première immatriculation</w:t>
      </w:r>
      <w:r w:rsidRPr="1C6C0DED">
        <w:rPr>
          <w:rFonts w:eastAsia="Century Gothic"/>
          <w:lang w:val="fr"/>
        </w:rPr>
        <w:t xml:space="preserve"> ». </w:t>
      </w:r>
    </w:p>
    <w:p w14:paraId="40173F05" w14:textId="77777777" w:rsidR="00795C3E" w:rsidRPr="004E425F" w:rsidRDefault="00795C3E" w:rsidP="00795C3E">
      <w:pPr>
        <w:spacing w:before="120"/>
        <w:ind w:right="679"/>
        <w:rPr>
          <w:rFonts w:eastAsia="Century Gothic"/>
          <w:lang w:val="fr"/>
        </w:rPr>
      </w:pPr>
      <w:r w:rsidRPr="004E425F">
        <w:rPr>
          <w:rFonts w:eastAsia="Century Gothic"/>
          <w:lang w:val="fr"/>
        </w:rPr>
        <w:t>La licence peut être subordonnée à la perception d'un montant annuel à charge de l'exploitant par la commune compétente (</w:t>
      </w:r>
      <w:r w:rsidRPr="00F91BDD">
        <w:rPr>
          <w:rFonts w:eastAsia="Century Gothic" w:cstheme="minorHAnsi"/>
          <w:b/>
          <w:bCs/>
          <w:lang w:val="fr"/>
        </w:rPr>
        <w:t>le montant étant de maximum</w:t>
      </w:r>
      <w:r w:rsidRPr="004E425F">
        <w:rPr>
          <w:rFonts w:eastAsia="Century Gothic"/>
          <w:b/>
          <w:lang w:val="fr"/>
        </w:rPr>
        <w:t xml:space="preserve"> 500 euros </w:t>
      </w:r>
      <w:r w:rsidRPr="00F91BDD">
        <w:rPr>
          <w:rFonts w:eastAsia="Century Gothic" w:cstheme="minorHAnsi"/>
          <w:b/>
          <w:bCs/>
          <w:lang w:val="fr"/>
        </w:rPr>
        <w:t xml:space="preserve">par licence </w:t>
      </w:r>
      <w:r w:rsidRPr="004E425F">
        <w:rPr>
          <w:rFonts w:eastAsia="Century Gothic"/>
          <w:lang w:val="fr"/>
        </w:rPr>
        <w:t>– article 30 du décret). Ce montant annuel est diminué proportionnellement au nombre de jours restant à courir entre le jour du début de l'exploitation et la fin de l'année. Le montant déterminé par la commune compétente est identique pour tous les services de taxi.</w:t>
      </w:r>
    </w:p>
    <w:p w14:paraId="56D9832C" w14:textId="13971AF4" w:rsidR="00795C3E" w:rsidRPr="00F91BDD" w:rsidRDefault="00795C3E" w:rsidP="00795C3E">
      <w:pPr>
        <w:spacing w:before="120"/>
        <w:ind w:right="679"/>
        <w:rPr>
          <w:rFonts w:eastAsia="Century Gothic"/>
          <w:lang w:val="fr"/>
        </w:rPr>
      </w:pPr>
      <w:r w:rsidRPr="1C6C0DED">
        <w:rPr>
          <w:rFonts w:eastAsia="Century Gothic"/>
        </w:rPr>
        <w:t xml:space="preserve">Il est important de signaler que le montant établi par les communes doit être </w:t>
      </w:r>
      <w:r w:rsidRPr="1C6C0DED">
        <w:rPr>
          <w:rFonts w:eastAsia="Century Gothic"/>
          <w:lang w:val="fr"/>
        </w:rPr>
        <w:t xml:space="preserve">appliquée </w:t>
      </w:r>
      <w:r w:rsidR="47E35518" w:rsidRPr="1C6C0DED">
        <w:rPr>
          <w:rFonts w:eastAsia="Century Gothic"/>
          <w:lang w:val="fr"/>
        </w:rPr>
        <w:t xml:space="preserve">annuellement pendant toute </w:t>
      </w:r>
      <w:r w:rsidRPr="1C6C0DED">
        <w:rPr>
          <w:rFonts w:eastAsia="Century Gothic"/>
          <w:lang w:val="fr"/>
        </w:rPr>
        <w:t xml:space="preserve">la durée (elle-même variable) de la licence. </w:t>
      </w:r>
    </w:p>
    <w:p w14:paraId="718A1F73" w14:textId="77777777" w:rsidR="00795C3E" w:rsidRPr="00F91BDD" w:rsidRDefault="00795C3E" w:rsidP="00795C3E">
      <w:pPr>
        <w:spacing w:before="120"/>
        <w:ind w:right="679"/>
        <w:rPr>
          <w:rFonts w:eastAsia="Century Gothic" w:cstheme="minorHAnsi"/>
        </w:rPr>
      </w:pPr>
      <w:r w:rsidRPr="00F91BDD">
        <w:rPr>
          <w:rFonts w:eastAsia="Century Gothic" w:cstheme="minorHAnsi"/>
        </w:rPr>
        <w:t>Le montant déterminé par les communes compétentes doit être identique pour tous les services de taxi.</w:t>
      </w:r>
    </w:p>
    <w:p w14:paraId="5AE57144" w14:textId="77777777" w:rsidR="00795C3E" w:rsidRPr="00F91BDD" w:rsidRDefault="00795C3E" w:rsidP="00795C3E">
      <w:pPr>
        <w:spacing w:before="120"/>
        <w:ind w:right="679"/>
        <w:rPr>
          <w:rFonts w:eastAsia="Century Gothic" w:cstheme="minorHAnsi"/>
          <w:b/>
          <w:bCs/>
          <w:i/>
          <w:iCs/>
          <w:lang w:val="fr"/>
        </w:rPr>
      </w:pPr>
      <w:r w:rsidRPr="00F91BDD">
        <w:rPr>
          <w:rFonts w:eastAsia="Century Gothic" w:cstheme="minorHAnsi"/>
          <w:b/>
          <w:bCs/>
          <w:i/>
          <w:iCs/>
          <w:lang w:val="fr"/>
        </w:rPr>
        <w:t>Les conditions d’exploitation</w:t>
      </w:r>
    </w:p>
    <w:p w14:paraId="2F372C86" w14:textId="77777777" w:rsidR="00795C3E" w:rsidRPr="004E425F" w:rsidRDefault="00795C3E" w:rsidP="00795C3E">
      <w:pPr>
        <w:spacing w:before="120"/>
        <w:ind w:right="679"/>
        <w:rPr>
          <w:rFonts w:eastAsia="Century Gothic"/>
        </w:rPr>
      </w:pPr>
      <w:r w:rsidRPr="00F91BDD">
        <w:rPr>
          <w:rFonts w:eastAsia="Century Gothic" w:cstheme="minorHAnsi"/>
        </w:rPr>
        <w:t xml:space="preserve">Le décret précité prévoit qu’au </w:t>
      </w:r>
      <w:r w:rsidRPr="00F91BDD">
        <w:rPr>
          <w:rFonts w:eastAsia="Century Gothic" w:cstheme="minorHAnsi"/>
          <w:lang w:val="fr"/>
        </w:rPr>
        <w:t>niveau des conditions d’exploitation, l</w:t>
      </w:r>
      <w:r w:rsidRPr="00F91BDD">
        <w:rPr>
          <w:rFonts w:eastAsia="Century Gothic" w:cstheme="minorHAnsi"/>
        </w:rPr>
        <w:t>e</w:t>
      </w:r>
      <w:r w:rsidRPr="004E425F">
        <w:rPr>
          <w:rFonts w:eastAsia="Century Gothic"/>
        </w:rPr>
        <w:t xml:space="preserve"> chauffeur dispose d'un certificat de capacité délivré par le collège, ou son délégué, </w:t>
      </w:r>
      <w:r w:rsidRPr="00F91BDD">
        <w:rPr>
          <w:rFonts w:eastAsia="Century Gothic" w:cstheme="minorHAnsi"/>
        </w:rPr>
        <w:t xml:space="preserve">dont les conditions, les modalités d'octroi, la forme </w:t>
      </w:r>
      <w:r w:rsidRPr="004E425F">
        <w:rPr>
          <w:rFonts w:eastAsia="Century Gothic"/>
        </w:rPr>
        <w:t xml:space="preserve">et </w:t>
      </w:r>
      <w:r w:rsidRPr="00F91BDD">
        <w:rPr>
          <w:rFonts w:eastAsia="Century Gothic" w:cstheme="minorHAnsi"/>
        </w:rPr>
        <w:t>les mentions sont fixées</w:t>
      </w:r>
      <w:r w:rsidRPr="004E425F">
        <w:rPr>
          <w:rFonts w:eastAsia="Century Gothic"/>
        </w:rPr>
        <w:t xml:space="preserve"> par le Gouvernement</w:t>
      </w:r>
      <w:r w:rsidRPr="00F91BDD">
        <w:rPr>
          <w:rFonts w:eastAsia="Century Gothic" w:cstheme="minorHAnsi"/>
        </w:rPr>
        <w:t xml:space="preserve"> sur la base des exigences de moralité et de qualification professionnelle qu'il détermine</w:t>
      </w:r>
      <w:r w:rsidRPr="004E425F">
        <w:rPr>
          <w:rFonts w:eastAsia="Century Gothic"/>
        </w:rPr>
        <w:t>.</w:t>
      </w:r>
    </w:p>
    <w:p w14:paraId="72B3DCF4" w14:textId="77777777" w:rsidR="00795C3E" w:rsidRPr="00F91BDD" w:rsidRDefault="00795C3E" w:rsidP="00795C3E">
      <w:pPr>
        <w:spacing w:before="120"/>
        <w:ind w:right="679"/>
        <w:rPr>
          <w:rFonts w:eastAsia="Century Gothic" w:cstheme="minorHAnsi"/>
        </w:rPr>
      </w:pPr>
      <w:r w:rsidRPr="00F91BDD">
        <w:rPr>
          <w:rFonts w:eastAsia="Century Gothic" w:cstheme="minorHAnsi"/>
        </w:rPr>
        <w:lastRenderedPageBreak/>
        <w:t>Le certificat de capacité est revalidé chaque année, dans les conditions fixées par le Gouvernement.</w:t>
      </w:r>
    </w:p>
    <w:p w14:paraId="79307965" w14:textId="189141E9" w:rsidR="00795C3E" w:rsidRPr="00F91BDD" w:rsidRDefault="00795C3E" w:rsidP="00795C3E">
      <w:pPr>
        <w:spacing w:before="120"/>
        <w:ind w:right="679"/>
        <w:rPr>
          <w:rFonts w:eastAsia="Century Gothic"/>
          <w:lang w:val="fr"/>
        </w:rPr>
      </w:pPr>
      <w:r w:rsidRPr="1C6C0DED">
        <w:rPr>
          <w:rFonts w:eastAsia="Century Gothic"/>
          <w:lang w:val="fr"/>
        </w:rPr>
        <w:t xml:space="preserve">Outre la taxe précitée, les communes peuvent également prévoir </w:t>
      </w:r>
      <w:r w:rsidRPr="1C6C0DED">
        <w:rPr>
          <w:rFonts w:eastAsia="Century Gothic"/>
          <w:b/>
          <w:lang w:val="fr"/>
        </w:rPr>
        <w:t>à charge du chauffeur</w:t>
      </w:r>
      <w:r w:rsidR="719F7722" w:rsidRPr="1C6C0DED">
        <w:rPr>
          <w:rFonts w:eastAsia="Century Gothic"/>
          <w:b/>
          <w:bCs/>
          <w:lang w:val="fr"/>
        </w:rPr>
        <w:t>,</w:t>
      </w:r>
      <w:r w:rsidRPr="1C6C0DED">
        <w:rPr>
          <w:rFonts w:eastAsia="Century Gothic"/>
          <w:lang w:val="fr"/>
        </w:rPr>
        <w:t xml:space="preserve"> dans leur règlement-taxe ou redevance sur la délivrance de documents administratifs, le cas de la délivrance du certificat de capacité dont le montant </w:t>
      </w:r>
      <w:r w:rsidR="36433BD8" w:rsidRPr="1C6C0DED">
        <w:rPr>
          <w:rFonts w:eastAsia="Century Gothic"/>
          <w:lang w:val="fr"/>
        </w:rPr>
        <w:t>est</w:t>
      </w:r>
      <w:r w:rsidRPr="1C6C0DED">
        <w:rPr>
          <w:rFonts w:eastAsia="Century Gothic"/>
          <w:lang w:val="fr"/>
        </w:rPr>
        <w:t xml:space="preserve"> limité à 30 € (montant max non indexé pour la délivrance d’un document sans caractère répétitif – 361-04 Délivrance de documents administratifs).</w:t>
      </w:r>
    </w:p>
    <w:p w14:paraId="53AE022A" w14:textId="77777777" w:rsidR="00795C3E" w:rsidRPr="00432F6C" w:rsidRDefault="00795C3E" w:rsidP="00795C3E">
      <w:pPr>
        <w:tabs>
          <w:tab w:val="left" w:pos="1620"/>
        </w:tabs>
        <w:spacing w:before="120"/>
        <w:textAlignment w:val="baseline"/>
        <w:rPr>
          <w:rFonts w:cs="Calibri Light"/>
          <w:b/>
          <w:bCs/>
        </w:rPr>
      </w:pPr>
      <w:r w:rsidRPr="00432F6C">
        <w:rPr>
          <w:rFonts w:cs="Calibri Light"/>
          <w:b/>
          <w:bCs/>
        </w:rPr>
        <w:t>La plaque d’identification</w:t>
      </w:r>
    </w:p>
    <w:p w14:paraId="5595E371" w14:textId="179A54E6" w:rsidR="00795C3E" w:rsidRPr="00F91BDD" w:rsidRDefault="00795C3E" w:rsidP="00795C3E">
      <w:pPr>
        <w:tabs>
          <w:tab w:val="left" w:pos="1620"/>
        </w:tabs>
        <w:spacing w:before="120"/>
        <w:textAlignment w:val="baseline"/>
        <w:rPr>
          <w:rFonts w:cs="Calibri Light"/>
        </w:rPr>
      </w:pPr>
      <w:r w:rsidRPr="00432F6C">
        <w:rPr>
          <w:rFonts w:cs="Calibri Light"/>
        </w:rPr>
        <w:t xml:space="preserve">Conformément à l’article 53 de l’arrêté d’exécution, tout véhicule affecté à un service de taxis doit porter, à </w:t>
      </w:r>
      <w:r w:rsidRPr="1C6C0DED">
        <w:rPr>
          <w:rFonts w:cs="Calibri Light"/>
        </w:rPr>
        <w:t>l’a</w:t>
      </w:r>
      <w:r w:rsidR="522817E9" w:rsidRPr="1C6C0DED">
        <w:rPr>
          <w:rFonts w:cs="Calibri Light"/>
        </w:rPr>
        <w:t>v</w:t>
      </w:r>
      <w:r w:rsidRPr="1C6C0DED">
        <w:rPr>
          <w:rFonts w:cs="Calibri Light"/>
        </w:rPr>
        <w:t>ant</w:t>
      </w:r>
      <w:r w:rsidRPr="00432F6C">
        <w:rPr>
          <w:rFonts w:cs="Calibri Light"/>
        </w:rPr>
        <w:t>-droit, une plaque d’identification délivrée par l’autorité. La commune est en droit de percevoir une redevance pour la fourniture de cette plaque.</w:t>
      </w:r>
    </w:p>
    <w:p w14:paraId="72434C40" w14:textId="22F3ED0E" w:rsidR="00795C3E" w:rsidRPr="002241E4" w:rsidRDefault="00795C3E" w:rsidP="35BD9115">
      <w:pPr>
        <w:pStyle w:val="Titre3"/>
        <w:rPr>
          <w:caps/>
        </w:rPr>
      </w:pPr>
      <w:bookmarkStart w:id="2294" w:name="_Toc516739828"/>
      <w:bookmarkStart w:id="2295" w:name="_Toc516751737"/>
      <w:bookmarkStart w:id="2296" w:name="_Toc516825825"/>
      <w:bookmarkStart w:id="2297" w:name="_Toc516826383"/>
      <w:bookmarkStart w:id="2298" w:name="_Toc516837703"/>
      <w:bookmarkStart w:id="2299" w:name="_Toc516838262"/>
      <w:bookmarkStart w:id="2300" w:name="_Toc516838821"/>
      <w:bookmarkStart w:id="2301" w:name="_Toc516839381"/>
      <w:bookmarkStart w:id="2302" w:name="_Toc517173477"/>
      <w:bookmarkStart w:id="2303" w:name="_Toc517175151"/>
      <w:bookmarkStart w:id="2304" w:name="_Toc517175738"/>
      <w:bookmarkStart w:id="2305" w:name="_Toc517176326"/>
      <w:bookmarkStart w:id="2306" w:name="_Toc517337651"/>
      <w:bookmarkStart w:id="2307" w:name="_Toc517360447"/>
      <w:bookmarkStart w:id="2308" w:name="_Toc516739829"/>
      <w:bookmarkStart w:id="2309" w:name="_Toc516751738"/>
      <w:bookmarkStart w:id="2310" w:name="_Toc516825826"/>
      <w:bookmarkStart w:id="2311" w:name="_Toc516826384"/>
      <w:bookmarkStart w:id="2312" w:name="_Toc516837704"/>
      <w:bookmarkStart w:id="2313" w:name="_Toc516838263"/>
      <w:bookmarkStart w:id="2314" w:name="_Toc516838822"/>
      <w:bookmarkStart w:id="2315" w:name="_Toc516839382"/>
      <w:bookmarkStart w:id="2316" w:name="_Toc517173478"/>
      <w:bookmarkStart w:id="2317" w:name="_Toc517175152"/>
      <w:bookmarkStart w:id="2318" w:name="_Toc517175739"/>
      <w:bookmarkStart w:id="2319" w:name="_Toc517176327"/>
      <w:bookmarkStart w:id="2320" w:name="_Toc517337652"/>
      <w:bookmarkStart w:id="2321" w:name="_Toc517360448"/>
      <w:bookmarkStart w:id="2322" w:name="_Toc516739830"/>
      <w:bookmarkStart w:id="2323" w:name="_Toc516751739"/>
      <w:bookmarkStart w:id="2324" w:name="_Toc516825827"/>
      <w:bookmarkStart w:id="2325" w:name="_Toc516826385"/>
      <w:bookmarkStart w:id="2326" w:name="_Toc516837705"/>
      <w:bookmarkStart w:id="2327" w:name="_Toc516838264"/>
      <w:bookmarkStart w:id="2328" w:name="_Toc516838823"/>
      <w:bookmarkStart w:id="2329" w:name="_Toc516839383"/>
      <w:bookmarkStart w:id="2330" w:name="_Toc517173479"/>
      <w:bookmarkStart w:id="2331" w:name="_Toc517175153"/>
      <w:bookmarkStart w:id="2332" w:name="_Toc517175740"/>
      <w:bookmarkStart w:id="2333" w:name="_Toc517176328"/>
      <w:bookmarkStart w:id="2334" w:name="_Toc517337653"/>
      <w:bookmarkStart w:id="2335" w:name="_Toc517360449"/>
      <w:bookmarkStart w:id="2336" w:name="_Toc516739831"/>
      <w:bookmarkStart w:id="2337" w:name="_Toc516751740"/>
      <w:bookmarkStart w:id="2338" w:name="_Toc516825828"/>
      <w:bookmarkStart w:id="2339" w:name="_Toc516826386"/>
      <w:bookmarkStart w:id="2340" w:name="_Toc516837706"/>
      <w:bookmarkStart w:id="2341" w:name="_Toc516838265"/>
      <w:bookmarkStart w:id="2342" w:name="_Toc516838824"/>
      <w:bookmarkStart w:id="2343" w:name="_Toc516839384"/>
      <w:bookmarkStart w:id="2344" w:name="_Toc517173480"/>
      <w:bookmarkStart w:id="2345" w:name="_Toc517175154"/>
      <w:bookmarkStart w:id="2346" w:name="_Toc517175741"/>
      <w:bookmarkStart w:id="2347" w:name="_Toc517176329"/>
      <w:bookmarkStart w:id="2348" w:name="_Toc517337654"/>
      <w:bookmarkStart w:id="2349" w:name="_Toc517360450"/>
      <w:bookmarkStart w:id="2350" w:name="_Toc516739832"/>
      <w:bookmarkStart w:id="2351" w:name="_Toc516751741"/>
      <w:bookmarkStart w:id="2352" w:name="_Toc516825829"/>
      <w:bookmarkStart w:id="2353" w:name="_Toc516826387"/>
      <w:bookmarkStart w:id="2354" w:name="_Toc516837707"/>
      <w:bookmarkStart w:id="2355" w:name="_Toc516838266"/>
      <w:bookmarkStart w:id="2356" w:name="_Toc516838825"/>
      <w:bookmarkStart w:id="2357" w:name="_Toc516839385"/>
      <w:bookmarkStart w:id="2358" w:name="_Toc517173481"/>
      <w:bookmarkStart w:id="2359" w:name="_Toc517175155"/>
      <w:bookmarkStart w:id="2360" w:name="_Toc517175742"/>
      <w:bookmarkStart w:id="2361" w:name="_Toc517176330"/>
      <w:bookmarkStart w:id="2362" w:name="_Toc517337655"/>
      <w:bookmarkStart w:id="2363" w:name="_Toc517360451"/>
      <w:bookmarkStart w:id="2364" w:name="_Toc516739833"/>
      <w:bookmarkStart w:id="2365" w:name="_Toc516751742"/>
      <w:bookmarkStart w:id="2366" w:name="_Toc516825830"/>
      <w:bookmarkStart w:id="2367" w:name="_Toc516826388"/>
      <w:bookmarkStart w:id="2368" w:name="_Toc516837708"/>
      <w:bookmarkStart w:id="2369" w:name="_Toc516838267"/>
      <w:bookmarkStart w:id="2370" w:name="_Toc516838826"/>
      <w:bookmarkStart w:id="2371" w:name="_Toc516839386"/>
      <w:bookmarkStart w:id="2372" w:name="_Toc517173482"/>
      <w:bookmarkStart w:id="2373" w:name="_Toc517175156"/>
      <w:bookmarkStart w:id="2374" w:name="_Toc517175743"/>
      <w:bookmarkStart w:id="2375" w:name="_Toc517176331"/>
      <w:bookmarkStart w:id="2376" w:name="_Toc517337656"/>
      <w:bookmarkStart w:id="2377" w:name="_Toc517360452"/>
      <w:bookmarkStart w:id="2378" w:name="_Toc143779197"/>
      <w:bookmarkStart w:id="2379" w:name="_Toc208420106"/>
      <w:bookmarkStart w:id="2380" w:name="_Toc225504338"/>
      <w:bookmarkStart w:id="2381" w:name="_Toc225772427"/>
      <w:bookmarkStart w:id="2382" w:name="_Toc233626295"/>
      <w:bookmarkStart w:id="2383" w:name="_Hlk69126914"/>
      <w:bookmarkStart w:id="2384" w:name="_Toc512525507"/>
      <w:bookmarkStart w:id="2385" w:name="_Toc515896821"/>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r w:rsidRPr="00B922DE">
        <w:t>040/364-22 : Enseignes et publicités assimilées</w:t>
      </w:r>
      <w:bookmarkEnd w:id="2378"/>
      <w:bookmarkEnd w:id="2379"/>
      <w:bookmarkEnd w:id="2380"/>
      <w:bookmarkEnd w:id="2381"/>
      <w:bookmarkEnd w:id="2382"/>
      <w:r w:rsidRPr="002241E4">
        <w:t xml:space="preserve"> </w:t>
      </w:r>
      <w:bookmarkEnd w:id="2383"/>
    </w:p>
    <w:p w14:paraId="1AD12A2A" w14:textId="77777777" w:rsidR="00795C3E" w:rsidRPr="00F91BDD" w:rsidRDefault="00795C3E" w:rsidP="00795C3E">
      <w:pPr>
        <w:spacing w:before="120"/>
      </w:pPr>
      <w:r w:rsidRPr="00F91BDD">
        <w:t>Taxe directe.</w:t>
      </w:r>
      <w:bookmarkEnd w:id="2384"/>
      <w:bookmarkEnd w:id="2385"/>
      <w:r w:rsidRPr="00F91BDD">
        <w:t xml:space="preserve"> </w:t>
      </w:r>
    </w:p>
    <w:p w14:paraId="654B4AEC" w14:textId="77777777" w:rsidR="00795C3E" w:rsidRPr="00F91BDD" w:rsidRDefault="00795C3E" w:rsidP="00795C3E">
      <w:pPr>
        <w:spacing w:before="120"/>
        <w:textAlignment w:val="baseline"/>
        <w:rPr>
          <w:rFonts w:cs="Calibri Light"/>
        </w:rPr>
      </w:pPr>
      <w:r w:rsidRPr="00F91BDD">
        <w:rPr>
          <w:rFonts w:cs="Calibri Light"/>
        </w:rPr>
        <w:t>Cette taxe vise communément :</w:t>
      </w:r>
    </w:p>
    <w:p w14:paraId="14862C62" w14:textId="4976AAFA" w:rsidR="00795C3E" w:rsidRPr="00090D81" w:rsidRDefault="00795C3E" w:rsidP="00090D81">
      <w:pPr>
        <w:pStyle w:val="Paragraphedeliste"/>
        <w:numPr>
          <w:ilvl w:val="0"/>
          <w:numId w:val="17"/>
        </w:numPr>
        <w:tabs>
          <w:tab w:val="left" w:pos="504"/>
        </w:tabs>
        <w:spacing w:before="120" w:after="120" w:line="240" w:lineRule="auto"/>
        <w:textAlignment w:val="baseline"/>
        <w:rPr>
          <w:rFonts w:cs="Calibri Light"/>
        </w:rPr>
      </w:pPr>
      <w:r w:rsidRPr="00090D81">
        <w:rPr>
          <w:rFonts w:cs="Calibri Light"/>
        </w:rPr>
        <w:t xml:space="preserve">Tous les signes ou inscriptions quelconques existant au lieu même de l'établissement, visibles de la voie publique, pour faire connaître au public le nom de l'occupant, le commerce ou l'industrie qui s'exploite au dit lieu ou encore la profession qui s'y </w:t>
      </w:r>
      <w:r w:rsidR="00327CB2" w:rsidRPr="00090D81">
        <w:rPr>
          <w:rFonts w:cs="Calibri Light"/>
        </w:rPr>
        <w:t>exerce ;</w:t>
      </w:r>
    </w:p>
    <w:p w14:paraId="32DB3739" w14:textId="77777777" w:rsidR="00090D81" w:rsidRDefault="00795C3E" w:rsidP="00090D81">
      <w:pPr>
        <w:pStyle w:val="Paragraphedeliste"/>
        <w:numPr>
          <w:ilvl w:val="0"/>
          <w:numId w:val="17"/>
        </w:numPr>
        <w:tabs>
          <w:tab w:val="left" w:pos="504"/>
        </w:tabs>
        <w:spacing w:before="120" w:after="120" w:line="240" w:lineRule="auto"/>
        <w:textAlignment w:val="baseline"/>
        <w:rPr>
          <w:rFonts w:cs="Calibri Light"/>
        </w:rPr>
      </w:pPr>
      <w:r w:rsidRPr="00327CB2">
        <w:rPr>
          <w:rFonts w:cs="Calibri Light"/>
        </w:rPr>
        <w:t>Tous les signes ou inscriptions quelconques existant sur l'établissement ou à proximité immédiate, visibles de la voie publique, pour faire connaître au public les activités qui s'y déroulent ou encore les produits et services qui y sont vendus et fournis ;</w:t>
      </w:r>
    </w:p>
    <w:p w14:paraId="0F892758" w14:textId="77777777" w:rsidR="00090D81" w:rsidRDefault="00795C3E" w:rsidP="00090D81">
      <w:pPr>
        <w:pStyle w:val="Paragraphedeliste"/>
        <w:numPr>
          <w:ilvl w:val="0"/>
          <w:numId w:val="17"/>
        </w:numPr>
        <w:tabs>
          <w:tab w:val="left" w:pos="504"/>
        </w:tabs>
        <w:spacing w:before="120" w:after="120" w:line="240" w:lineRule="auto"/>
        <w:textAlignment w:val="baseline"/>
        <w:rPr>
          <w:rFonts w:cs="Calibri Light"/>
        </w:rPr>
      </w:pPr>
      <w:r w:rsidRPr="00090D81">
        <w:rPr>
          <w:rFonts w:cs="Calibri Light"/>
        </w:rPr>
        <w:t>Tout objet visible de la voie publique servant à distinguer un immeuble à destination professionnelle ;</w:t>
      </w:r>
    </w:p>
    <w:p w14:paraId="34C2365E" w14:textId="15BD0583" w:rsidR="00795C3E" w:rsidRPr="00090D81" w:rsidRDefault="00795C3E" w:rsidP="00090D81">
      <w:pPr>
        <w:pStyle w:val="Paragraphedeliste"/>
        <w:numPr>
          <w:ilvl w:val="0"/>
          <w:numId w:val="17"/>
        </w:numPr>
        <w:tabs>
          <w:tab w:val="left" w:pos="504"/>
        </w:tabs>
        <w:spacing w:before="120" w:after="120" w:line="240" w:lineRule="auto"/>
        <w:textAlignment w:val="baseline"/>
        <w:rPr>
          <w:rFonts w:cs="Calibri Light"/>
        </w:rPr>
      </w:pPr>
      <w:r w:rsidRPr="00090D81">
        <w:rPr>
          <w:rFonts w:cs="Calibri Light"/>
        </w:rPr>
        <w:t>Tout panneau, store, drapeau et dispositif de même type, même sans inscription, visible de la voie publique, permettant, par sa couleur, d'identifier l'occupant.</w:t>
      </w:r>
    </w:p>
    <w:p w14:paraId="19AC7E55" w14:textId="77777777" w:rsidR="00795C3E" w:rsidRPr="00F91BDD" w:rsidRDefault="00795C3E" w:rsidP="00795C3E">
      <w:pPr>
        <w:spacing w:before="120"/>
        <w:textAlignment w:val="baseline"/>
        <w:rPr>
          <w:rFonts w:cs="Calibri Light"/>
        </w:rPr>
      </w:pPr>
      <w:r w:rsidRPr="00F91BDD">
        <w:rPr>
          <w:rFonts w:cs="Calibri Light"/>
        </w:rPr>
        <w:t>Est considérée comme enseigne lumineuse, l'enseigne illuminée par tout procédé d'éclairage, direct ou indirect, interne au dispositif ou externe à celui-ci (dont la projection lumineuse).</w:t>
      </w:r>
    </w:p>
    <w:p w14:paraId="09772F9D" w14:textId="77777777" w:rsidR="00795C3E" w:rsidRPr="00F91BDD" w:rsidRDefault="00795C3E" w:rsidP="00795C3E">
      <w:pPr>
        <w:spacing w:before="120"/>
        <w:textAlignment w:val="baseline"/>
        <w:rPr>
          <w:rFonts w:cs="Calibri Light"/>
        </w:rPr>
      </w:pPr>
      <w:r w:rsidRPr="00F91BDD">
        <w:rPr>
          <w:rFonts w:cs="Calibri Light"/>
        </w:rPr>
        <w:t>Une publicité est assimilée à une enseigne lorsque, placée à proximité immédiate d'un établissement, elle promeut cet établissement ou les activités qui s'y déroulent et les produits et services qui y sont fournis.</w:t>
      </w:r>
    </w:p>
    <w:p w14:paraId="3C6A5E5F" w14:textId="77777777" w:rsidR="00795C3E" w:rsidRPr="00F91BDD" w:rsidRDefault="00795C3E" w:rsidP="00795C3E">
      <w:pPr>
        <w:spacing w:before="120"/>
        <w:textAlignment w:val="baseline"/>
        <w:rPr>
          <w:rFonts w:cs="Calibri Light"/>
          <w:spacing w:val="-1"/>
        </w:rPr>
      </w:pPr>
      <w:r w:rsidRPr="00F91BDD">
        <w:rPr>
          <w:rFonts w:cs="Calibri Light"/>
          <w:spacing w:val="-1"/>
        </w:rPr>
        <w:t>Le taux maximum recommandé est de :</w:t>
      </w:r>
    </w:p>
    <w:p w14:paraId="57B32F2A" w14:textId="2DAC9561" w:rsidR="00795C3E" w:rsidRPr="00F91BDD" w:rsidRDefault="00795C3E">
      <w:pPr>
        <w:pStyle w:val="Paragraphedeliste"/>
        <w:numPr>
          <w:ilvl w:val="0"/>
          <w:numId w:val="32"/>
        </w:numPr>
        <w:tabs>
          <w:tab w:val="left" w:pos="144"/>
        </w:tabs>
        <w:spacing w:before="120" w:after="120" w:line="240" w:lineRule="auto"/>
        <w:ind w:left="499" w:hanging="357"/>
        <w:contextualSpacing w:val="0"/>
        <w:textAlignment w:val="baseline"/>
        <w:rPr>
          <w:rFonts w:cs="Calibri Light"/>
        </w:rPr>
      </w:pPr>
      <w:r w:rsidRPr="00F91BDD">
        <w:rPr>
          <w:rFonts w:cs="Calibri Light"/>
        </w:rPr>
        <w:t xml:space="preserve">0,30 </w:t>
      </w:r>
      <w:r w:rsidR="00090D81" w:rsidRPr="00F91BDD">
        <w:rPr>
          <w:rFonts w:cs="Calibri Light"/>
        </w:rPr>
        <w:t>euro le</w:t>
      </w:r>
      <w:r w:rsidRPr="00F91BDD">
        <w:rPr>
          <w:rFonts w:cs="Calibri Light"/>
        </w:rPr>
        <w:t xml:space="preserve"> dm² pour les enseignes et/ou publicités assimilées ;</w:t>
      </w:r>
    </w:p>
    <w:p w14:paraId="10253122" w14:textId="1E5B5289" w:rsidR="00795C3E" w:rsidRPr="00F91BDD" w:rsidRDefault="00795C3E">
      <w:pPr>
        <w:pStyle w:val="Paragraphedeliste"/>
        <w:numPr>
          <w:ilvl w:val="0"/>
          <w:numId w:val="32"/>
        </w:numPr>
        <w:tabs>
          <w:tab w:val="left" w:pos="144"/>
        </w:tabs>
        <w:spacing w:before="120" w:after="120" w:line="240" w:lineRule="auto"/>
        <w:ind w:left="499" w:hanging="357"/>
        <w:contextualSpacing w:val="0"/>
        <w:textAlignment w:val="baseline"/>
        <w:rPr>
          <w:rFonts w:cs="Calibri Light"/>
        </w:rPr>
      </w:pPr>
      <w:r w:rsidRPr="00F91BDD">
        <w:rPr>
          <w:rFonts w:cs="Calibri Light"/>
        </w:rPr>
        <w:t xml:space="preserve">0,60 </w:t>
      </w:r>
      <w:r w:rsidR="00090D81" w:rsidRPr="00F91BDD">
        <w:rPr>
          <w:rFonts w:cs="Calibri Light"/>
        </w:rPr>
        <w:t>euro le</w:t>
      </w:r>
      <w:r w:rsidRPr="00F91BDD">
        <w:rPr>
          <w:rFonts w:cs="Calibri Light"/>
        </w:rPr>
        <w:t xml:space="preserve"> dm² pour les enseignes et/ou publicités assimilées lumineuses ;</w:t>
      </w:r>
    </w:p>
    <w:p w14:paraId="7DDA94C7" w14:textId="1B7EF264" w:rsidR="00795C3E" w:rsidRPr="00F91BDD" w:rsidRDefault="00795C3E">
      <w:pPr>
        <w:pStyle w:val="Paragraphedeliste"/>
        <w:numPr>
          <w:ilvl w:val="0"/>
          <w:numId w:val="32"/>
        </w:numPr>
        <w:tabs>
          <w:tab w:val="left" w:pos="144"/>
        </w:tabs>
        <w:spacing w:before="120" w:after="120" w:line="240" w:lineRule="auto"/>
        <w:ind w:left="499" w:hanging="357"/>
        <w:contextualSpacing w:val="0"/>
        <w:textAlignment w:val="baseline"/>
        <w:rPr>
          <w:rFonts w:cs="Calibri Light"/>
        </w:rPr>
      </w:pPr>
      <w:r w:rsidRPr="00F91BDD">
        <w:rPr>
          <w:rFonts w:cs="Calibri Light"/>
        </w:rPr>
        <w:t xml:space="preserve">3,00 euros le mètre courant pour les cordons lumineux qui ne font pas corps avec une enseigne. Seules les enseignes et publicités assimilées visibles de la voie publique </w:t>
      </w:r>
      <w:r w:rsidRPr="00F91BDD">
        <w:rPr>
          <w:rFonts w:cs="Calibri Light"/>
        </w:rPr>
        <w:lastRenderedPageBreak/>
        <w:t xml:space="preserve">peuvent être taxées, à l'exclusion des enseignes rendues obligatoires par une disposition réglementaire (pharmacien, etc.). </w:t>
      </w:r>
    </w:p>
    <w:p w14:paraId="458A95AC" w14:textId="77777777" w:rsidR="00795C3E" w:rsidRPr="001D2761" w:rsidRDefault="00795C3E" w:rsidP="00795C3E">
      <w:pPr>
        <w:spacing w:before="120"/>
        <w:textAlignment w:val="baseline"/>
        <w:rPr>
          <w:rFonts w:cs="Calibri Light"/>
        </w:rPr>
      </w:pPr>
      <w:r w:rsidRPr="1C6C0DED">
        <w:t>Les communes sont invitées à ne pas taxer les 200 premiers dm</w:t>
      </w:r>
      <w:r w:rsidRPr="001D2761">
        <w:t>2</w:t>
      </w:r>
      <w:r w:rsidRPr="1C6C0DED">
        <w:t xml:space="preserve"> de l’enseigne et les 2 premiers mètres pour les cordons lumineux.</w:t>
      </w:r>
    </w:p>
    <w:p w14:paraId="709CB93A" w14:textId="734E0674" w:rsidR="00795C3E" w:rsidRPr="00B922DE" w:rsidRDefault="00795C3E" w:rsidP="35BD9115">
      <w:pPr>
        <w:pStyle w:val="Titre3"/>
        <w:rPr>
          <w:caps/>
        </w:rPr>
      </w:pPr>
      <w:bookmarkStart w:id="2386" w:name="_Toc143779198"/>
      <w:bookmarkStart w:id="2387" w:name="_Toc208420107"/>
      <w:bookmarkStart w:id="2388" w:name="_Toc225504339"/>
      <w:bookmarkStart w:id="2389" w:name="_Toc225772428"/>
      <w:bookmarkStart w:id="2390" w:name="_Toc233626296"/>
      <w:r w:rsidRPr="00B922DE">
        <w:t>04001/364-22 : Enseignes et publicités assimilées obsolètes</w:t>
      </w:r>
      <w:bookmarkEnd w:id="2386"/>
      <w:bookmarkEnd w:id="2387"/>
      <w:bookmarkEnd w:id="2388"/>
      <w:bookmarkEnd w:id="2389"/>
      <w:bookmarkEnd w:id="2390"/>
      <w:r w:rsidRPr="00B922DE">
        <w:t xml:space="preserve"> </w:t>
      </w:r>
    </w:p>
    <w:p w14:paraId="477AECCB" w14:textId="77777777" w:rsidR="00795C3E" w:rsidRPr="00F91BDD" w:rsidRDefault="00795C3E" w:rsidP="00795C3E">
      <w:pPr>
        <w:spacing w:before="120"/>
        <w:textAlignment w:val="baseline"/>
        <w:rPr>
          <w:spacing w:val="-1"/>
        </w:rPr>
      </w:pPr>
      <w:r w:rsidRPr="00F91BDD">
        <w:rPr>
          <w:spacing w:val="-1"/>
        </w:rPr>
        <w:t>Taxe directe</w:t>
      </w:r>
      <w:r>
        <w:rPr>
          <w:spacing w:val="-1"/>
        </w:rPr>
        <w:t xml:space="preserve">. </w:t>
      </w:r>
    </w:p>
    <w:p w14:paraId="51DAF200" w14:textId="77777777" w:rsidR="00795C3E" w:rsidRPr="00F91BDD" w:rsidRDefault="00795C3E" w:rsidP="00795C3E">
      <w:pPr>
        <w:spacing w:before="120"/>
        <w:textAlignment w:val="baseline"/>
        <w:rPr>
          <w:spacing w:val="-1"/>
        </w:rPr>
      </w:pPr>
      <w:r w:rsidRPr="00F91BDD">
        <w:rPr>
          <w:spacing w:val="-1"/>
        </w:rPr>
        <w:t>Cette taxe vise les enseignes et publicités assimilées qui restent placées alors que le commerce qu’elles renseignaient a cessé ses activités depuis un minimum de 6 mois.</w:t>
      </w:r>
    </w:p>
    <w:p w14:paraId="5782C410" w14:textId="77777777" w:rsidR="00795C3E" w:rsidRPr="00F91BDD" w:rsidRDefault="00795C3E" w:rsidP="00795C3E">
      <w:pPr>
        <w:spacing w:before="120"/>
        <w:textAlignment w:val="baseline"/>
        <w:rPr>
          <w:spacing w:val="-1"/>
        </w:rPr>
      </w:pPr>
      <w:r w:rsidRPr="00F91BDD">
        <w:rPr>
          <w:spacing w:val="-1"/>
        </w:rPr>
        <w:t>Ce type d’enseigne occasionnant une pollution visuelle, il est possible de prévoir une taxe spécifique à charge du titulaire du droit réel de l’immeuble sur lequel elle est apposée.</w:t>
      </w:r>
    </w:p>
    <w:p w14:paraId="4EA88064" w14:textId="76C77155" w:rsidR="00795C3E" w:rsidRPr="00F91BDD" w:rsidRDefault="00795C3E" w:rsidP="00795C3E">
      <w:pPr>
        <w:spacing w:before="120"/>
        <w:textAlignment w:val="baseline"/>
      </w:pPr>
      <w:r w:rsidRPr="00F91BDD">
        <w:rPr>
          <w:spacing w:val="-1"/>
        </w:rPr>
        <w:t xml:space="preserve">Le taux maximum recommandé est de 1,75 </w:t>
      </w:r>
      <w:r w:rsidR="00090D81" w:rsidRPr="00F91BDD">
        <w:rPr>
          <w:spacing w:val="-1"/>
        </w:rPr>
        <w:t>euros par</w:t>
      </w:r>
      <w:r w:rsidRPr="00F91BDD">
        <w:rPr>
          <w:spacing w:val="-1"/>
        </w:rPr>
        <w:t xml:space="preserve"> décimètre carré. Toutefois, un taux minimum forfaitaire de 250 </w:t>
      </w:r>
      <w:r w:rsidR="00090D81" w:rsidRPr="00F91BDD">
        <w:rPr>
          <w:spacing w:val="-1"/>
        </w:rPr>
        <w:t>euros par</w:t>
      </w:r>
      <w:r w:rsidRPr="00F91BDD">
        <w:rPr>
          <w:spacing w:val="-1"/>
        </w:rPr>
        <w:t xml:space="preserve"> an et par enseigne peut être prévu.</w:t>
      </w:r>
    </w:p>
    <w:p w14:paraId="3152495B" w14:textId="1A9158B7" w:rsidR="00795C3E" w:rsidRPr="00821335" w:rsidRDefault="00795C3E" w:rsidP="35BD9115">
      <w:pPr>
        <w:pStyle w:val="Titre3"/>
        <w:rPr>
          <w:rFonts w:eastAsia="PMingLiU"/>
          <w:caps/>
        </w:rPr>
      </w:pPr>
      <w:bookmarkStart w:id="2391" w:name="_Toc143779199"/>
      <w:bookmarkStart w:id="2392" w:name="_Toc208302368"/>
      <w:bookmarkStart w:id="2393" w:name="_Toc208321584"/>
      <w:bookmarkStart w:id="2394" w:name="_Toc208420108"/>
      <w:bookmarkStart w:id="2395" w:name="_Toc225504340"/>
      <w:bookmarkStart w:id="2396" w:name="_Toc225772429"/>
      <w:bookmarkStart w:id="2397" w:name="_Toc233626297"/>
      <w:bookmarkStart w:id="2398" w:name="_Toc512525508"/>
      <w:bookmarkStart w:id="2399" w:name="_Toc515896822"/>
      <w:r w:rsidRPr="00821335">
        <w:t>040/364-23 : Panneaux publicitaires</w:t>
      </w:r>
      <w:bookmarkEnd w:id="2391"/>
      <w:bookmarkEnd w:id="2392"/>
      <w:bookmarkEnd w:id="2393"/>
      <w:bookmarkEnd w:id="2394"/>
      <w:bookmarkEnd w:id="2395"/>
      <w:bookmarkEnd w:id="2396"/>
      <w:bookmarkEnd w:id="2397"/>
      <w:r w:rsidRPr="00821335">
        <w:t xml:space="preserve"> </w:t>
      </w:r>
    </w:p>
    <w:p w14:paraId="3CD4F768" w14:textId="77777777" w:rsidR="00795C3E" w:rsidRPr="00A55062" w:rsidRDefault="00795C3E" w:rsidP="00795C3E">
      <w:pPr>
        <w:spacing w:before="120"/>
      </w:pPr>
      <w:bookmarkStart w:id="2400" w:name="_Toc208302369"/>
      <w:bookmarkStart w:id="2401" w:name="_Toc208321585"/>
      <w:bookmarkStart w:id="2402" w:name="_Toc208420109"/>
      <w:r w:rsidRPr="0013444E">
        <w:rPr>
          <w:rFonts w:eastAsia="PMingLiU"/>
        </w:rPr>
        <w:t>Taxe directe</w:t>
      </w:r>
      <w:bookmarkEnd w:id="2398"/>
      <w:bookmarkEnd w:id="2399"/>
      <w:bookmarkEnd w:id="2400"/>
      <w:bookmarkEnd w:id="2401"/>
      <w:bookmarkEnd w:id="2402"/>
      <w:r w:rsidRPr="00A55062">
        <w:t xml:space="preserve"> - Modèle disponible. </w:t>
      </w:r>
    </w:p>
    <w:p w14:paraId="51243855" w14:textId="77777777" w:rsidR="00795C3E" w:rsidRDefault="00795C3E" w:rsidP="00795C3E">
      <w:pPr>
        <w:spacing w:before="120"/>
        <w:textAlignment w:val="baseline"/>
        <w:rPr>
          <w:rFonts w:cs="Calibri Light"/>
        </w:rPr>
      </w:pPr>
      <w:r w:rsidRPr="00F91BDD">
        <w:rPr>
          <w:rFonts w:cs="Calibri Light"/>
        </w:rPr>
        <w:t>Cette taxe vise communément :</w:t>
      </w:r>
    </w:p>
    <w:p w14:paraId="7591EFC4" w14:textId="04F7257B" w:rsidR="00795C3E" w:rsidRPr="00590A5A" w:rsidRDefault="00795C3E" w:rsidP="00590A5A">
      <w:pPr>
        <w:pStyle w:val="Paragraphedeliste"/>
        <w:numPr>
          <w:ilvl w:val="0"/>
          <w:numId w:val="18"/>
        </w:numPr>
        <w:spacing w:before="120" w:after="120" w:line="240" w:lineRule="auto"/>
        <w:rPr>
          <w:rFonts w:cs="Calibri Light"/>
        </w:rPr>
      </w:pPr>
      <w:r w:rsidRPr="00590A5A">
        <w:rPr>
          <w:rFonts w:cs="Calibri Light"/>
        </w:rPr>
        <w:t>Tout panneau en quelque matériau que ce soit destiné à recevoir de la publicité par collage, agrafage, peinture, impression ou par tout autre moyen ;</w:t>
      </w:r>
    </w:p>
    <w:p w14:paraId="7AA818B4" w14:textId="77777777" w:rsidR="00795C3E" w:rsidRPr="00F91BDD" w:rsidRDefault="00795C3E">
      <w:pPr>
        <w:numPr>
          <w:ilvl w:val="0"/>
          <w:numId w:val="18"/>
        </w:numPr>
        <w:tabs>
          <w:tab w:val="left" w:pos="576"/>
        </w:tabs>
        <w:spacing w:before="120" w:after="120" w:line="240" w:lineRule="auto"/>
        <w:textAlignment w:val="baseline"/>
        <w:rPr>
          <w:rFonts w:cs="Calibri Light"/>
        </w:rPr>
      </w:pPr>
      <w:r w:rsidRPr="00F91BDD">
        <w:rPr>
          <w:rFonts w:cs="Calibri Light"/>
        </w:rPr>
        <w:t>Tout dispositif en quelque matériau que ce soit destiné à recevoir de la publicité par collage, agrafage, peinture, insertion, intercalation, impression ou par tout autre moyen ;</w:t>
      </w:r>
    </w:p>
    <w:p w14:paraId="1DC89DD0" w14:textId="77777777" w:rsidR="00795C3E" w:rsidRPr="00F91BDD" w:rsidRDefault="00795C3E">
      <w:pPr>
        <w:numPr>
          <w:ilvl w:val="0"/>
          <w:numId w:val="18"/>
        </w:numPr>
        <w:tabs>
          <w:tab w:val="left" w:pos="576"/>
        </w:tabs>
        <w:spacing w:before="120" w:after="120" w:line="240" w:lineRule="auto"/>
        <w:textAlignment w:val="baseline"/>
        <w:rPr>
          <w:rFonts w:cs="Calibri Light"/>
        </w:rPr>
      </w:pPr>
      <w:r w:rsidRPr="00F91BDD">
        <w:rPr>
          <w:rFonts w:cs="Calibri Light"/>
        </w:rPr>
        <w:t>Tout support autre qu'un panneau publicitaire (mur, vitrine, clôture, colonne, etc. ou partie) employé dans le but de recevoir de la publicité. (Seule la superficie de l'espace utilisé pour recevoir de la publicité pouvant être prise en considération pour établir la base imposable) ;</w:t>
      </w:r>
    </w:p>
    <w:p w14:paraId="345B081C" w14:textId="77777777" w:rsidR="00795C3E" w:rsidRPr="00F91BDD" w:rsidRDefault="00795C3E">
      <w:pPr>
        <w:numPr>
          <w:ilvl w:val="0"/>
          <w:numId w:val="18"/>
        </w:numPr>
        <w:tabs>
          <w:tab w:val="left" w:pos="576"/>
        </w:tabs>
        <w:spacing w:before="120" w:after="120" w:line="240" w:lineRule="auto"/>
        <w:textAlignment w:val="baseline"/>
        <w:rPr>
          <w:rFonts w:cs="Calibri Light"/>
          <w:spacing w:val="-2"/>
        </w:rPr>
      </w:pPr>
      <w:r w:rsidRPr="00F91BDD">
        <w:rPr>
          <w:rFonts w:cs="Calibri Light"/>
          <w:spacing w:val="-2"/>
        </w:rPr>
        <w:t>Tout écran (toute technologie confondue, c’est-à-dire cristaux liquides, diodes électroluminescentes, plasma ...) diffusant des messages publicitaires ;</w:t>
      </w:r>
    </w:p>
    <w:p w14:paraId="2352E1F5" w14:textId="77777777" w:rsidR="00795C3E" w:rsidRPr="00F91BDD" w:rsidRDefault="00795C3E">
      <w:pPr>
        <w:numPr>
          <w:ilvl w:val="0"/>
          <w:numId w:val="18"/>
        </w:numPr>
        <w:tabs>
          <w:tab w:val="left" w:pos="576"/>
        </w:tabs>
        <w:spacing w:before="120" w:after="120" w:line="240" w:lineRule="auto"/>
        <w:textAlignment w:val="baseline"/>
        <w:rPr>
          <w:rFonts w:cs="Calibri Light"/>
          <w:spacing w:val="-2"/>
        </w:rPr>
      </w:pPr>
      <w:r w:rsidRPr="00F91BDD">
        <w:rPr>
          <w:rFonts w:cs="Calibri Light"/>
          <w:spacing w:val="-2"/>
        </w:rPr>
        <w:t>Tout support mobile, tel les remorques. Toutefois, il est recommandé de préciser les endroits visés et la durée de l’immobilisation ;</w:t>
      </w:r>
    </w:p>
    <w:p w14:paraId="3DB327EE" w14:textId="77777777" w:rsidR="00795C3E" w:rsidRPr="00F91BDD" w:rsidRDefault="00795C3E">
      <w:pPr>
        <w:numPr>
          <w:ilvl w:val="0"/>
          <w:numId w:val="18"/>
        </w:numPr>
        <w:tabs>
          <w:tab w:val="left" w:pos="576"/>
        </w:tabs>
        <w:spacing w:before="120" w:after="120" w:line="240" w:lineRule="auto"/>
        <w:textAlignment w:val="baseline"/>
        <w:rPr>
          <w:rFonts w:cs="Calibri Light"/>
          <w:spacing w:val="-2"/>
        </w:rPr>
      </w:pPr>
      <w:bookmarkStart w:id="2403" w:name="_Hlk38969818"/>
      <w:r w:rsidRPr="00F91BDD">
        <w:rPr>
          <w:rFonts w:cs="Calibri Light"/>
          <w:spacing w:val="-2"/>
        </w:rPr>
        <w:t>Toute affiche en métal léger ou en PVC ne nécessitant aucun support.</w:t>
      </w:r>
    </w:p>
    <w:bookmarkEnd w:id="2403"/>
    <w:p w14:paraId="1D0FAA95" w14:textId="0A304A53" w:rsidR="00795C3E" w:rsidRPr="00F91BDD" w:rsidRDefault="00795C3E" w:rsidP="00795C3E">
      <w:pPr>
        <w:spacing w:before="120"/>
        <w:textAlignment w:val="baseline"/>
        <w:rPr>
          <w:rFonts w:cs="Calibri Light"/>
          <w:spacing w:val="-3"/>
        </w:rPr>
      </w:pPr>
      <w:r w:rsidRPr="00F91BDD">
        <w:rPr>
          <w:rFonts w:cs="Calibri Light"/>
          <w:spacing w:val="-3"/>
        </w:rPr>
        <w:t xml:space="preserve">Taux maximum recommandé : 0,85 </w:t>
      </w:r>
      <w:r w:rsidR="00220E33" w:rsidRPr="00F91BDD">
        <w:rPr>
          <w:rFonts w:cs="Calibri Light"/>
          <w:spacing w:val="-3"/>
        </w:rPr>
        <w:t>euro le</w:t>
      </w:r>
      <w:r w:rsidRPr="00F91BDD">
        <w:rPr>
          <w:rFonts w:cs="Calibri Light"/>
          <w:spacing w:val="-3"/>
        </w:rPr>
        <w:t xml:space="preserve"> dm</w:t>
      </w:r>
      <w:r w:rsidRPr="00F91BDD">
        <w:rPr>
          <w:rFonts w:cs="Calibri Light"/>
          <w:spacing w:val="-3"/>
          <w:vertAlign w:val="superscript"/>
        </w:rPr>
        <w:t>2</w:t>
      </w:r>
      <w:r w:rsidRPr="00F91BDD">
        <w:rPr>
          <w:rFonts w:cs="Calibri Light"/>
          <w:spacing w:val="-3"/>
        </w:rPr>
        <w:t>.</w:t>
      </w:r>
    </w:p>
    <w:p w14:paraId="7D0FD6CA" w14:textId="77777777" w:rsidR="00795C3E" w:rsidRPr="00F91BDD" w:rsidRDefault="00795C3E" w:rsidP="00795C3E">
      <w:pPr>
        <w:spacing w:before="120"/>
        <w:textAlignment w:val="baseline"/>
        <w:rPr>
          <w:rFonts w:cs="Calibri Light"/>
          <w:spacing w:val="-3"/>
        </w:rPr>
      </w:pPr>
      <w:r w:rsidRPr="00F91BDD">
        <w:rPr>
          <w:rFonts w:cs="Calibri Light"/>
          <w:spacing w:val="-3"/>
        </w:rPr>
        <w:t>En ce qui concerne les supports mobiles, ce taux maximum recommandé devra être réduit d’un coefficient qui permet de tenir compte de la durée du placement.</w:t>
      </w:r>
    </w:p>
    <w:p w14:paraId="63AFFA38" w14:textId="06447835" w:rsidR="00795C3E" w:rsidRPr="00F91BDD" w:rsidRDefault="00795C3E" w:rsidP="00795C3E">
      <w:pPr>
        <w:spacing w:before="120"/>
        <w:textAlignment w:val="baseline"/>
        <w:rPr>
          <w:rFonts w:cs="Calibri Light"/>
          <w:spacing w:val="-3"/>
        </w:rPr>
      </w:pPr>
      <w:bookmarkStart w:id="2404" w:name="_Hlk39393757"/>
      <w:r w:rsidRPr="00F91BDD">
        <w:rPr>
          <w:rFonts w:cs="Calibri Light"/>
          <w:spacing w:val="-3"/>
          <w:u w:val="single"/>
        </w:rPr>
        <w:t>Exemple par jour</w:t>
      </w:r>
      <w:r w:rsidRPr="00F91BDD">
        <w:rPr>
          <w:rFonts w:cs="Calibri Light"/>
          <w:spacing w:val="-3"/>
        </w:rPr>
        <w:t xml:space="preserve"> : 1,05 euro * le nombre de jours de placement/365.</w:t>
      </w:r>
    </w:p>
    <w:p w14:paraId="711F137A" w14:textId="0BC440A1" w:rsidR="00795C3E" w:rsidRPr="00F91BDD" w:rsidRDefault="00795C3E" w:rsidP="00795C3E">
      <w:pPr>
        <w:spacing w:before="120"/>
        <w:textAlignment w:val="baseline"/>
        <w:rPr>
          <w:rFonts w:cs="Calibri Light"/>
          <w:spacing w:val="-3"/>
        </w:rPr>
      </w:pPr>
      <w:r w:rsidRPr="00F91BDD">
        <w:rPr>
          <w:rFonts w:cs="Calibri Light"/>
          <w:spacing w:val="-3"/>
          <w:u w:val="single"/>
        </w:rPr>
        <w:t>Exemple par trimestre</w:t>
      </w:r>
      <w:r w:rsidRPr="00F91BDD">
        <w:rPr>
          <w:rFonts w:cs="Calibri Light"/>
          <w:spacing w:val="-3"/>
        </w:rPr>
        <w:t xml:space="preserve"> : 1,05</w:t>
      </w:r>
      <w:r w:rsidR="66E8C2C5" w:rsidRPr="00F91BDD">
        <w:rPr>
          <w:rFonts w:cs="Calibri Light"/>
          <w:spacing w:val="-3"/>
        </w:rPr>
        <w:t xml:space="preserve"> </w:t>
      </w:r>
      <w:r w:rsidRPr="00F91BDD">
        <w:rPr>
          <w:rFonts w:cs="Calibri Light"/>
          <w:spacing w:val="-3"/>
        </w:rPr>
        <w:t xml:space="preserve">euro * le nombre de trimestre/4. </w:t>
      </w:r>
    </w:p>
    <w:bookmarkEnd w:id="2404"/>
    <w:p w14:paraId="503B270E" w14:textId="77777777" w:rsidR="00795C3E" w:rsidRPr="00F91BDD" w:rsidRDefault="00795C3E" w:rsidP="00795C3E">
      <w:pPr>
        <w:spacing w:before="120"/>
        <w:textAlignment w:val="baseline"/>
        <w:rPr>
          <w:rFonts w:cs="Calibri Light"/>
        </w:rPr>
      </w:pPr>
      <w:r w:rsidRPr="00F91BDD">
        <w:rPr>
          <w:rFonts w:cs="Calibri Light"/>
        </w:rPr>
        <w:lastRenderedPageBreak/>
        <w:t xml:space="preserve">Ce taux pourra être majoré jusqu'au double lorsque le panneau est équipé d'un système de défilement électronique ou mécanique des messages publicitaires OU lorsque le panneau est lumineux ou éclairé. </w:t>
      </w:r>
    </w:p>
    <w:p w14:paraId="0856281E" w14:textId="77777777" w:rsidR="00795C3E" w:rsidRPr="00F91BDD" w:rsidRDefault="00795C3E" w:rsidP="00795C3E">
      <w:pPr>
        <w:spacing w:before="120"/>
        <w:textAlignment w:val="baseline"/>
        <w:rPr>
          <w:rFonts w:cs="Calibri Light"/>
        </w:rPr>
      </w:pPr>
      <w:r w:rsidRPr="00F91BDD">
        <w:rPr>
          <w:rFonts w:cs="Calibri Light"/>
        </w:rPr>
        <w:t>Ce taux pourra être majoré jusqu'au triple lorsque le panneau est équipé d'un système de défilement électronique ou mécanique des messages publicitaires ET lorsque le panneau est lumineux ou éclairé.</w:t>
      </w:r>
    </w:p>
    <w:p w14:paraId="6C4DCD2E" w14:textId="77777777" w:rsidR="00795C3E" w:rsidRPr="00F91BDD" w:rsidRDefault="00795C3E" w:rsidP="00795C3E">
      <w:pPr>
        <w:spacing w:before="120"/>
        <w:rPr>
          <w:rFonts w:cs="Calibri Light"/>
        </w:rPr>
      </w:pPr>
      <w:r w:rsidRPr="00F91BDD">
        <w:rPr>
          <w:rFonts w:cs="Calibri Light"/>
        </w:rPr>
        <w:t>Pour les communes appliquant le doublement et le triplement du taux, j’attire particulièrement votre attention sur l’impact que peut avoir une hausse trop importante du taux sur l’activité des firmes publicitaires, lesquelles connaissent aujourd’hui diverses formes de concurrence. C’est pourquoi je préconise des taux progressifs en fonction de la surface des panneaux et du nombre de possibilités de défilement.</w:t>
      </w:r>
    </w:p>
    <w:p w14:paraId="7FC54615" w14:textId="7571CD49" w:rsidR="00795C3E" w:rsidRPr="00821335" w:rsidRDefault="00795C3E" w:rsidP="35BD9115">
      <w:pPr>
        <w:pStyle w:val="Titre3"/>
        <w:rPr>
          <w:caps/>
        </w:rPr>
      </w:pPr>
      <w:bookmarkStart w:id="2405" w:name="_Toc143779200"/>
      <w:bookmarkStart w:id="2406" w:name="_Toc208420110"/>
      <w:bookmarkStart w:id="2407" w:name="_Toc225504341"/>
      <w:bookmarkStart w:id="2408" w:name="_Toc225772430"/>
      <w:bookmarkStart w:id="2409" w:name="_Toc233626298"/>
      <w:bookmarkStart w:id="2410" w:name="_Hlk68528824"/>
      <w:bookmarkStart w:id="2411" w:name="_Toc515896823"/>
      <w:bookmarkStart w:id="2412" w:name="_Toc512525510"/>
      <w:r w:rsidRPr="00821335">
        <w:t>04001/364-24 : Distribution gratuite d'écrits publicitaires ou d’échantillons publicitaires non adressés et de supports de presse régionale gratuite</w:t>
      </w:r>
      <w:bookmarkEnd w:id="2405"/>
      <w:bookmarkEnd w:id="2406"/>
      <w:bookmarkEnd w:id="2407"/>
      <w:bookmarkEnd w:id="2408"/>
      <w:bookmarkEnd w:id="2409"/>
    </w:p>
    <w:bookmarkEnd w:id="2410"/>
    <w:p w14:paraId="4E1E94E1" w14:textId="3BFC2A7A" w:rsidR="00795C3E" w:rsidRPr="00220E33" w:rsidRDefault="00795C3E" w:rsidP="009E3799">
      <w:pPr>
        <w:pStyle w:val="Sam3"/>
        <w:rPr>
          <w:bCs/>
        </w:rPr>
      </w:pPr>
      <w:r w:rsidRPr="00220E33">
        <w:t>Taxe indirecte</w:t>
      </w:r>
      <w:bookmarkEnd w:id="2411"/>
      <w:r w:rsidR="00220E33">
        <w:t xml:space="preserve"> -</w:t>
      </w:r>
      <w:r w:rsidR="6875FB86" w:rsidRPr="00220E33">
        <w:t xml:space="preserve"> Modèle disponible </w:t>
      </w:r>
    </w:p>
    <w:p w14:paraId="06426252" w14:textId="77777777" w:rsidR="00795C3E" w:rsidRPr="00F91BDD" w:rsidRDefault="00795C3E" w:rsidP="00795C3E">
      <w:pPr>
        <w:spacing w:before="120"/>
        <w:textAlignment w:val="baseline"/>
        <w:rPr>
          <w:bCs/>
          <w:spacing w:val="-1"/>
        </w:rPr>
      </w:pPr>
      <w:r w:rsidRPr="00F91BDD">
        <w:rPr>
          <w:bCs/>
          <w:spacing w:val="-1"/>
        </w:rPr>
        <w:t>La taxe vise la distribution gratuite de deux types d’écrits que sont les écrits (ou les échantillons) publicitaires non adressés et les supports de presse régionale gratuite.</w:t>
      </w:r>
    </w:p>
    <w:p w14:paraId="3BC28A74" w14:textId="77777777" w:rsidR="00795C3E" w:rsidRPr="00F91BDD" w:rsidRDefault="00795C3E" w:rsidP="00795C3E">
      <w:pPr>
        <w:spacing w:before="120"/>
        <w:textAlignment w:val="baseline"/>
        <w:rPr>
          <w:spacing w:val="-1"/>
        </w:rPr>
      </w:pPr>
      <w:r w:rsidRPr="00F91BDD">
        <w:rPr>
          <w:spacing w:val="-1"/>
        </w:rPr>
        <w:t>Les « toutes boîtes » se distinguent non seulement de la presse adressée, qui est distribuée uniquement aux abonnés, à leur demande et à leurs frais, mais également des écrits adressés, envoyés gratuitement à leurs destinataires, parfois sans que ceux-ci en aient fait la demande.</w:t>
      </w:r>
    </w:p>
    <w:p w14:paraId="3146537E" w14:textId="77777777" w:rsidR="00795C3E" w:rsidRPr="00A55062" w:rsidRDefault="00795C3E" w:rsidP="00795C3E">
      <w:pPr>
        <w:spacing w:before="120"/>
        <w:textAlignment w:val="baseline"/>
        <w:rPr>
          <w:b/>
          <w:spacing w:val="-1"/>
        </w:rPr>
      </w:pPr>
      <w:r w:rsidRPr="00F91BDD">
        <w:rPr>
          <w:b/>
          <w:spacing w:val="-1"/>
        </w:rPr>
        <w:t xml:space="preserve">À ce titre, la législation reconnaissant les principes de la protection de la vie privée et du secret de la correspondance empêche que les écrits adressés soient ouverts par l’autorité taxatrice. Ils échappent donc, pour des raisons pratiques, à cette taxation. </w:t>
      </w:r>
    </w:p>
    <w:p w14:paraId="71FDC9F5" w14:textId="77777777" w:rsidR="00795C3E" w:rsidRPr="00A55062" w:rsidRDefault="00795C3E">
      <w:pPr>
        <w:pStyle w:val="Titre4"/>
        <w:numPr>
          <w:ilvl w:val="0"/>
          <w:numId w:val="89"/>
        </w:numPr>
      </w:pPr>
      <w:bookmarkStart w:id="2413" w:name="_Toc516739837"/>
      <w:bookmarkStart w:id="2414" w:name="_Toc516751746"/>
      <w:bookmarkStart w:id="2415" w:name="_Toc516825834"/>
      <w:bookmarkStart w:id="2416" w:name="_Toc516826392"/>
      <w:bookmarkStart w:id="2417" w:name="_Toc516837712"/>
      <w:bookmarkStart w:id="2418" w:name="_Toc516838271"/>
      <w:bookmarkStart w:id="2419" w:name="_Toc516838830"/>
      <w:bookmarkStart w:id="2420" w:name="_Toc516839390"/>
      <w:bookmarkStart w:id="2421" w:name="_Toc517173486"/>
      <w:bookmarkStart w:id="2422" w:name="_Toc517175160"/>
      <w:bookmarkStart w:id="2423" w:name="_Toc517175747"/>
      <w:bookmarkStart w:id="2424" w:name="_Toc517176335"/>
      <w:bookmarkStart w:id="2425" w:name="_Toc517337660"/>
      <w:bookmarkStart w:id="2426" w:name="_Toc517360456"/>
      <w:bookmarkStart w:id="2427" w:name="_Toc143779201"/>
      <w:bookmarkStart w:id="2428" w:name="_Toc208420111"/>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r w:rsidRPr="00A55062">
        <w:t>Les écrits (ou les échantillons) publicitaires non adressés</w:t>
      </w:r>
      <w:bookmarkEnd w:id="2427"/>
      <w:bookmarkEnd w:id="2428"/>
      <w:r w:rsidRPr="00A55062">
        <w:t> </w:t>
      </w:r>
    </w:p>
    <w:p w14:paraId="3039BD42" w14:textId="08A9A527" w:rsidR="00795C3E" w:rsidRPr="00F91BDD" w:rsidRDefault="00795C3E" w:rsidP="00795C3E">
      <w:pPr>
        <w:spacing w:before="120"/>
        <w:textAlignment w:val="baseline"/>
      </w:pPr>
      <w:r w:rsidRPr="00F91BDD">
        <w:rPr>
          <w:spacing w:val="-1"/>
        </w:rPr>
        <w:t>Les écrits (ou les échantillons) publicitaires non adressés sont des écrits à vocation commerciale (c’est-à-dire visant un intérêt particulier, celui de l’annonceur) qui ne comportent pas le nom et/ou l'adresse complète du destinataire (rue, n°, code postal et commune) et qui sont diffusés gratuitement en principe à l'ensemble des habitants de la commune.</w:t>
      </w:r>
    </w:p>
    <w:p w14:paraId="321E4D31" w14:textId="46CA8C4B" w:rsidR="00795C3E" w:rsidRPr="00F91BDD" w:rsidRDefault="00DD48E9" w:rsidP="00795C3E">
      <w:pPr>
        <w:spacing w:before="120"/>
        <w:textAlignment w:val="baseline"/>
      </w:pPr>
      <w:r w:rsidRPr="00F91BDD">
        <w:rPr>
          <w:spacing w:val="-1"/>
        </w:rPr>
        <w:t>L’échantillon doit</w:t>
      </w:r>
      <w:r w:rsidR="1BFE56B0" w:rsidRPr="00F91BDD">
        <w:rPr>
          <w:spacing w:val="-1"/>
        </w:rPr>
        <w:t xml:space="preserve"> se définir comme une</w:t>
      </w:r>
      <w:r w:rsidR="00795C3E" w:rsidRPr="00F91BDD">
        <w:rPr>
          <w:spacing w:val="-1"/>
        </w:rPr>
        <w:t xml:space="preserve"> toute petite quantité et/ou exemple d'un produit réalisé pour en assurer la promotion et/ou la vente.</w:t>
      </w:r>
    </w:p>
    <w:p w14:paraId="4F841DD4" w14:textId="77777777" w:rsidR="00795C3E" w:rsidRPr="00F91BDD" w:rsidRDefault="00795C3E" w:rsidP="00795C3E">
      <w:pPr>
        <w:spacing w:before="120"/>
        <w:textAlignment w:val="baseline"/>
        <w:rPr>
          <w:b/>
          <w:bCs/>
          <w:spacing w:val="-1"/>
        </w:rPr>
      </w:pPr>
      <w:r w:rsidRPr="00F91BDD">
        <w:rPr>
          <w:b/>
          <w:bCs/>
          <w:spacing w:val="-1"/>
        </w:rPr>
        <w:t>Le taux maximum recommandé est modulé en fonction du poids des écrits publicitaires non adressés ou échantillons publicitaires non adressés :</w:t>
      </w:r>
    </w:p>
    <w:p w14:paraId="1A791D5E" w14:textId="71E94439"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 xml:space="preserve">0,0150 </w:t>
      </w:r>
      <w:r w:rsidR="00DD48E9" w:rsidRPr="00F91BDD">
        <w:rPr>
          <w:rFonts w:cs="Calibri Light"/>
        </w:rPr>
        <w:t>euro par</w:t>
      </w:r>
      <w:r w:rsidRPr="00F91BDD">
        <w:rPr>
          <w:rFonts w:cs="Calibri Light"/>
        </w:rPr>
        <w:t xml:space="preserve"> exemplaire distribué pour les écrits et les échantillons publicitaires jusqu'à 10 grammes inclus ;</w:t>
      </w:r>
    </w:p>
    <w:p w14:paraId="33686056" w14:textId="5C15CB08"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 xml:space="preserve">0,0390 </w:t>
      </w:r>
      <w:r w:rsidR="00DD48E9" w:rsidRPr="00F91BDD">
        <w:rPr>
          <w:rFonts w:cs="Calibri Light"/>
        </w:rPr>
        <w:t>euro par</w:t>
      </w:r>
      <w:r w:rsidRPr="00F91BDD">
        <w:rPr>
          <w:rFonts w:cs="Calibri Light"/>
        </w:rPr>
        <w:t xml:space="preserve"> exemplaire distribué pour les écrits et les échantillons publicitaires au-delà de 10 et jusqu'à 40 grammes inclus ;</w:t>
      </w:r>
    </w:p>
    <w:p w14:paraId="46449E21" w14:textId="234D7189"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lastRenderedPageBreak/>
        <w:t xml:space="preserve">0,0585 </w:t>
      </w:r>
      <w:r w:rsidR="00DD48E9" w:rsidRPr="00F91BDD">
        <w:rPr>
          <w:rFonts w:cs="Calibri Light"/>
        </w:rPr>
        <w:t>euro par</w:t>
      </w:r>
      <w:r w:rsidRPr="00F91BDD">
        <w:rPr>
          <w:rFonts w:cs="Calibri Light"/>
        </w:rPr>
        <w:t xml:space="preserve"> exemplaire distribué pour les écrits et les échantillons publicitaires au-delà de 40 et jusqu'à 225 grammes inclus ;</w:t>
      </w:r>
    </w:p>
    <w:p w14:paraId="51733E7D" w14:textId="25896FCF" w:rsidR="00795C3E" w:rsidRPr="00A55062"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 xml:space="preserve">0,1050 </w:t>
      </w:r>
      <w:r w:rsidR="00DD48E9" w:rsidRPr="00F91BDD">
        <w:rPr>
          <w:rFonts w:cs="Calibri Light"/>
        </w:rPr>
        <w:t>euro par</w:t>
      </w:r>
      <w:r w:rsidRPr="00F91BDD">
        <w:rPr>
          <w:rFonts w:cs="Calibri Light"/>
        </w:rPr>
        <w:t xml:space="preserve"> exemplaire distribué pour les écrits et les échantillons publicitaires supérieurs à 225 grammes.</w:t>
      </w:r>
    </w:p>
    <w:p w14:paraId="4D312DD5" w14:textId="218529A6" w:rsidR="00795C3E" w:rsidRPr="00A55062" w:rsidRDefault="00795C3E">
      <w:pPr>
        <w:pStyle w:val="Titre4"/>
        <w:numPr>
          <w:ilvl w:val="0"/>
          <w:numId w:val="89"/>
        </w:numPr>
      </w:pPr>
      <w:bookmarkStart w:id="2429" w:name="_Toc143779202"/>
      <w:bookmarkStart w:id="2430" w:name="_Toc208420112"/>
      <w:r w:rsidRPr="00A55062">
        <w:t>Les supports de la presse régionale gratuite</w:t>
      </w:r>
      <w:bookmarkEnd w:id="2429"/>
      <w:bookmarkEnd w:id="2430"/>
      <w:r w:rsidRPr="00A55062">
        <w:t> </w:t>
      </w:r>
    </w:p>
    <w:p w14:paraId="72B817D9" w14:textId="77777777" w:rsidR="00795C3E" w:rsidRPr="00F91BDD" w:rsidRDefault="00795C3E" w:rsidP="00795C3E">
      <w:pPr>
        <w:spacing w:before="120"/>
        <w:textAlignment w:val="baseline"/>
        <w:rPr>
          <w:spacing w:val="-1"/>
        </w:rPr>
      </w:pPr>
      <w:r w:rsidRPr="00F91BDD">
        <w:rPr>
          <w:spacing w:val="-1"/>
        </w:rPr>
        <w:t>Le support de la presse régionale gratuite est l’écrit qui réunit les conditions suivantes :</w:t>
      </w:r>
    </w:p>
    <w:p w14:paraId="1B77C703" w14:textId="77777777"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Le rythme périodique doit être régulier et défini avec un minimum de 12 parutions par an ;</w:t>
      </w:r>
    </w:p>
    <w:p w14:paraId="5D1A7636" w14:textId="77777777" w:rsidR="00795C3E" w:rsidRPr="00F91BDD" w:rsidRDefault="00795C3E">
      <w:pPr>
        <w:pStyle w:val="Paragraphedeliste"/>
        <w:numPr>
          <w:ilvl w:val="0"/>
          <w:numId w:val="32"/>
        </w:numPr>
        <w:tabs>
          <w:tab w:val="left" w:pos="144"/>
        </w:tabs>
        <w:spacing w:before="120" w:after="120" w:line="240" w:lineRule="auto"/>
        <w:contextualSpacing w:val="0"/>
        <w:textAlignment w:val="baseline"/>
        <w:rPr>
          <w:spacing w:val="-1"/>
        </w:rPr>
      </w:pPr>
      <w:r w:rsidRPr="00F91BDD">
        <w:rPr>
          <w:rFonts w:cs="Calibri Light"/>
        </w:rPr>
        <w:t>L’écrit de PRG doit contenir, outre de la publicité, du texte rédactionnel d'informations liées à l'actualité récente, adaptée à la zone de distribution mais essentiellement locales et/ou communales et comportant à la fois au moins 5 des six informations d'intérêt général suivantes, d'actualité et non périmées, adaptées à la zone de distribution et, en tous cas,</w:t>
      </w:r>
      <w:r w:rsidRPr="00F91BDD">
        <w:rPr>
          <w:spacing w:val="-1"/>
        </w:rPr>
        <w:t xml:space="preserve"> essentiellement communales :</w:t>
      </w:r>
    </w:p>
    <w:p w14:paraId="5B35D154" w14:textId="77777777" w:rsidR="00795C3E" w:rsidRPr="00F91BDD" w:rsidRDefault="00795C3E">
      <w:pPr>
        <w:pStyle w:val="Paragraphedeliste"/>
        <w:numPr>
          <w:ilvl w:val="0"/>
          <w:numId w:val="34"/>
        </w:numPr>
        <w:tabs>
          <w:tab w:val="left" w:pos="1134"/>
        </w:tabs>
        <w:spacing w:before="120" w:after="120" w:line="240" w:lineRule="auto"/>
        <w:textAlignment w:val="baseline"/>
        <w:rPr>
          <w:spacing w:val="-1"/>
        </w:rPr>
      </w:pPr>
      <w:r w:rsidRPr="00F91BDD">
        <w:rPr>
          <w:spacing w:val="-1"/>
        </w:rPr>
        <w:t>Les rôles de garde (médecins, pharmaciens, vétérinaires, ...) ou les coordonnées du service de proximité où les informations peuvent être obtenues ;</w:t>
      </w:r>
    </w:p>
    <w:p w14:paraId="3AAC69F1" w14:textId="77777777" w:rsidR="00795C3E" w:rsidRPr="00F91BDD" w:rsidRDefault="00795C3E">
      <w:pPr>
        <w:pStyle w:val="Paragraphedeliste"/>
        <w:numPr>
          <w:ilvl w:val="0"/>
          <w:numId w:val="34"/>
        </w:numPr>
        <w:tabs>
          <w:tab w:val="left" w:pos="1134"/>
        </w:tabs>
        <w:spacing w:before="120" w:after="120" w:line="240" w:lineRule="auto"/>
        <w:textAlignment w:val="baseline"/>
        <w:rPr>
          <w:spacing w:val="-1"/>
        </w:rPr>
      </w:pPr>
      <w:r w:rsidRPr="00F91BDD">
        <w:rPr>
          <w:spacing w:val="-1"/>
        </w:rPr>
        <w:t>Les agendas culturels reprenant les principales manifestations de la commune taxatrice et de sa région, de ses A.S.B.L. culturelles, sportives, caritatives ;</w:t>
      </w:r>
    </w:p>
    <w:p w14:paraId="03692802" w14:textId="77777777" w:rsidR="00795C3E" w:rsidRPr="00F91BDD" w:rsidRDefault="00795C3E">
      <w:pPr>
        <w:pStyle w:val="Paragraphedeliste"/>
        <w:numPr>
          <w:ilvl w:val="0"/>
          <w:numId w:val="34"/>
        </w:numPr>
        <w:tabs>
          <w:tab w:val="left" w:pos="1134"/>
        </w:tabs>
        <w:spacing w:before="120" w:after="120" w:line="240" w:lineRule="auto"/>
        <w:textAlignment w:val="baseline"/>
        <w:rPr>
          <w:spacing w:val="-1"/>
        </w:rPr>
      </w:pPr>
      <w:r w:rsidRPr="00F91BDD">
        <w:rPr>
          <w:spacing w:val="-1"/>
        </w:rPr>
        <w:t>Les « petites annonces » de particuliers ;</w:t>
      </w:r>
    </w:p>
    <w:p w14:paraId="743085F4" w14:textId="77777777" w:rsidR="00795C3E" w:rsidRPr="00F91BDD" w:rsidRDefault="00795C3E">
      <w:pPr>
        <w:pStyle w:val="Paragraphedeliste"/>
        <w:numPr>
          <w:ilvl w:val="0"/>
          <w:numId w:val="34"/>
        </w:numPr>
        <w:tabs>
          <w:tab w:val="left" w:pos="1134"/>
        </w:tabs>
        <w:spacing w:before="120" w:after="120" w:line="240" w:lineRule="auto"/>
        <w:textAlignment w:val="baseline"/>
        <w:rPr>
          <w:spacing w:val="-1"/>
        </w:rPr>
      </w:pPr>
      <w:r w:rsidRPr="00F91BDD">
        <w:rPr>
          <w:spacing w:val="-1"/>
        </w:rPr>
        <w:t>Une rubrique d'offres d'emplois et de formation ;</w:t>
      </w:r>
    </w:p>
    <w:p w14:paraId="048FC872" w14:textId="77777777" w:rsidR="00795C3E" w:rsidRPr="00F91BDD" w:rsidRDefault="00795C3E">
      <w:pPr>
        <w:pStyle w:val="Paragraphedeliste"/>
        <w:numPr>
          <w:ilvl w:val="0"/>
          <w:numId w:val="34"/>
        </w:numPr>
        <w:tabs>
          <w:tab w:val="left" w:pos="1134"/>
        </w:tabs>
        <w:spacing w:before="120" w:after="120" w:line="240" w:lineRule="auto"/>
        <w:textAlignment w:val="baseline"/>
        <w:rPr>
          <w:spacing w:val="-1"/>
        </w:rPr>
      </w:pPr>
      <w:r w:rsidRPr="00F91BDD">
        <w:rPr>
          <w:spacing w:val="-1"/>
        </w:rPr>
        <w:t>Les annonces notariales ;</w:t>
      </w:r>
    </w:p>
    <w:p w14:paraId="1B0978FC" w14:textId="77777777" w:rsidR="00795C3E" w:rsidRPr="00F91BDD" w:rsidRDefault="00795C3E">
      <w:pPr>
        <w:pStyle w:val="Paragraphedeliste"/>
        <w:numPr>
          <w:ilvl w:val="0"/>
          <w:numId w:val="34"/>
        </w:numPr>
        <w:spacing w:before="120" w:after="120" w:line="240" w:lineRule="auto"/>
        <w:textAlignment w:val="baseline"/>
        <w:rPr>
          <w:spacing w:val="-1"/>
        </w:rPr>
      </w:pPr>
      <w:r w:rsidRPr="00F91BDD">
        <w:rPr>
          <w:spacing w:val="-1"/>
        </w:rPr>
        <w:t>Des informations relatives à l'application de lois, décrets ou règlements généraux qu'ils soient régionaux, fédéraux ou locaux des annonces d'utilité publique ainsi que des publications officielles ou d'intérêt public telles que : enquêtes publiques, autres publications ordonnées par les cours et tribunaux, ....</w:t>
      </w:r>
    </w:p>
    <w:p w14:paraId="55731E88" w14:textId="77777777"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Le contenu « publicitaire » présent dans l’écrit de la PRG doit être multi-enseignes ;</w:t>
      </w:r>
    </w:p>
    <w:p w14:paraId="3C673015" w14:textId="77777777"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Le contenu rédactionnel original dans l’écrit de la PRG doit être protégé par les droits d’auteur ;</w:t>
      </w:r>
    </w:p>
    <w:p w14:paraId="5DAC65F3" w14:textId="77777777"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L’écrit de PRG doit obligatoirement reprendre la mention de l’éditeur responsable et le contact de la rédaction (« ours »).</w:t>
      </w:r>
    </w:p>
    <w:p w14:paraId="39D010B1" w14:textId="77777777" w:rsidR="00795C3E" w:rsidRPr="00F91BDD" w:rsidRDefault="00795C3E" w:rsidP="00795C3E">
      <w:pPr>
        <w:spacing w:before="120"/>
        <w:textAlignment w:val="baseline"/>
        <w:rPr>
          <w:spacing w:val="-1"/>
        </w:rPr>
      </w:pPr>
      <w:r w:rsidRPr="00F91BDD">
        <w:rPr>
          <w:spacing w:val="-1"/>
        </w:rPr>
        <w:t>La zone de distribution telle que mentionnée ci-dessus doit s’entendre comme le territoire de la commune taxatrice et de ses communes limitrophes.</w:t>
      </w:r>
    </w:p>
    <w:p w14:paraId="7E1D21FA" w14:textId="6E50D69A" w:rsidR="00795C3E" w:rsidRPr="00F91BDD" w:rsidRDefault="00795C3E" w:rsidP="00795C3E">
      <w:pPr>
        <w:spacing w:before="120"/>
        <w:textAlignment w:val="baseline"/>
        <w:rPr>
          <w:b/>
          <w:bCs/>
          <w:spacing w:val="-1"/>
        </w:rPr>
      </w:pPr>
      <w:r w:rsidRPr="00F91BDD">
        <w:rPr>
          <w:b/>
          <w:bCs/>
          <w:spacing w:val="-1"/>
        </w:rPr>
        <w:t xml:space="preserve">Le taux maximum recommandé est de 0,010 </w:t>
      </w:r>
      <w:r w:rsidR="00296E49" w:rsidRPr="00F91BDD">
        <w:rPr>
          <w:b/>
          <w:bCs/>
          <w:spacing w:val="-1"/>
        </w:rPr>
        <w:t>euro par</w:t>
      </w:r>
      <w:r w:rsidRPr="00F91BDD">
        <w:rPr>
          <w:b/>
          <w:bCs/>
          <w:spacing w:val="-1"/>
        </w:rPr>
        <w:t xml:space="preserve"> exemplaire distribué.</w:t>
      </w:r>
    </w:p>
    <w:p w14:paraId="3EAD5F31" w14:textId="47BE4C00" w:rsidR="00795C3E" w:rsidRPr="00F91BDD" w:rsidRDefault="00795C3E" w:rsidP="00795C3E">
      <w:pPr>
        <w:spacing w:before="120"/>
        <w:textAlignment w:val="baseline"/>
        <w:rPr>
          <w:b/>
          <w:bCs/>
          <w:spacing w:val="-1"/>
        </w:rPr>
      </w:pPr>
      <w:r w:rsidRPr="00F91BDD">
        <w:rPr>
          <w:b/>
          <w:bCs/>
          <w:spacing w:val="-1"/>
        </w:rPr>
        <w:t>Compte tenu de la jurisprudence, ce schéma de taxation peut néanmoins être adapté et modulé en fonction du poids. Dans cas, il est recommandé de respecter les mêmes catégories que pour les</w:t>
      </w:r>
      <w:r w:rsidRPr="00F91BDD">
        <w:t xml:space="preserve"> </w:t>
      </w:r>
      <w:r w:rsidRPr="00F91BDD">
        <w:rPr>
          <w:b/>
          <w:bCs/>
          <w:spacing w:val="-1"/>
        </w:rPr>
        <w:t xml:space="preserve">écrits publicitaires non adressés, le taux maximum pouvant être adapté en conséquence, limité à 0,020 </w:t>
      </w:r>
      <w:r w:rsidR="00296E49" w:rsidRPr="00F91BDD">
        <w:rPr>
          <w:b/>
          <w:bCs/>
          <w:spacing w:val="-1"/>
        </w:rPr>
        <w:t>euro.</w:t>
      </w:r>
    </w:p>
    <w:p w14:paraId="1C29BFE2" w14:textId="77777777" w:rsidR="00795C3E" w:rsidRPr="00F91BDD" w:rsidRDefault="00795C3E" w:rsidP="00795C3E">
      <w:pPr>
        <w:spacing w:before="120" w:line="240" w:lineRule="exact"/>
        <w:textAlignment w:val="baseline"/>
        <w:rPr>
          <w:rFonts w:cs="Calibri Light"/>
          <w:b/>
          <w:bCs/>
        </w:rPr>
      </w:pPr>
      <w:bookmarkStart w:id="2431" w:name="_Hlk38971832"/>
      <w:r w:rsidRPr="00F91BDD">
        <w:rPr>
          <w:rFonts w:cs="Calibri Light"/>
          <w:b/>
          <w:bCs/>
        </w:rPr>
        <w:t>Si la presse régionale gratuite insère des cahiers publicitaires supplémentaires dans leurs éditions, ces « cahiers » sont taxés au même taux que les écrits publicitaires.</w:t>
      </w:r>
    </w:p>
    <w:bookmarkEnd w:id="2431"/>
    <w:p w14:paraId="08B2F5DB" w14:textId="77777777" w:rsidR="00795C3E" w:rsidRPr="00F91BDD" w:rsidRDefault="00795C3E" w:rsidP="00795C3E">
      <w:pPr>
        <w:spacing w:before="120"/>
        <w:textAlignment w:val="baseline"/>
        <w:rPr>
          <w:spacing w:val="-1"/>
        </w:rPr>
      </w:pPr>
      <w:r w:rsidRPr="00F91BDD">
        <w:rPr>
          <w:spacing w:val="-1"/>
        </w:rPr>
        <w:t>Les modifications apportées ci-avant à cette taxe ne valent que pour l’avenir et ne peuvent pas avoir d’incidence sur les contentieux en cours.</w:t>
      </w:r>
    </w:p>
    <w:p w14:paraId="548E813D" w14:textId="77777777" w:rsidR="00795C3E" w:rsidRPr="00F91BDD" w:rsidRDefault="00795C3E" w:rsidP="00795C3E">
      <w:pPr>
        <w:spacing w:before="120"/>
        <w:textAlignment w:val="baseline"/>
        <w:rPr>
          <w:b/>
          <w:spacing w:val="-1"/>
        </w:rPr>
      </w:pPr>
      <w:r w:rsidRPr="00F91BDD">
        <w:rPr>
          <w:b/>
          <w:spacing w:val="-1"/>
        </w:rPr>
        <w:lastRenderedPageBreak/>
        <w:t>Procédure</w:t>
      </w:r>
    </w:p>
    <w:p w14:paraId="7A00E137" w14:textId="77777777" w:rsidR="00795C3E" w:rsidRPr="00F91BDD" w:rsidRDefault="00795C3E" w:rsidP="00795C3E">
      <w:pPr>
        <w:spacing w:before="120"/>
        <w:textAlignment w:val="baseline"/>
        <w:rPr>
          <w:spacing w:val="-1"/>
        </w:rPr>
      </w:pPr>
      <w:r w:rsidRPr="00F91BDD">
        <w:rPr>
          <w:spacing w:val="-1"/>
        </w:rPr>
        <w:t>Le système de taxation forfaitaire trimestrielle constitue une bonne pratique administrative (une seule déclaration par trimestre, calcul de la taxe selon le nombre de boîtes aux lettres installées et non réellement desservies).</w:t>
      </w:r>
    </w:p>
    <w:p w14:paraId="0ECCF5F1" w14:textId="77777777" w:rsidR="00795C3E" w:rsidRPr="00F91BDD" w:rsidRDefault="00795C3E" w:rsidP="00795C3E">
      <w:pPr>
        <w:spacing w:before="120"/>
        <w:textAlignment w:val="baseline"/>
        <w:rPr>
          <w:spacing w:val="-1"/>
        </w:rPr>
      </w:pPr>
      <w:r w:rsidRPr="00F91BDD">
        <w:rPr>
          <w:spacing w:val="-1"/>
        </w:rPr>
        <w:t>Pour les communes qui seraient tentées de diminuer le nombre de distribution prises en considération par trimestre, il faut attirer leur attention sur ce qui suit : si ce système a pour vocation d'inciter, dans l'avenir, de nouveaux contribuables à y adhérer, actuellement, toutes choses restant égales, et, par rapport à un système de taxation appliqué à chaque distribution, la recette risque de diminuer dans les proportions suivantes :</w:t>
      </w:r>
    </w:p>
    <w:p w14:paraId="6803D4DF" w14:textId="77777777" w:rsidR="00795C3E" w:rsidRPr="00F91BDD" w:rsidRDefault="00795C3E">
      <w:pPr>
        <w:pStyle w:val="Paragraphedeliste"/>
        <w:numPr>
          <w:ilvl w:val="0"/>
          <w:numId w:val="32"/>
        </w:numPr>
        <w:tabs>
          <w:tab w:val="left" w:pos="144"/>
        </w:tabs>
        <w:spacing w:before="120" w:after="120" w:line="240" w:lineRule="auto"/>
        <w:ind w:left="499" w:hanging="357"/>
        <w:contextualSpacing w:val="0"/>
        <w:textAlignment w:val="baseline"/>
        <w:rPr>
          <w:rFonts w:cs="Calibri Light"/>
        </w:rPr>
      </w:pPr>
      <w:r w:rsidRPr="00F91BDD">
        <w:rPr>
          <w:rFonts w:cs="Calibri Light"/>
        </w:rPr>
        <w:t>8% en cas de 12 distributions par trimestre ;</w:t>
      </w:r>
    </w:p>
    <w:p w14:paraId="760A634C" w14:textId="77777777" w:rsidR="00795C3E" w:rsidRPr="00F91BDD" w:rsidRDefault="00795C3E">
      <w:pPr>
        <w:pStyle w:val="Paragraphedeliste"/>
        <w:numPr>
          <w:ilvl w:val="0"/>
          <w:numId w:val="32"/>
        </w:numPr>
        <w:tabs>
          <w:tab w:val="left" w:pos="144"/>
        </w:tabs>
        <w:spacing w:before="120" w:after="120" w:line="240" w:lineRule="auto"/>
        <w:ind w:left="499" w:hanging="357"/>
        <w:contextualSpacing w:val="0"/>
        <w:textAlignment w:val="baseline"/>
        <w:rPr>
          <w:rFonts w:cs="Calibri Light"/>
        </w:rPr>
      </w:pPr>
      <w:r w:rsidRPr="00F91BDD">
        <w:rPr>
          <w:rFonts w:cs="Calibri Light"/>
        </w:rPr>
        <w:t>15% en cas de 11 distributions par trimestre ;</w:t>
      </w:r>
    </w:p>
    <w:p w14:paraId="07905738" w14:textId="77777777" w:rsidR="00795C3E" w:rsidRPr="00F91BDD" w:rsidRDefault="00795C3E">
      <w:pPr>
        <w:pStyle w:val="Paragraphedeliste"/>
        <w:numPr>
          <w:ilvl w:val="0"/>
          <w:numId w:val="32"/>
        </w:numPr>
        <w:tabs>
          <w:tab w:val="left" w:pos="144"/>
        </w:tabs>
        <w:spacing w:before="120" w:after="120" w:line="240" w:lineRule="auto"/>
        <w:ind w:left="499" w:hanging="357"/>
        <w:contextualSpacing w:val="0"/>
        <w:textAlignment w:val="baseline"/>
        <w:rPr>
          <w:rFonts w:cs="Calibri Light"/>
        </w:rPr>
      </w:pPr>
      <w:r w:rsidRPr="00F91BDD">
        <w:rPr>
          <w:rFonts w:cs="Calibri Light"/>
        </w:rPr>
        <w:t>23% en cas de 10 distributions par trimestre.</w:t>
      </w:r>
    </w:p>
    <w:p w14:paraId="476EB584" w14:textId="77777777" w:rsidR="00795C3E" w:rsidRPr="00F91BDD" w:rsidRDefault="00795C3E" w:rsidP="00795C3E">
      <w:pPr>
        <w:spacing w:before="120"/>
        <w:textAlignment w:val="baseline"/>
        <w:rPr>
          <w:spacing w:val="-1"/>
        </w:rPr>
      </w:pPr>
      <w:r w:rsidRPr="00F91BDD">
        <w:rPr>
          <w:spacing w:val="-1"/>
        </w:rPr>
        <w:t>Rien ne s'oppose par ailleurs à remplacer la redevabilité en cascade par une solidarité entre l'éditeur et la personne physique ou morale pour compte de laquelle l'écrit publicitaire est distribué.</w:t>
      </w:r>
    </w:p>
    <w:p w14:paraId="7D366F4D" w14:textId="77777777" w:rsidR="00795C3E" w:rsidRPr="00F91BDD" w:rsidRDefault="00795C3E" w:rsidP="00795C3E">
      <w:pPr>
        <w:spacing w:before="120"/>
        <w:textAlignment w:val="baseline"/>
        <w:rPr>
          <w:b/>
          <w:spacing w:val="-1"/>
        </w:rPr>
      </w:pPr>
      <w:r w:rsidRPr="00F91BDD">
        <w:rPr>
          <w:b/>
          <w:spacing w:val="-1"/>
        </w:rPr>
        <w:t>Enseignement de la jurisprudence</w:t>
      </w:r>
    </w:p>
    <w:p w14:paraId="2C58E1D2" w14:textId="77777777" w:rsidR="00795C3E" w:rsidRPr="00F91BDD" w:rsidRDefault="00795C3E" w:rsidP="00795C3E">
      <w:pPr>
        <w:spacing w:before="120"/>
        <w:textAlignment w:val="baseline"/>
        <w:rPr>
          <w:spacing w:val="-1"/>
        </w:rPr>
      </w:pPr>
      <w:r w:rsidRPr="00F91BDD">
        <w:rPr>
          <w:spacing w:val="-1"/>
        </w:rPr>
        <w:t xml:space="preserve">Cette taxe se justifie principalement par l’objectif financier qui est de permettre à la commune de se doter des moyens nécessaires afin d’assurer l’exercice de sa mission de service public mais aussi par des objectifs accessoires, non-financiers, d’incitation ou de dissuasion. </w:t>
      </w:r>
    </w:p>
    <w:p w14:paraId="68DC1113" w14:textId="77777777" w:rsidR="00795C3E" w:rsidRPr="00F91BDD" w:rsidRDefault="00795C3E" w:rsidP="00795C3E">
      <w:pPr>
        <w:spacing w:before="120"/>
        <w:textAlignment w:val="baseline"/>
        <w:rPr>
          <w:spacing w:val="-1"/>
        </w:rPr>
      </w:pPr>
      <w:r w:rsidRPr="00F91BDD">
        <w:rPr>
          <w:spacing w:val="-1"/>
        </w:rPr>
        <w:t>Parmi ceux-ci relevons que le Conseil d’État  confirme qu’ajouter une fin écologique à la justification financière est utile pour justifier le respect du principe d’égalité et de non-discrimination : « (…) il n'est pas manifestement déraisonnable d'assigner une fin écologique à la taxe, l'abondance des écrits publicitaires étant telle, par rapport au nombre des autres écrits, qu'il n'est pas contestable que l'intervention des services communaux de la propreté publique soit plus importante (…) ».</w:t>
      </w:r>
    </w:p>
    <w:p w14:paraId="5D87F34C" w14:textId="77777777" w:rsidR="00795C3E" w:rsidRPr="00F91BDD" w:rsidRDefault="00795C3E" w:rsidP="00795C3E">
      <w:pPr>
        <w:spacing w:before="120"/>
        <w:textAlignment w:val="baseline"/>
        <w:rPr>
          <w:spacing w:val="-1"/>
        </w:rPr>
      </w:pPr>
      <w:r w:rsidRPr="00F91BDD">
        <w:rPr>
          <w:spacing w:val="-1"/>
        </w:rPr>
        <w:t>Dès lors qu'elle entraîne la distribution des écrits concernés dans toutes les boîtes aux lettres situées sur le territoire de la commune, y compris celles d'appartements ou d'immeubles inoccupés, la distribution "toutes boîtes" est de nature à provoquer une production de déchets de papier plus importante que la distribution d'écrits adressés.</w:t>
      </w:r>
    </w:p>
    <w:p w14:paraId="438D8BF1" w14:textId="77777777" w:rsidR="00795C3E" w:rsidRPr="00F91BDD" w:rsidRDefault="00795C3E" w:rsidP="00795C3E">
      <w:pPr>
        <w:spacing w:before="120"/>
        <w:textAlignment w:val="baseline"/>
        <w:rPr>
          <w:spacing w:val="-1"/>
        </w:rPr>
      </w:pPr>
      <w:r w:rsidRPr="00F91BDD">
        <w:rPr>
          <w:spacing w:val="-1"/>
        </w:rPr>
        <w:t>Toutefois, il est également indispensable de respecter les normes de rang supérieur et en particulier les principes d'égalité et de non-discrimination consacrés par les articles 10, 11 et 172 de la Constitution.</w:t>
      </w:r>
    </w:p>
    <w:p w14:paraId="283E7485" w14:textId="77777777" w:rsidR="00795C3E" w:rsidRPr="00F91BDD" w:rsidRDefault="00795C3E" w:rsidP="00795C3E">
      <w:pPr>
        <w:spacing w:before="120"/>
        <w:textAlignment w:val="baseline"/>
        <w:rPr>
          <w:spacing w:val="-1"/>
        </w:rPr>
      </w:pPr>
      <w:r w:rsidRPr="00F91BDD">
        <w:rPr>
          <w:spacing w:val="-1"/>
        </w:rPr>
        <w:t xml:space="preserve">Ainsi, on peut dire qu’au regard du but et de l'effet de la taxe, la distribution de « toutes boîtes » se distingue de la distribution gratuite adressée et des autres publications gratuites diverses non adressées au domicile ou ailleurs dès lors que seule la première, est en principe distribuée de manière généralisée, la deuxième ne l'étant en principe pas et il n'existe aucune </w:t>
      </w:r>
      <w:r w:rsidRPr="00F91BDD">
        <w:rPr>
          <w:spacing w:val="-1"/>
        </w:rPr>
        <w:lastRenderedPageBreak/>
        <w:t>disproportion entre les moyens employés et le but de réduire les déchets papiers sur le territoire de la commune.</w:t>
      </w:r>
    </w:p>
    <w:p w14:paraId="7F08CF3B" w14:textId="77777777" w:rsidR="00795C3E" w:rsidRPr="00F91BDD" w:rsidRDefault="00795C3E" w:rsidP="00795C3E">
      <w:pPr>
        <w:spacing w:before="120"/>
        <w:textAlignment w:val="baseline"/>
        <w:rPr>
          <w:spacing w:val="-1"/>
        </w:rPr>
      </w:pPr>
      <w:r w:rsidRPr="00F91BDD">
        <w:rPr>
          <w:spacing w:val="-1"/>
        </w:rPr>
        <w:t>Les « toutes boîtes » se distinguent non seulement de la presse adressée, qui est distribuée uniquement aux abonnés, à leur demande et à leurs frais, mais également des écrits adressés, envoyés gratuitement à leurs destinataires, parfois sans que ceux-ci en aient fait la demande.</w:t>
      </w:r>
    </w:p>
    <w:p w14:paraId="1002FE20" w14:textId="77777777" w:rsidR="00795C3E" w:rsidRPr="00F91BDD" w:rsidRDefault="00795C3E" w:rsidP="00795C3E">
      <w:pPr>
        <w:spacing w:before="120"/>
        <w:textAlignment w:val="baseline"/>
        <w:rPr>
          <w:spacing w:val="-1"/>
        </w:rPr>
      </w:pPr>
      <w:r w:rsidRPr="00F91BDD">
        <w:rPr>
          <w:spacing w:val="-1"/>
        </w:rPr>
        <w:t xml:space="preserve">La jurisprudence a déjà reconnu que le tarif préférentiel accordé à la presse régionale gratuite pouvait se justifier en raison de son rôle social ou d'intérêt général. </w:t>
      </w:r>
    </w:p>
    <w:p w14:paraId="5DDBD67C" w14:textId="77777777" w:rsidR="00795C3E" w:rsidRPr="00F91BDD" w:rsidRDefault="00795C3E" w:rsidP="00795C3E">
      <w:pPr>
        <w:spacing w:before="120"/>
        <w:textAlignment w:val="baseline"/>
        <w:rPr>
          <w:spacing w:val="-1"/>
        </w:rPr>
      </w:pPr>
      <w:r w:rsidRPr="00F91BDD">
        <w:rPr>
          <w:spacing w:val="-1"/>
        </w:rPr>
        <w:t>En effet, l’écrit de la PRG contient, « outre de la publicité, du texte rédactionnel d'informations liées à l'actualité récente, adaptée à la zone de distribution mais essentiellement locales et/ou communales et comportant à la fois au moins cinq des six informations d'intérêt général reprises ci-dessous ».</w:t>
      </w:r>
    </w:p>
    <w:p w14:paraId="55C02A1D" w14:textId="77777777" w:rsidR="00795C3E" w:rsidRPr="00F91BDD" w:rsidRDefault="00795C3E" w:rsidP="00795C3E">
      <w:pPr>
        <w:spacing w:before="120"/>
        <w:textAlignment w:val="baseline"/>
        <w:rPr>
          <w:spacing w:val="-1"/>
        </w:rPr>
      </w:pPr>
      <w:r w:rsidRPr="00F91BDD">
        <w:rPr>
          <w:spacing w:val="-1"/>
        </w:rPr>
        <w:t>En accordant un taux préférentiel aux éditeurs qui fournissent cette information, il s'agit clairement, pour des raisons sociales et d'intérêt général, de favoriser la diffusion dans la commune d'informations utiles sur le plan local via les distributions généralisées des « toutes boîtes ».</w:t>
      </w:r>
    </w:p>
    <w:p w14:paraId="481C76EC" w14:textId="58F4629F" w:rsidR="00795C3E" w:rsidRPr="00F91BDD" w:rsidRDefault="00795C3E" w:rsidP="00795C3E">
      <w:pPr>
        <w:spacing w:before="120"/>
        <w:textAlignment w:val="baseline"/>
      </w:pPr>
      <w:r w:rsidRPr="00F91BDD">
        <w:rPr>
          <w:spacing w:val="-1"/>
        </w:rPr>
        <w:t>Quant au critère de taxation établi en fonction du poids</w:t>
      </w:r>
      <w:r w:rsidR="0423BF6E">
        <w:t>, la</w:t>
      </w:r>
      <w:r>
        <w:t xml:space="preserve"> </w:t>
      </w:r>
      <w:r w:rsidRPr="00F91BDD">
        <w:rPr>
          <w:spacing w:val="-1"/>
        </w:rPr>
        <w:t>jurisprudence a déjà reconnu qu’il n’est pas manifestement déraisonnable de déterminer le taux de taxation en fonction d'un critère général et objectif tel que le poids de chaque écrit "toutes boîtes" distribué, et non en fonction de leur contenu rédactionnel, étant donné que le volume de déchets papier produit par un exemplaire d'un écrit au contenu exclusivement publicitaire est, à poids égal, exactement le même que le volume de déchets produit par un exemplaire d'un écrit au contenu à la fois publicitaire et informatif.</w:t>
      </w:r>
    </w:p>
    <w:p w14:paraId="070B1427" w14:textId="77777777" w:rsidR="00795C3E" w:rsidRPr="00F91BDD" w:rsidRDefault="00795C3E" w:rsidP="00795C3E">
      <w:pPr>
        <w:spacing w:before="120"/>
        <w:textAlignment w:val="baseline"/>
        <w:rPr>
          <w:spacing w:val="-1"/>
        </w:rPr>
      </w:pPr>
      <w:r w:rsidRPr="00F91BDD">
        <w:rPr>
          <w:spacing w:val="-1"/>
        </w:rPr>
        <w:t>Lorsque, dans un règlement-taxe, le Conseil communal prévoit des exemptions, des dérogations ou des réductions de taux, il poursuit un objectif spécifique qui ne se confond pas avec les finalités assignées à la taxe.</w:t>
      </w:r>
    </w:p>
    <w:p w14:paraId="4F10DC88" w14:textId="77777777" w:rsidR="00795C3E" w:rsidRPr="00F91BDD" w:rsidRDefault="00795C3E" w:rsidP="00795C3E">
      <w:pPr>
        <w:spacing w:before="120"/>
        <w:textAlignment w:val="baseline"/>
        <w:rPr>
          <w:spacing w:val="-1"/>
        </w:rPr>
      </w:pPr>
      <w:r w:rsidRPr="00F91BDD">
        <w:rPr>
          <w:spacing w:val="-1"/>
        </w:rPr>
        <w:t>La distinction opérée est justifiée par l'inégalité des charges et inconvénients qui résultent des différentes catégories de distribution dans leur ampleur et dans leur caractère systématique.</w:t>
      </w:r>
    </w:p>
    <w:p w14:paraId="54E9285E" w14:textId="77777777" w:rsidR="00795C3E" w:rsidRPr="00F91BDD" w:rsidRDefault="00795C3E" w:rsidP="00795C3E">
      <w:pPr>
        <w:spacing w:before="120"/>
        <w:textAlignment w:val="baseline"/>
        <w:rPr>
          <w:spacing w:val="-1"/>
        </w:rPr>
      </w:pPr>
      <w:r w:rsidRPr="00F91BDD">
        <w:rPr>
          <w:spacing w:val="-1"/>
        </w:rPr>
        <w:t>L'exigence de justification objective et raisonnable n'implique du reste pas que l'autorité publique qui opère une distinction entre des catégories de contribuables doive fonder celle-ci sur des constatations et des faits devant être prouvés concrètement devant le juge ni apporter la preuve que la distinction ou l'absence de distinction aura nécessairement des effets déterminés dès lors qu'il suffit qu'il apparaisse raisonnablement ou qu'il peut exister une justification objective pour ces différentes catégories .</w:t>
      </w:r>
    </w:p>
    <w:p w14:paraId="0FBE8B9F" w14:textId="77777777" w:rsidR="00795C3E" w:rsidRPr="00F91BDD" w:rsidRDefault="00795C3E" w:rsidP="00795C3E">
      <w:pPr>
        <w:spacing w:before="120"/>
        <w:textAlignment w:val="baseline"/>
        <w:rPr>
          <w:spacing w:val="-1"/>
        </w:rPr>
      </w:pPr>
      <w:r w:rsidRPr="00F91BDD">
        <w:rPr>
          <w:spacing w:val="-1"/>
        </w:rPr>
        <w:t xml:space="preserve">Les critères requis pour relever de la presse régionale gratuite identifiant les domaines d'information à couvrir, le nombre d'information d'intérêt général et la régularité minimale de distribution, sont généraux et objectifs et en rapport avec l'objectif qui justifie l'application </w:t>
      </w:r>
      <w:r w:rsidRPr="00F91BDD">
        <w:rPr>
          <w:spacing w:val="-1"/>
        </w:rPr>
        <w:lastRenderedPageBreak/>
        <w:t>d'un taux réduit à la presse régionale gratuite qui est distinct de l'objectif accessoire de dissuasion de la taxe.</w:t>
      </w:r>
    </w:p>
    <w:p w14:paraId="1BFF14B3" w14:textId="77777777" w:rsidR="00795C3E" w:rsidRPr="00F91BDD" w:rsidRDefault="00795C3E" w:rsidP="00795C3E">
      <w:pPr>
        <w:spacing w:before="120"/>
        <w:textAlignment w:val="baseline"/>
        <w:rPr>
          <w:spacing w:val="-1"/>
        </w:rPr>
      </w:pPr>
      <w:r w:rsidRPr="00F91BDD">
        <w:rPr>
          <w:spacing w:val="-1"/>
        </w:rPr>
        <w:t xml:space="preserve">Enfin, face à un envoi groupé de « toutes boites », je vous invite à considérer qu'il y a autant de taxes à appliquer qu'il y a d'écrits distincts dans cet emballage. </w:t>
      </w:r>
    </w:p>
    <w:p w14:paraId="23C9EAE0" w14:textId="77777777" w:rsidR="00795C3E" w:rsidRPr="00F91BDD" w:rsidRDefault="00795C3E" w:rsidP="00795C3E">
      <w:pPr>
        <w:spacing w:before="120"/>
        <w:textAlignment w:val="baseline"/>
        <w:rPr>
          <w:bCs/>
        </w:rPr>
      </w:pPr>
      <w:r w:rsidRPr="00F91BDD">
        <w:rPr>
          <w:spacing w:val="-1"/>
        </w:rPr>
        <w:t xml:space="preserve">L’arrêté du Gouvernement wallon du 23 avril 2020 </w:t>
      </w:r>
      <w:r w:rsidRPr="00F91BDD">
        <w:rPr>
          <w:rStyle w:val="Appelnotedebasdep"/>
          <w:spacing w:val="-1"/>
        </w:rPr>
        <w:footnoteReference w:id="105"/>
      </w:r>
      <w:r w:rsidRPr="00F91BDD">
        <w:rPr>
          <w:spacing w:val="-1"/>
        </w:rPr>
        <w:t xml:space="preserve"> favorisant la prévention de certains déchets et la propreté publique. Conformément aux engagements pris par le secteur de distribution des publications gratuites pour réduire l’utilisation du film plastique autour des</w:t>
      </w:r>
      <w:r w:rsidRPr="00F91BDD">
        <w:t xml:space="preserve"> publications publicitaires, cet arrêté prévoit un échelonnement dans le temps pour la réduction du plastique pour ce qui concerne les publications existantes et l’interdiction avec effet immédiat de l’utilisation du plastique pour les publications qui ne l’utilisaient pas encore.</w:t>
      </w:r>
    </w:p>
    <w:p w14:paraId="144450AB" w14:textId="77777777" w:rsidR="00795C3E" w:rsidRPr="00F91BDD" w:rsidRDefault="00795C3E" w:rsidP="00795C3E">
      <w:pPr>
        <w:spacing w:before="120"/>
        <w:textAlignment w:val="baseline"/>
      </w:pPr>
      <w:r w:rsidRPr="00F91BDD">
        <w:rPr>
          <w:b/>
          <w:bCs/>
        </w:rPr>
        <w:t>Je vous recommande de veiller à ce que votre politique fiscale soit conforme à cette règlementation et de ne plus taxer l’emballage, fût-il plastique, utilisé pour grouper les publications dans la mesure où cela aurait un effet pénalisant pour le secteur qui doit déjà répondre aux objectifs et directives repris dans le 3</w:t>
      </w:r>
      <w:r w:rsidRPr="00F91BDD">
        <w:rPr>
          <w:b/>
          <w:bCs/>
          <w:vertAlign w:val="superscript"/>
        </w:rPr>
        <w:t>ème</w:t>
      </w:r>
      <w:r w:rsidRPr="00F91BDD">
        <w:rPr>
          <w:b/>
          <w:bCs/>
        </w:rPr>
        <w:t xml:space="preserve"> Plan des déchets-ressources</w:t>
      </w:r>
      <w:r w:rsidRPr="00F91BDD">
        <w:rPr>
          <w:rStyle w:val="Appelnotedebasdep"/>
          <w:b/>
          <w:bCs/>
        </w:rPr>
        <w:footnoteReference w:id="106"/>
      </w:r>
      <w:r w:rsidRPr="00F91BDD">
        <w:rPr>
          <w:b/>
          <w:bCs/>
        </w:rPr>
        <w:t xml:space="preserve"> et dans l’arrêté susmentionné. En effet, cet emballage (qui tient à grouper les publications) ne peut être considéré comme une publication publicitaire en tant que telle.</w:t>
      </w:r>
      <w:r w:rsidRPr="00F91BDD">
        <w:t> </w:t>
      </w:r>
    </w:p>
    <w:p w14:paraId="1BD779EE" w14:textId="61C44515" w:rsidR="00795C3E" w:rsidRPr="00855435" w:rsidRDefault="00795C3E" w:rsidP="35BD9115">
      <w:pPr>
        <w:pStyle w:val="Titre3"/>
        <w:rPr>
          <w:caps/>
        </w:rPr>
      </w:pPr>
      <w:bookmarkStart w:id="2432" w:name="_Toc516739840"/>
      <w:bookmarkStart w:id="2433" w:name="_Toc516751749"/>
      <w:bookmarkStart w:id="2434" w:name="_Toc516825837"/>
      <w:bookmarkStart w:id="2435" w:name="_Toc516826395"/>
      <w:bookmarkStart w:id="2436" w:name="_Toc516837715"/>
      <w:bookmarkStart w:id="2437" w:name="_Toc516838274"/>
      <w:bookmarkStart w:id="2438" w:name="_Toc516838833"/>
      <w:bookmarkStart w:id="2439" w:name="_Toc516839393"/>
      <w:bookmarkStart w:id="2440" w:name="_Toc517173489"/>
      <w:bookmarkStart w:id="2441" w:name="_Toc517175163"/>
      <w:bookmarkStart w:id="2442" w:name="_Toc517175750"/>
      <w:bookmarkStart w:id="2443" w:name="_Toc517176338"/>
      <w:bookmarkStart w:id="2444" w:name="_Toc517337663"/>
      <w:bookmarkStart w:id="2445" w:name="_Toc517360459"/>
      <w:bookmarkStart w:id="2446" w:name="_Toc516739841"/>
      <w:bookmarkStart w:id="2447" w:name="_Toc516751750"/>
      <w:bookmarkStart w:id="2448" w:name="_Toc516825838"/>
      <w:bookmarkStart w:id="2449" w:name="_Toc516826396"/>
      <w:bookmarkStart w:id="2450" w:name="_Toc516837716"/>
      <w:bookmarkStart w:id="2451" w:name="_Toc516838275"/>
      <w:bookmarkStart w:id="2452" w:name="_Toc516838834"/>
      <w:bookmarkStart w:id="2453" w:name="_Toc516839394"/>
      <w:bookmarkStart w:id="2454" w:name="_Toc517173490"/>
      <w:bookmarkStart w:id="2455" w:name="_Toc517175164"/>
      <w:bookmarkStart w:id="2456" w:name="_Toc517175751"/>
      <w:bookmarkStart w:id="2457" w:name="_Toc517176339"/>
      <w:bookmarkStart w:id="2458" w:name="_Toc517337664"/>
      <w:bookmarkStart w:id="2459" w:name="_Toc517360460"/>
      <w:bookmarkStart w:id="2460" w:name="_Toc516739842"/>
      <w:bookmarkStart w:id="2461" w:name="_Toc516751751"/>
      <w:bookmarkStart w:id="2462" w:name="_Toc516825839"/>
      <w:bookmarkStart w:id="2463" w:name="_Toc516826397"/>
      <w:bookmarkStart w:id="2464" w:name="_Toc516837717"/>
      <w:bookmarkStart w:id="2465" w:name="_Toc516838276"/>
      <w:bookmarkStart w:id="2466" w:name="_Toc516838835"/>
      <w:bookmarkStart w:id="2467" w:name="_Toc516839395"/>
      <w:bookmarkStart w:id="2468" w:name="_Toc517173491"/>
      <w:bookmarkStart w:id="2469" w:name="_Toc517175165"/>
      <w:bookmarkStart w:id="2470" w:name="_Toc517175752"/>
      <w:bookmarkStart w:id="2471" w:name="_Toc517176340"/>
      <w:bookmarkStart w:id="2472" w:name="_Toc517337665"/>
      <w:bookmarkStart w:id="2473" w:name="_Toc517360461"/>
      <w:bookmarkStart w:id="2474" w:name="_Toc516739843"/>
      <w:bookmarkStart w:id="2475" w:name="_Toc516751752"/>
      <w:bookmarkStart w:id="2476" w:name="_Toc516825840"/>
      <w:bookmarkStart w:id="2477" w:name="_Toc516826398"/>
      <w:bookmarkStart w:id="2478" w:name="_Toc516837718"/>
      <w:bookmarkStart w:id="2479" w:name="_Toc516838277"/>
      <w:bookmarkStart w:id="2480" w:name="_Toc516838836"/>
      <w:bookmarkStart w:id="2481" w:name="_Toc516839396"/>
      <w:bookmarkStart w:id="2482" w:name="_Toc517173492"/>
      <w:bookmarkStart w:id="2483" w:name="_Toc517175166"/>
      <w:bookmarkStart w:id="2484" w:name="_Toc517175753"/>
      <w:bookmarkStart w:id="2485" w:name="_Toc517176341"/>
      <w:bookmarkStart w:id="2486" w:name="_Toc517337666"/>
      <w:bookmarkStart w:id="2487" w:name="_Toc517360462"/>
      <w:bookmarkStart w:id="2488" w:name="_Toc516739844"/>
      <w:bookmarkStart w:id="2489" w:name="_Toc516751753"/>
      <w:bookmarkStart w:id="2490" w:name="_Toc516825841"/>
      <w:bookmarkStart w:id="2491" w:name="_Toc516826399"/>
      <w:bookmarkStart w:id="2492" w:name="_Toc516837719"/>
      <w:bookmarkStart w:id="2493" w:name="_Toc516838278"/>
      <w:bookmarkStart w:id="2494" w:name="_Toc516838837"/>
      <w:bookmarkStart w:id="2495" w:name="_Toc516839397"/>
      <w:bookmarkStart w:id="2496" w:name="_Toc517173493"/>
      <w:bookmarkStart w:id="2497" w:name="_Toc517175167"/>
      <w:bookmarkStart w:id="2498" w:name="_Toc517175754"/>
      <w:bookmarkStart w:id="2499" w:name="_Toc517176342"/>
      <w:bookmarkStart w:id="2500" w:name="_Toc517337667"/>
      <w:bookmarkStart w:id="2501" w:name="_Toc517360463"/>
      <w:bookmarkStart w:id="2502" w:name="_Toc516739845"/>
      <w:bookmarkStart w:id="2503" w:name="_Toc516751754"/>
      <w:bookmarkStart w:id="2504" w:name="_Toc516825842"/>
      <w:bookmarkStart w:id="2505" w:name="_Toc516826400"/>
      <w:bookmarkStart w:id="2506" w:name="_Toc516837720"/>
      <w:bookmarkStart w:id="2507" w:name="_Toc516838279"/>
      <w:bookmarkStart w:id="2508" w:name="_Toc516838838"/>
      <w:bookmarkStart w:id="2509" w:name="_Toc516839398"/>
      <w:bookmarkStart w:id="2510" w:name="_Toc517173494"/>
      <w:bookmarkStart w:id="2511" w:name="_Toc517175168"/>
      <w:bookmarkStart w:id="2512" w:name="_Toc517175755"/>
      <w:bookmarkStart w:id="2513" w:name="_Toc517176343"/>
      <w:bookmarkStart w:id="2514" w:name="_Toc517337668"/>
      <w:bookmarkStart w:id="2515" w:name="_Toc517360464"/>
      <w:bookmarkStart w:id="2516" w:name="_Toc516739846"/>
      <w:bookmarkStart w:id="2517" w:name="_Toc516751755"/>
      <w:bookmarkStart w:id="2518" w:name="_Toc516825843"/>
      <w:bookmarkStart w:id="2519" w:name="_Toc516826401"/>
      <w:bookmarkStart w:id="2520" w:name="_Toc516837721"/>
      <w:bookmarkStart w:id="2521" w:name="_Toc516838280"/>
      <w:bookmarkStart w:id="2522" w:name="_Toc516838839"/>
      <w:bookmarkStart w:id="2523" w:name="_Toc516839399"/>
      <w:bookmarkStart w:id="2524" w:name="_Toc517173495"/>
      <w:bookmarkStart w:id="2525" w:name="_Toc517175169"/>
      <w:bookmarkStart w:id="2526" w:name="_Toc517175756"/>
      <w:bookmarkStart w:id="2527" w:name="_Toc517176344"/>
      <w:bookmarkStart w:id="2528" w:name="_Toc517337669"/>
      <w:bookmarkStart w:id="2529" w:name="_Toc517360465"/>
      <w:bookmarkStart w:id="2530" w:name="_Toc516739847"/>
      <w:bookmarkStart w:id="2531" w:name="_Toc516751756"/>
      <w:bookmarkStart w:id="2532" w:name="_Toc516825844"/>
      <w:bookmarkStart w:id="2533" w:name="_Toc516826402"/>
      <w:bookmarkStart w:id="2534" w:name="_Toc516837722"/>
      <w:bookmarkStart w:id="2535" w:name="_Toc516838281"/>
      <w:bookmarkStart w:id="2536" w:name="_Toc516838840"/>
      <w:bookmarkStart w:id="2537" w:name="_Toc516839400"/>
      <w:bookmarkStart w:id="2538" w:name="_Toc517173496"/>
      <w:bookmarkStart w:id="2539" w:name="_Toc517175170"/>
      <w:bookmarkStart w:id="2540" w:name="_Toc517175757"/>
      <w:bookmarkStart w:id="2541" w:name="_Toc517176345"/>
      <w:bookmarkStart w:id="2542" w:name="_Toc517337670"/>
      <w:bookmarkStart w:id="2543" w:name="_Toc517360466"/>
      <w:bookmarkStart w:id="2544" w:name="_Toc516739848"/>
      <w:bookmarkStart w:id="2545" w:name="_Toc516751757"/>
      <w:bookmarkStart w:id="2546" w:name="_Toc516825845"/>
      <w:bookmarkStart w:id="2547" w:name="_Toc516826403"/>
      <w:bookmarkStart w:id="2548" w:name="_Toc516837723"/>
      <w:bookmarkStart w:id="2549" w:name="_Toc516838282"/>
      <w:bookmarkStart w:id="2550" w:name="_Toc516838841"/>
      <w:bookmarkStart w:id="2551" w:name="_Toc516839401"/>
      <w:bookmarkStart w:id="2552" w:name="_Toc517173497"/>
      <w:bookmarkStart w:id="2553" w:name="_Toc517175171"/>
      <w:bookmarkStart w:id="2554" w:name="_Toc517175758"/>
      <w:bookmarkStart w:id="2555" w:name="_Toc517176346"/>
      <w:bookmarkStart w:id="2556" w:name="_Toc517337671"/>
      <w:bookmarkStart w:id="2557" w:name="_Toc517360467"/>
      <w:bookmarkStart w:id="2558" w:name="_Toc516739849"/>
      <w:bookmarkStart w:id="2559" w:name="_Toc516751758"/>
      <w:bookmarkStart w:id="2560" w:name="_Toc516825846"/>
      <w:bookmarkStart w:id="2561" w:name="_Toc516826404"/>
      <w:bookmarkStart w:id="2562" w:name="_Toc516837724"/>
      <w:bookmarkStart w:id="2563" w:name="_Toc516838283"/>
      <w:bookmarkStart w:id="2564" w:name="_Toc516838842"/>
      <w:bookmarkStart w:id="2565" w:name="_Toc516839402"/>
      <w:bookmarkStart w:id="2566" w:name="_Toc517173498"/>
      <w:bookmarkStart w:id="2567" w:name="_Toc517175172"/>
      <w:bookmarkStart w:id="2568" w:name="_Toc517175759"/>
      <w:bookmarkStart w:id="2569" w:name="_Toc517176347"/>
      <w:bookmarkStart w:id="2570" w:name="_Toc517337672"/>
      <w:bookmarkStart w:id="2571" w:name="_Toc517360468"/>
      <w:bookmarkStart w:id="2572" w:name="_Toc516739850"/>
      <w:bookmarkStart w:id="2573" w:name="_Toc516751759"/>
      <w:bookmarkStart w:id="2574" w:name="_Toc516825847"/>
      <w:bookmarkStart w:id="2575" w:name="_Toc516826405"/>
      <w:bookmarkStart w:id="2576" w:name="_Toc516837725"/>
      <w:bookmarkStart w:id="2577" w:name="_Toc516838284"/>
      <w:bookmarkStart w:id="2578" w:name="_Toc516838843"/>
      <w:bookmarkStart w:id="2579" w:name="_Toc516839403"/>
      <w:bookmarkStart w:id="2580" w:name="_Toc517173499"/>
      <w:bookmarkStart w:id="2581" w:name="_Toc517175173"/>
      <w:bookmarkStart w:id="2582" w:name="_Toc517175760"/>
      <w:bookmarkStart w:id="2583" w:name="_Toc517176348"/>
      <w:bookmarkStart w:id="2584" w:name="_Toc517337673"/>
      <w:bookmarkStart w:id="2585" w:name="_Toc517360469"/>
      <w:bookmarkStart w:id="2586" w:name="_Toc516739851"/>
      <w:bookmarkStart w:id="2587" w:name="_Toc516751760"/>
      <w:bookmarkStart w:id="2588" w:name="_Toc516825848"/>
      <w:bookmarkStart w:id="2589" w:name="_Toc516826406"/>
      <w:bookmarkStart w:id="2590" w:name="_Toc516837726"/>
      <w:bookmarkStart w:id="2591" w:name="_Toc516838285"/>
      <w:bookmarkStart w:id="2592" w:name="_Toc516838844"/>
      <w:bookmarkStart w:id="2593" w:name="_Toc516839404"/>
      <w:bookmarkStart w:id="2594" w:name="_Toc517173500"/>
      <w:bookmarkStart w:id="2595" w:name="_Toc517175174"/>
      <w:bookmarkStart w:id="2596" w:name="_Toc517175761"/>
      <w:bookmarkStart w:id="2597" w:name="_Toc517176349"/>
      <w:bookmarkStart w:id="2598" w:name="_Toc517337674"/>
      <w:bookmarkStart w:id="2599" w:name="_Toc517360470"/>
      <w:bookmarkStart w:id="2600" w:name="_Toc516739852"/>
      <w:bookmarkStart w:id="2601" w:name="_Toc516751761"/>
      <w:bookmarkStart w:id="2602" w:name="_Toc516825849"/>
      <w:bookmarkStart w:id="2603" w:name="_Toc516826407"/>
      <w:bookmarkStart w:id="2604" w:name="_Toc516837727"/>
      <w:bookmarkStart w:id="2605" w:name="_Toc516838286"/>
      <w:bookmarkStart w:id="2606" w:name="_Toc516838845"/>
      <w:bookmarkStart w:id="2607" w:name="_Toc516839405"/>
      <w:bookmarkStart w:id="2608" w:name="_Toc517173501"/>
      <w:bookmarkStart w:id="2609" w:name="_Toc517175175"/>
      <w:bookmarkStart w:id="2610" w:name="_Toc517175762"/>
      <w:bookmarkStart w:id="2611" w:name="_Toc517176350"/>
      <w:bookmarkStart w:id="2612" w:name="_Toc517337675"/>
      <w:bookmarkStart w:id="2613" w:name="_Toc517360471"/>
      <w:bookmarkStart w:id="2614" w:name="_Toc516739853"/>
      <w:bookmarkStart w:id="2615" w:name="_Toc516751762"/>
      <w:bookmarkStart w:id="2616" w:name="_Toc516825850"/>
      <w:bookmarkStart w:id="2617" w:name="_Toc516826408"/>
      <w:bookmarkStart w:id="2618" w:name="_Toc516837728"/>
      <w:bookmarkStart w:id="2619" w:name="_Toc516838287"/>
      <w:bookmarkStart w:id="2620" w:name="_Toc516838846"/>
      <w:bookmarkStart w:id="2621" w:name="_Toc516839406"/>
      <w:bookmarkStart w:id="2622" w:name="_Toc517173502"/>
      <w:bookmarkStart w:id="2623" w:name="_Toc517175176"/>
      <w:bookmarkStart w:id="2624" w:name="_Toc517175763"/>
      <w:bookmarkStart w:id="2625" w:name="_Toc517176351"/>
      <w:bookmarkStart w:id="2626" w:name="_Toc517337676"/>
      <w:bookmarkStart w:id="2627" w:name="_Toc517360472"/>
      <w:bookmarkStart w:id="2628" w:name="_Toc516739854"/>
      <w:bookmarkStart w:id="2629" w:name="_Toc516751763"/>
      <w:bookmarkStart w:id="2630" w:name="_Toc516825851"/>
      <w:bookmarkStart w:id="2631" w:name="_Toc516826409"/>
      <w:bookmarkStart w:id="2632" w:name="_Toc516837729"/>
      <w:bookmarkStart w:id="2633" w:name="_Toc516838288"/>
      <w:bookmarkStart w:id="2634" w:name="_Toc516838847"/>
      <w:bookmarkStart w:id="2635" w:name="_Toc516839407"/>
      <w:bookmarkStart w:id="2636" w:name="_Toc517173503"/>
      <w:bookmarkStart w:id="2637" w:name="_Toc517175177"/>
      <w:bookmarkStart w:id="2638" w:name="_Toc517175764"/>
      <w:bookmarkStart w:id="2639" w:name="_Toc517176352"/>
      <w:bookmarkStart w:id="2640" w:name="_Toc517337677"/>
      <w:bookmarkStart w:id="2641" w:name="_Toc517360473"/>
      <w:bookmarkStart w:id="2642" w:name="_Toc516739855"/>
      <w:bookmarkStart w:id="2643" w:name="_Toc516751764"/>
      <w:bookmarkStart w:id="2644" w:name="_Toc516825852"/>
      <w:bookmarkStart w:id="2645" w:name="_Toc516826410"/>
      <w:bookmarkStart w:id="2646" w:name="_Toc516837730"/>
      <w:bookmarkStart w:id="2647" w:name="_Toc516838289"/>
      <w:bookmarkStart w:id="2648" w:name="_Toc516838848"/>
      <w:bookmarkStart w:id="2649" w:name="_Toc516839408"/>
      <w:bookmarkStart w:id="2650" w:name="_Toc517173504"/>
      <w:bookmarkStart w:id="2651" w:name="_Toc517175178"/>
      <w:bookmarkStart w:id="2652" w:name="_Toc517175765"/>
      <w:bookmarkStart w:id="2653" w:name="_Toc517176353"/>
      <w:bookmarkStart w:id="2654" w:name="_Toc517337678"/>
      <w:bookmarkStart w:id="2655" w:name="_Toc517360474"/>
      <w:bookmarkStart w:id="2656" w:name="_Toc516739856"/>
      <w:bookmarkStart w:id="2657" w:name="_Toc516751765"/>
      <w:bookmarkStart w:id="2658" w:name="_Toc516825853"/>
      <w:bookmarkStart w:id="2659" w:name="_Toc516826411"/>
      <w:bookmarkStart w:id="2660" w:name="_Toc516837731"/>
      <w:bookmarkStart w:id="2661" w:name="_Toc516838290"/>
      <w:bookmarkStart w:id="2662" w:name="_Toc516838849"/>
      <w:bookmarkStart w:id="2663" w:name="_Toc516839409"/>
      <w:bookmarkStart w:id="2664" w:name="_Toc517173505"/>
      <w:bookmarkStart w:id="2665" w:name="_Toc517175179"/>
      <w:bookmarkStart w:id="2666" w:name="_Toc517175766"/>
      <w:bookmarkStart w:id="2667" w:name="_Toc517176354"/>
      <w:bookmarkStart w:id="2668" w:name="_Toc517337679"/>
      <w:bookmarkStart w:id="2669" w:name="_Toc517360475"/>
      <w:bookmarkStart w:id="2670" w:name="_Toc516739857"/>
      <w:bookmarkStart w:id="2671" w:name="_Toc516751766"/>
      <w:bookmarkStart w:id="2672" w:name="_Toc516825854"/>
      <w:bookmarkStart w:id="2673" w:name="_Toc516826412"/>
      <w:bookmarkStart w:id="2674" w:name="_Toc516837732"/>
      <w:bookmarkStart w:id="2675" w:name="_Toc516838291"/>
      <w:bookmarkStart w:id="2676" w:name="_Toc516838850"/>
      <w:bookmarkStart w:id="2677" w:name="_Toc516839410"/>
      <w:bookmarkStart w:id="2678" w:name="_Toc517173506"/>
      <w:bookmarkStart w:id="2679" w:name="_Toc517175180"/>
      <w:bookmarkStart w:id="2680" w:name="_Toc517175767"/>
      <w:bookmarkStart w:id="2681" w:name="_Toc517176355"/>
      <w:bookmarkStart w:id="2682" w:name="_Toc517337680"/>
      <w:bookmarkStart w:id="2683" w:name="_Toc517360476"/>
      <w:bookmarkStart w:id="2684" w:name="_Toc516739858"/>
      <w:bookmarkStart w:id="2685" w:name="_Toc516751767"/>
      <w:bookmarkStart w:id="2686" w:name="_Toc516825855"/>
      <w:bookmarkStart w:id="2687" w:name="_Toc516826413"/>
      <w:bookmarkStart w:id="2688" w:name="_Toc516837733"/>
      <w:bookmarkStart w:id="2689" w:name="_Toc516838292"/>
      <w:bookmarkStart w:id="2690" w:name="_Toc516838851"/>
      <w:bookmarkStart w:id="2691" w:name="_Toc516839411"/>
      <w:bookmarkStart w:id="2692" w:name="_Toc517173507"/>
      <w:bookmarkStart w:id="2693" w:name="_Toc517175181"/>
      <w:bookmarkStart w:id="2694" w:name="_Toc517175768"/>
      <w:bookmarkStart w:id="2695" w:name="_Toc517176356"/>
      <w:bookmarkStart w:id="2696" w:name="_Toc517337681"/>
      <w:bookmarkStart w:id="2697" w:name="_Toc517360477"/>
      <w:bookmarkStart w:id="2698" w:name="_Toc516739859"/>
      <w:bookmarkStart w:id="2699" w:name="_Toc516751768"/>
      <w:bookmarkStart w:id="2700" w:name="_Toc516825856"/>
      <w:bookmarkStart w:id="2701" w:name="_Toc516826414"/>
      <w:bookmarkStart w:id="2702" w:name="_Toc516837734"/>
      <w:bookmarkStart w:id="2703" w:name="_Toc516838293"/>
      <w:bookmarkStart w:id="2704" w:name="_Toc516838852"/>
      <w:bookmarkStart w:id="2705" w:name="_Toc516839412"/>
      <w:bookmarkStart w:id="2706" w:name="_Toc517173508"/>
      <w:bookmarkStart w:id="2707" w:name="_Toc517175182"/>
      <w:bookmarkStart w:id="2708" w:name="_Toc517175769"/>
      <w:bookmarkStart w:id="2709" w:name="_Toc517176357"/>
      <w:bookmarkStart w:id="2710" w:name="_Toc517337682"/>
      <w:bookmarkStart w:id="2711" w:name="_Toc517360478"/>
      <w:bookmarkStart w:id="2712" w:name="_Toc516739860"/>
      <w:bookmarkStart w:id="2713" w:name="_Toc516751769"/>
      <w:bookmarkStart w:id="2714" w:name="_Toc516825857"/>
      <w:bookmarkStart w:id="2715" w:name="_Toc516826415"/>
      <w:bookmarkStart w:id="2716" w:name="_Toc516837735"/>
      <w:bookmarkStart w:id="2717" w:name="_Toc516838294"/>
      <w:bookmarkStart w:id="2718" w:name="_Toc516838853"/>
      <w:bookmarkStart w:id="2719" w:name="_Toc516839413"/>
      <w:bookmarkStart w:id="2720" w:name="_Toc517173509"/>
      <w:bookmarkStart w:id="2721" w:name="_Toc517175183"/>
      <w:bookmarkStart w:id="2722" w:name="_Toc517175770"/>
      <w:bookmarkStart w:id="2723" w:name="_Toc517176358"/>
      <w:bookmarkStart w:id="2724" w:name="_Toc517337683"/>
      <w:bookmarkStart w:id="2725" w:name="_Toc517360479"/>
      <w:bookmarkStart w:id="2726" w:name="_Toc516739861"/>
      <w:bookmarkStart w:id="2727" w:name="_Toc516751770"/>
      <w:bookmarkStart w:id="2728" w:name="_Toc516825858"/>
      <w:bookmarkStart w:id="2729" w:name="_Toc516826416"/>
      <w:bookmarkStart w:id="2730" w:name="_Toc516837736"/>
      <w:bookmarkStart w:id="2731" w:name="_Toc516838295"/>
      <w:bookmarkStart w:id="2732" w:name="_Toc516838854"/>
      <w:bookmarkStart w:id="2733" w:name="_Toc516839414"/>
      <w:bookmarkStart w:id="2734" w:name="_Toc517173510"/>
      <w:bookmarkStart w:id="2735" w:name="_Toc517175184"/>
      <w:bookmarkStart w:id="2736" w:name="_Toc517175771"/>
      <w:bookmarkStart w:id="2737" w:name="_Toc517176359"/>
      <w:bookmarkStart w:id="2738" w:name="_Toc517337684"/>
      <w:bookmarkStart w:id="2739" w:name="_Toc517360480"/>
      <w:bookmarkStart w:id="2740" w:name="_Toc516739862"/>
      <w:bookmarkStart w:id="2741" w:name="_Toc516751771"/>
      <w:bookmarkStart w:id="2742" w:name="_Toc516825859"/>
      <w:bookmarkStart w:id="2743" w:name="_Toc516826417"/>
      <w:bookmarkStart w:id="2744" w:name="_Toc516837737"/>
      <w:bookmarkStart w:id="2745" w:name="_Toc516838296"/>
      <w:bookmarkStart w:id="2746" w:name="_Toc516838855"/>
      <w:bookmarkStart w:id="2747" w:name="_Toc516839415"/>
      <w:bookmarkStart w:id="2748" w:name="_Toc517173511"/>
      <w:bookmarkStart w:id="2749" w:name="_Toc517175185"/>
      <w:bookmarkStart w:id="2750" w:name="_Toc517175772"/>
      <w:bookmarkStart w:id="2751" w:name="_Toc517176360"/>
      <w:bookmarkStart w:id="2752" w:name="_Toc517337685"/>
      <w:bookmarkStart w:id="2753" w:name="_Toc517360481"/>
      <w:bookmarkStart w:id="2754" w:name="_Toc516739863"/>
      <w:bookmarkStart w:id="2755" w:name="_Toc516751772"/>
      <w:bookmarkStart w:id="2756" w:name="_Toc516825860"/>
      <w:bookmarkStart w:id="2757" w:name="_Toc516826418"/>
      <w:bookmarkStart w:id="2758" w:name="_Toc516837738"/>
      <w:bookmarkStart w:id="2759" w:name="_Toc516838297"/>
      <w:bookmarkStart w:id="2760" w:name="_Toc516838856"/>
      <w:bookmarkStart w:id="2761" w:name="_Toc516839416"/>
      <w:bookmarkStart w:id="2762" w:name="_Toc517173512"/>
      <w:bookmarkStart w:id="2763" w:name="_Toc517175186"/>
      <w:bookmarkStart w:id="2764" w:name="_Toc517175773"/>
      <w:bookmarkStart w:id="2765" w:name="_Toc517176361"/>
      <w:bookmarkStart w:id="2766" w:name="_Toc517337686"/>
      <w:bookmarkStart w:id="2767" w:name="_Toc517360482"/>
      <w:bookmarkStart w:id="2768" w:name="_Toc516739864"/>
      <w:bookmarkStart w:id="2769" w:name="_Toc516751773"/>
      <w:bookmarkStart w:id="2770" w:name="_Toc516825861"/>
      <w:bookmarkStart w:id="2771" w:name="_Toc516826419"/>
      <w:bookmarkStart w:id="2772" w:name="_Toc516837739"/>
      <w:bookmarkStart w:id="2773" w:name="_Toc516838298"/>
      <w:bookmarkStart w:id="2774" w:name="_Toc516838857"/>
      <w:bookmarkStart w:id="2775" w:name="_Toc516839417"/>
      <w:bookmarkStart w:id="2776" w:name="_Toc517173513"/>
      <w:bookmarkStart w:id="2777" w:name="_Toc517175187"/>
      <w:bookmarkStart w:id="2778" w:name="_Toc517175774"/>
      <w:bookmarkStart w:id="2779" w:name="_Toc517176362"/>
      <w:bookmarkStart w:id="2780" w:name="_Toc517337687"/>
      <w:bookmarkStart w:id="2781" w:name="_Toc517360483"/>
      <w:bookmarkStart w:id="2782" w:name="_Toc143779203"/>
      <w:bookmarkStart w:id="2783" w:name="_Toc208420113"/>
      <w:bookmarkStart w:id="2784" w:name="_Toc225504342"/>
      <w:bookmarkStart w:id="2785" w:name="_Toc225772431"/>
      <w:bookmarkStart w:id="2786" w:name="_Toc233626299"/>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r w:rsidRPr="00855435">
        <w:t>04002/364-24 : Diffusion publicitaire sur la voie publique</w:t>
      </w:r>
      <w:bookmarkEnd w:id="2782"/>
      <w:bookmarkEnd w:id="2783"/>
      <w:bookmarkEnd w:id="2784"/>
      <w:bookmarkEnd w:id="2785"/>
      <w:bookmarkEnd w:id="2786"/>
    </w:p>
    <w:bookmarkEnd w:id="2412"/>
    <w:p w14:paraId="346D4FB7" w14:textId="77777777" w:rsidR="00795C3E" w:rsidRPr="00F91BDD" w:rsidRDefault="00795C3E" w:rsidP="00795C3E">
      <w:pPr>
        <w:spacing w:before="120"/>
        <w:rPr>
          <w:rFonts w:cs="Calibri Light"/>
        </w:rPr>
      </w:pPr>
      <w:r w:rsidRPr="00F91BDD">
        <w:rPr>
          <w:rFonts w:cs="Calibri Light"/>
        </w:rPr>
        <w:t>Taxe indirecte – Modèle disponible.</w:t>
      </w:r>
    </w:p>
    <w:p w14:paraId="6097F86B" w14:textId="77777777" w:rsidR="00795C3E" w:rsidRPr="00F91BDD" w:rsidRDefault="00795C3E" w:rsidP="00795C3E">
      <w:pPr>
        <w:spacing w:before="120"/>
        <w:textAlignment w:val="baseline"/>
        <w:rPr>
          <w:rFonts w:cs="Calibri Light"/>
        </w:rPr>
      </w:pPr>
      <w:r w:rsidRPr="00F91BDD">
        <w:rPr>
          <w:rFonts w:cs="Calibri Light"/>
        </w:rPr>
        <w:t>Cette taxe vise communément la diffusion de messages publicitaires par diffuseur ou par panneau mobile, ou encore au moyen d'habits ou de parements à caractère publicitaire portés par une personne ou un animal.</w:t>
      </w:r>
    </w:p>
    <w:p w14:paraId="43D7CA30" w14:textId="13B8A0A5" w:rsidR="4E713BAF" w:rsidRDefault="4E713BAF" w:rsidP="5672AB13">
      <w:pPr>
        <w:spacing w:before="120"/>
        <w:rPr>
          <w:rFonts w:cs="Calibri Light"/>
        </w:rPr>
      </w:pPr>
      <w:r w:rsidRPr="5672AB13">
        <w:rPr>
          <w:rFonts w:cs="Calibri Light"/>
        </w:rPr>
        <w:t xml:space="preserve">Taux maxima recommandés : </w:t>
      </w:r>
    </w:p>
    <w:p w14:paraId="43791D7F" w14:textId="30AB2F0A" w:rsidR="4E713BAF" w:rsidRDefault="4E713BAF">
      <w:pPr>
        <w:pStyle w:val="Paragraphedeliste"/>
        <w:numPr>
          <w:ilvl w:val="0"/>
          <w:numId w:val="94"/>
        </w:numPr>
        <w:spacing w:before="120"/>
        <w:rPr>
          <w:rFonts w:cs="Calibri Light"/>
        </w:rPr>
      </w:pPr>
      <w:r w:rsidRPr="5672AB13">
        <w:rPr>
          <w:rFonts w:cs="Calibri Light"/>
        </w:rPr>
        <w:t>Diffuseurs sonores : 85,00 euros/jour</w:t>
      </w:r>
    </w:p>
    <w:p w14:paraId="0436D0A1" w14:textId="710EA685" w:rsidR="4E713BAF" w:rsidRDefault="4E713BAF">
      <w:pPr>
        <w:pStyle w:val="Paragraphedeliste"/>
        <w:numPr>
          <w:ilvl w:val="0"/>
          <w:numId w:val="94"/>
        </w:numPr>
        <w:spacing w:before="120"/>
        <w:rPr>
          <w:rFonts w:cs="Calibri Light"/>
        </w:rPr>
      </w:pPr>
      <w:r w:rsidRPr="5672AB13">
        <w:rPr>
          <w:rFonts w:cs="Calibri Light"/>
          <w:u w:val="single"/>
        </w:rPr>
        <w:t>Diffusion par panneaux mobiles,</w:t>
      </w:r>
      <w:r w:rsidRPr="5672AB13">
        <w:rPr>
          <w:rFonts w:cs="Calibri Light"/>
        </w:rPr>
        <w:t xml:space="preserve"> par rayons lasers ou supports ou distribution de tracts ou gadgets sur la voie publique : 25, 00 euros/jour</w:t>
      </w:r>
    </w:p>
    <w:p w14:paraId="3475FCF2" w14:textId="513537DE" w:rsidR="5672AB13" w:rsidRDefault="5D69EA03" w:rsidP="004248C8">
      <w:pPr>
        <w:pStyle w:val="Paragraphedeliste"/>
        <w:spacing w:before="120"/>
        <w:rPr>
          <w:rFonts w:cs="Calibri Light"/>
        </w:rPr>
      </w:pPr>
      <w:r w:rsidRPr="5672AB13">
        <w:rPr>
          <w:rFonts w:cs="Calibri Light"/>
        </w:rPr>
        <w:t>Ce taux pourra être majoré jusqu'au double lorsque le panneau mobile est équipé d'un système de défilement électronique ou mécanique des messages publicitaires.</w:t>
      </w:r>
    </w:p>
    <w:p w14:paraId="556CC037" w14:textId="77777777" w:rsidR="00795C3E" w:rsidRPr="00F91BDD" w:rsidRDefault="00795C3E" w:rsidP="00795C3E">
      <w:pPr>
        <w:spacing w:before="120"/>
        <w:textAlignment w:val="baseline"/>
        <w:rPr>
          <w:rFonts w:cs="Calibri Light"/>
        </w:rPr>
      </w:pPr>
      <w:r w:rsidRPr="00F91BDD">
        <w:rPr>
          <w:rFonts w:cs="Calibri Light"/>
        </w:rPr>
        <w:t>Les commerçants ambulants (glacier, ...) ne sont pas visés par la présente taxe dans la mesure où l'utilisation d'un matériel de sonorisation fait partie intégrante de la nature de l'activité exercée et ne revêt dès lors pas un caractère purement publicitaire.</w:t>
      </w:r>
    </w:p>
    <w:p w14:paraId="4816DB0B" w14:textId="0CB1EFDA" w:rsidR="00795C3E" w:rsidRPr="00855435" w:rsidRDefault="00795C3E" w:rsidP="35BD9115">
      <w:pPr>
        <w:pStyle w:val="Titre3"/>
        <w:rPr>
          <w:caps/>
        </w:rPr>
      </w:pPr>
      <w:bookmarkStart w:id="2787" w:name="_Toc143779204"/>
      <w:bookmarkStart w:id="2788" w:name="_Toc208420114"/>
      <w:bookmarkStart w:id="2789" w:name="_Toc225504343"/>
      <w:bookmarkStart w:id="2790" w:name="_Toc225772432"/>
      <w:bookmarkStart w:id="2791" w:name="_Toc233626300"/>
      <w:commentRangeStart w:id="2792"/>
      <w:r w:rsidRPr="00855435">
        <w:lastRenderedPageBreak/>
        <w:t>040/364-26 : Séjour</w:t>
      </w:r>
      <w:bookmarkEnd w:id="2787"/>
      <w:bookmarkEnd w:id="2788"/>
      <w:bookmarkEnd w:id="2789"/>
      <w:bookmarkEnd w:id="2790"/>
      <w:bookmarkEnd w:id="2791"/>
      <w:r w:rsidRPr="00855435">
        <w:t xml:space="preserve"> </w:t>
      </w:r>
      <w:commentRangeEnd w:id="2792"/>
      <w:r w:rsidR="00490C13" w:rsidRPr="00855435">
        <w:rPr>
          <w:rStyle w:val="Marquedecommentaire"/>
          <w:caps/>
          <w:sz w:val="22"/>
          <w:szCs w:val="22"/>
        </w:rPr>
        <w:commentReference w:id="2792"/>
      </w:r>
    </w:p>
    <w:p w14:paraId="43901C88" w14:textId="77777777" w:rsidR="00EA316B" w:rsidRPr="00EA316B" w:rsidRDefault="00EA316B" w:rsidP="00EA316B">
      <w:pPr>
        <w:spacing w:before="120"/>
        <w:textAlignment w:val="baseline"/>
      </w:pPr>
      <w:r w:rsidRPr="00EA316B">
        <w:t>Taxe directe si elle est établie forfaitairement ou taxe indirecte si elle est établie à la nuitée (modèle disponible).</w:t>
      </w:r>
    </w:p>
    <w:p w14:paraId="0AA365C0" w14:textId="77777777" w:rsidR="00EA316B" w:rsidRPr="00EA316B" w:rsidRDefault="00EA316B" w:rsidP="00EA316B">
      <w:pPr>
        <w:spacing w:before="120"/>
        <w:textAlignment w:val="baseline"/>
      </w:pPr>
      <w:r w:rsidRPr="00EA316B">
        <w:t xml:space="preserve">Le taux maximum recommandé est fixé à </w:t>
      </w:r>
      <w:r w:rsidRPr="00EA316B">
        <w:rPr>
          <w:b/>
          <w:bCs/>
        </w:rPr>
        <w:t>1,30 euro par personne et par nuitée</w:t>
      </w:r>
      <w:r w:rsidRPr="00EA316B">
        <w:t xml:space="preserve"> ou, en cas de taxation forfaitaire, à </w:t>
      </w:r>
      <w:r w:rsidRPr="00EA316B">
        <w:rPr>
          <w:b/>
          <w:bCs/>
        </w:rPr>
        <w:t>180,00 euros par an et par lit, chambre ou emplacement de camping</w:t>
      </w:r>
      <w:r w:rsidRPr="00EA316B">
        <w:t>.</w:t>
      </w:r>
    </w:p>
    <w:p w14:paraId="39833025" w14:textId="77777777" w:rsidR="00EA316B" w:rsidRPr="00EA316B" w:rsidRDefault="00EA316B" w:rsidP="00EA316B">
      <w:pPr>
        <w:spacing w:before="120"/>
        <w:textAlignment w:val="baseline"/>
      </w:pPr>
      <w:r w:rsidRPr="00EA316B">
        <w:t>Il est recommandé aux communes de tenir compte, dans la détermination des modalités de taxation, des spécificités propres aux différentes catégories d’hébergements touristiques.</w:t>
      </w:r>
    </w:p>
    <w:p w14:paraId="78DADA86" w14:textId="287B8EB7" w:rsidR="00EA316B" w:rsidRPr="00EA316B" w:rsidRDefault="00EA316B" w:rsidP="00EA316B">
      <w:pPr>
        <w:spacing w:before="120"/>
        <w:textAlignment w:val="baseline"/>
      </w:pPr>
      <w:r w:rsidRPr="00EA316B">
        <w:t xml:space="preserve">Pour les </w:t>
      </w:r>
      <w:r w:rsidR="0066588F">
        <w:t>hébergements touristiques avec service (hôtels, motels, chambres d’hôtes, campings, …),</w:t>
      </w:r>
      <w:r w:rsidRPr="00EA316B">
        <w:t>la taxation à la nuitée par personne est privilégiée, dès lors qu’elle apparaît plus adaptée à la nature de ces hébergements et aux modalités habituelles de suivi des personnes accueillies.</w:t>
      </w:r>
    </w:p>
    <w:p w14:paraId="7EFE33C6" w14:textId="21C2FF2B" w:rsidR="00EA316B" w:rsidRPr="00EA316B" w:rsidRDefault="00DB6A23" w:rsidP="00EA316B">
      <w:pPr>
        <w:spacing w:before="120"/>
        <w:textAlignment w:val="baseline"/>
      </w:pPr>
      <w:r>
        <w:t xml:space="preserve">Pour les hébergements touristiques sans service </w:t>
      </w:r>
      <w:r w:rsidR="004A4D4B">
        <w:t>journalier (</w:t>
      </w:r>
      <w:r>
        <w:t>gîte, me</w:t>
      </w:r>
      <w:r w:rsidR="004F477D">
        <w:t xml:space="preserve">ublés, appartements court séjours, …) </w:t>
      </w:r>
      <w:r w:rsidR="00EA316B" w:rsidRPr="00EA316B">
        <w:t xml:space="preserve">compte tenu des modalités particulières de gestion de ces hébergements, de l’absence fréquente de présence sur place et des difficultés pratiques liées au suivi effectif de l’occupation réelle, une taxation forfaitaire peut être privilégiée. Celle-ci peut être modulée en fonction de la capacité d’accueil de l’hébergement, notamment </w:t>
      </w:r>
      <w:r w:rsidR="00B100BE">
        <w:t>par la capacité maximale de l’hébergement (via l’attestation sécurité incendie)</w:t>
      </w:r>
    </w:p>
    <w:p w14:paraId="79151EC0" w14:textId="354D7D80" w:rsidR="00EA316B" w:rsidRPr="00EA316B" w:rsidRDefault="00EA316B" w:rsidP="00EA316B">
      <w:pPr>
        <w:spacing w:before="120"/>
        <w:textAlignment w:val="baseline"/>
      </w:pPr>
      <w:r w:rsidRPr="00EA316B">
        <w:t xml:space="preserve">Pour les </w:t>
      </w:r>
      <w:r w:rsidR="00165436">
        <w:t>hébergements touristiques</w:t>
      </w:r>
      <w:r w:rsidRPr="00EA316B">
        <w:t xml:space="preserve"> proposés au moyen de plateformes de type Airbnb ou de services similaires, la commune peut opter soit pour une taxation à la nuitée, soit pour une taxation forfaitaire fondée sur la capacité d’accueil, en fonction des éléments dont elle dispose et des modalités de contrôle qu’elle est en mesure d’organiser.</w:t>
      </w:r>
    </w:p>
    <w:p w14:paraId="3A499447" w14:textId="0E7524FE" w:rsidR="00EA316B" w:rsidRPr="00EA316B" w:rsidRDefault="00EA316B" w:rsidP="00EA316B">
      <w:pPr>
        <w:spacing w:before="120"/>
        <w:textAlignment w:val="baseline"/>
      </w:pPr>
      <w:r w:rsidRPr="00EA316B">
        <w:t>Lorsque la taxation vise des hébergements dûment certifiés</w:t>
      </w:r>
      <w:r w:rsidR="00EC0732">
        <w:t>, labelisés</w:t>
      </w:r>
      <w:r w:rsidRPr="00EA316B">
        <w:t xml:space="preserve"> et autorisés à utiliser une dénomination visée par le Code wallon du Tourisme (), il est recommandé de réduire la taxe de moitié.</w:t>
      </w:r>
    </w:p>
    <w:p w14:paraId="33CA2A41" w14:textId="77777777" w:rsidR="00EA316B" w:rsidRPr="00EA316B" w:rsidRDefault="00EA316B" w:rsidP="00EA316B">
      <w:pPr>
        <w:spacing w:before="120"/>
        <w:textAlignment w:val="baseline"/>
      </w:pPr>
      <w:r w:rsidRPr="00EA316B">
        <w:t>L’application de cette taxe implique que l’exploitant des lieux loués ainsi que les locataires de ceux-ci ne soient pas soumis à la taxe sur les secondes résidences, sauf lorsque les hébergements concernés font effectivement l’objet des deux affectations.</w:t>
      </w:r>
    </w:p>
    <w:p w14:paraId="1D0D4B7F" w14:textId="00DDBBB3" w:rsidR="00EA316B" w:rsidRDefault="0037595B" w:rsidP="6FFC1684">
      <w:pPr>
        <w:spacing w:before="120"/>
        <w:textAlignment w:val="baseline"/>
      </w:pPr>
      <w:r w:rsidRPr="0037595B">
        <w:t>Afin d’assurer la sécurité juridique du règlement-taxe et de garantir une application cohérente et équitable de celui-ci, il importe que les communes définissent des critères objectifs permettant de distinguer les différents types de lieux de séjour concernés</w:t>
      </w:r>
    </w:p>
    <w:p w14:paraId="58456C49" w14:textId="77777777" w:rsidR="00795C3E" w:rsidRPr="008B4E0C" w:rsidRDefault="00795C3E" w:rsidP="6FFC1684">
      <w:pPr>
        <w:spacing w:before="120"/>
        <w:textAlignment w:val="baseline"/>
      </w:pPr>
      <w:r w:rsidRPr="0015312B" w:rsidDel="00795C3E">
        <w:t>Pour rappel, créer et gérer un hébergement touristique est un processus dont les étapes relèvent à la fois de l'aménagement du territoire et de l'urbanisme ET du tourisme.</w:t>
      </w:r>
      <w:r w:rsidDel="00795C3E">
        <w:t xml:space="preserve"> </w:t>
      </w:r>
    </w:p>
    <w:p w14:paraId="555E0A56" w14:textId="46DF036F" w:rsidR="6FFC1684" w:rsidRDefault="6FFC1684" w:rsidP="6FFC1684">
      <w:pPr>
        <w:spacing w:before="120"/>
        <w:rPr>
          <w:rFonts w:cs="Calibri Light"/>
        </w:rPr>
      </w:pPr>
    </w:p>
    <w:p w14:paraId="7A580B86" w14:textId="77777777" w:rsidR="00795C3E" w:rsidRPr="00506657" w:rsidRDefault="00795C3E" w:rsidP="00795C3E">
      <w:pPr>
        <w:spacing w:before="120"/>
        <w:textAlignment w:val="baseline"/>
        <w:rPr>
          <w:u w:val="single"/>
        </w:rPr>
      </w:pPr>
      <w:r w:rsidRPr="00506657">
        <w:rPr>
          <w:u w:val="single"/>
        </w:rPr>
        <w:t>AMENAGEMENT DU TERRITOIRE &amp; URBANISME</w:t>
      </w:r>
    </w:p>
    <w:p w14:paraId="1EBF202C" w14:textId="6A7F86CE" w:rsidR="00795C3E" w:rsidRPr="00F91BDD" w:rsidRDefault="005D74B1" w:rsidP="00795C3E">
      <w:pPr>
        <w:spacing w:before="120"/>
        <w:textAlignment w:val="baseline"/>
        <w:rPr>
          <w:rFonts w:cs="Calibri Light"/>
        </w:rPr>
      </w:pPr>
      <w:r>
        <w:lastRenderedPageBreak/>
        <w:t>Conformément à</w:t>
      </w:r>
      <w:r w:rsidR="00795C3E" w:rsidRPr="004E425F">
        <w:t xml:space="preserve"> l'arrêté du Gouvernement wallon du 8 décembre 2022, il est obligatoire de </w:t>
      </w:r>
      <w:bookmarkStart w:id="2793" w:name="_Hlk129091095"/>
      <w:r w:rsidR="00795C3E" w:rsidRPr="004E425F">
        <w:t xml:space="preserve">disposer d'un permis d'urbanisme pour créer un </w:t>
      </w:r>
      <w:r w:rsidR="00795C3E" w:rsidRPr="004E425F">
        <w:rPr>
          <w:rFonts w:cs="Calibri Light"/>
        </w:rPr>
        <w:t>nouve</w:t>
      </w:r>
      <w:r w:rsidR="00795C3E" w:rsidRPr="00F91BDD">
        <w:rPr>
          <w:rFonts w:cs="Calibri Light"/>
        </w:rPr>
        <w:t xml:space="preserve">l </w:t>
      </w:r>
      <w:r w:rsidR="00795C3E" w:rsidRPr="004E425F">
        <w:t>hébergement touristique</w:t>
      </w:r>
      <w:r>
        <w:t xml:space="preserve"> à partir du 30 janvier 2023</w:t>
      </w:r>
      <w:r w:rsidR="00795C3E" w:rsidRPr="004E425F">
        <w:t xml:space="preserve"> dans une construction existante</w:t>
      </w:r>
      <w:bookmarkEnd w:id="2793"/>
      <w:r w:rsidR="00795C3E" w:rsidRPr="004E425F">
        <w:t>.</w:t>
      </w:r>
    </w:p>
    <w:p w14:paraId="027685FB" w14:textId="39638459" w:rsidR="00795C3E" w:rsidRPr="004E425F" w:rsidRDefault="00795C3E" w:rsidP="00795C3E">
      <w:pPr>
        <w:spacing w:before="120"/>
        <w:textAlignment w:val="baseline"/>
      </w:pPr>
      <w:r>
        <w:t>Tous les</w:t>
      </w:r>
      <w:r w:rsidR="005A5571">
        <w:t xml:space="preserve"> nouveaux</w:t>
      </w:r>
      <w:r>
        <w:t xml:space="preserve"> hébergements touristiques créés</w:t>
      </w:r>
      <w:r w:rsidR="005D74B1">
        <w:t xml:space="preserve"> à partir du 30 janvier 2023</w:t>
      </w:r>
      <w:r>
        <w:t xml:space="preserve"> dans une construction existante sont visés, </w:t>
      </w:r>
      <w:r w:rsidR="00AC5C6F">
        <w:t>y compris</w:t>
      </w:r>
      <w:r w:rsidR="1CFABE83">
        <w:t>,</w:t>
      </w:r>
      <w:r>
        <w:t xml:space="preserve"> la mise à disposition à titre onéreux, même à titre occasionnel, d'une ou de plusieurs pièces existantes à titre d'hébergement touristique dans une construction dont ce n'est pas la fonction initiale</w:t>
      </w:r>
      <w:r w:rsidR="301CA7B0">
        <w:t>.</w:t>
      </w:r>
    </w:p>
    <w:p w14:paraId="4A2536C5" w14:textId="0B822CE8" w:rsidR="00795C3E" w:rsidRPr="004E425F" w:rsidRDefault="00795C3E" w:rsidP="00795C3E">
      <w:pPr>
        <w:spacing w:before="120"/>
        <w:textAlignment w:val="baseline"/>
      </w:pPr>
      <w:r w:rsidRPr="004E425F">
        <w:t>Néanmoins, la mise à disposition en tant qu'hébergement touristique de moins de six chambres occupées à titre d'hébergement touristique chez l'habitant</w:t>
      </w:r>
      <w:r w:rsidR="00393DBA">
        <w:t xml:space="preserve"> (chambres d’hôtes)</w:t>
      </w:r>
      <w:r w:rsidRPr="004E425F">
        <w:t xml:space="preserve"> n'est pas soumise à permis d'urbanisme.</w:t>
      </w:r>
      <w:r>
        <w:t xml:space="preserve"> </w:t>
      </w:r>
    </w:p>
    <w:p w14:paraId="2CE6D680" w14:textId="3A6EECB4" w:rsidR="00795C3E" w:rsidRPr="004E425F" w:rsidRDefault="00795C3E" w:rsidP="00795C3E">
      <w:pPr>
        <w:spacing w:before="120"/>
        <w:textAlignment w:val="baseline"/>
      </w:pPr>
      <w:r w:rsidRPr="004E425F">
        <w:t>Il est toujours possible</w:t>
      </w:r>
      <w:r w:rsidR="00393DBA">
        <w:t>, sans permis d’urbanisme,</w:t>
      </w:r>
      <w:r w:rsidRPr="004E425F">
        <w:t xml:space="preserve"> de mettre à disposition, GRATUITEMENT et sans permis d’urbanisme, une seconde résidence. </w:t>
      </w:r>
      <w:r w:rsidRPr="00F91BDD">
        <w:rPr>
          <w:rFonts w:cs="Calibri Light"/>
        </w:rPr>
        <w:t xml:space="preserve">  </w:t>
      </w:r>
    </w:p>
    <w:p w14:paraId="3DE0FA29" w14:textId="77777777" w:rsidR="00795C3E" w:rsidRPr="004E425F" w:rsidRDefault="00795C3E" w:rsidP="00795C3E">
      <w:pPr>
        <w:spacing w:before="120"/>
        <w:textAlignment w:val="baseline"/>
      </w:pPr>
      <w:r w:rsidRPr="004E425F">
        <w:t>Pour le surplus, je vous renvoie au contenu de la circulaire du 16 décembre 2022 du Vice-Président de la Wallonie et du Ministre de l’Aménagement du Territoire relative à la création d’hébergements touristiques.</w:t>
      </w:r>
    </w:p>
    <w:p w14:paraId="7AE9C0FF" w14:textId="77777777" w:rsidR="00795C3E" w:rsidRPr="00506657" w:rsidRDefault="00795C3E" w:rsidP="00795C3E">
      <w:pPr>
        <w:spacing w:before="120"/>
        <w:textAlignment w:val="baseline"/>
        <w:rPr>
          <w:u w:val="single"/>
        </w:rPr>
      </w:pPr>
      <w:r w:rsidRPr="00506657">
        <w:rPr>
          <w:u w:val="single"/>
        </w:rPr>
        <w:t>TOURISME</w:t>
      </w:r>
      <w:r w:rsidRPr="00506657">
        <w:rPr>
          <w:rFonts w:cs="Calibri Light"/>
          <w:u w:val="single"/>
        </w:rPr>
        <w:t xml:space="preserve"> </w:t>
      </w:r>
    </w:p>
    <w:p w14:paraId="749DE920" w14:textId="77777777" w:rsidR="00795C3E" w:rsidRPr="004E425F" w:rsidRDefault="00795C3E" w:rsidP="00795C3E">
      <w:pPr>
        <w:spacing w:before="120"/>
        <w:textAlignment w:val="baseline"/>
      </w:pPr>
      <w:r w:rsidRPr="004E425F">
        <w:t>Toute activité à caractère économique peut être exercée en Wallonie, pour autant qu'elle respecte les lois et règlements en vigueur.</w:t>
      </w:r>
    </w:p>
    <w:p w14:paraId="69055F71" w14:textId="77777777" w:rsidR="00795C3E" w:rsidRPr="00F91BDD" w:rsidRDefault="00795C3E" w:rsidP="00795C3E">
      <w:pPr>
        <w:spacing w:before="120"/>
        <w:textAlignment w:val="baseline"/>
        <w:rPr>
          <w:rFonts w:cs="Calibri Light"/>
        </w:rPr>
      </w:pPr>
      <w:r w:rsidRPr="00F91BDD">
        <w:rPr>
          <w:rFonts w:cs="Calibri Light"/>
        </w:rPr>
        <w:t>Depuis le 1er juillet 2025 et le nouveau Code wallon du Tourisme, tout hébergement touristique</w:t>
      </w:r>
      <w:r w:rsidRPr="004E425F">
        <w:t xml:space="preserve">, qu'il soit </w:t>
      </w:r>
      <w:r w:rsidRPr="00F91BDD">
        <w:rPr>
          <w:rFonts w:cs="Calibri Light"/>
        </w:rPr>
        <w:t>certifié</w:t>
      </w:r>
      <w:r w:rsidRPr="004E425F">
        <w:t xml:space="preserve"> par </w:t>
      </w:r>
      <w:r w:rsidRPr="00F91BDD">
        <w:rPr>
          <w:rFonts w:cs="Calibri Light"/>
        </w:rPr>
        <w:t>Tourisme Wallonie</w:t>
      </w:r>
      <w:r w:rsidRPr="004E425F">
        <w:t xml:space="preserve"> ou pas, </w:t>
      </w:r>
      <w:r w:rsidRPr="00F91BDD">
        <w:rPr>
          <w:rFonts w:cs="Calibri Light"/>
        </w:rPr>
        <w:t xml:space="preserve">doit être enregistré auprès de Tourisme Wallonie. </w:t>
      </w:r>
    </w:p>
    <w:p w14:paraId="0E2B64C5" w14:textId="379EF28B" w:rsidR="00795C3E" w:rsidRPr="004E425F" w:rsidRDefault="00795C3E" w:rsidP="00795C3E">
      <w:pPr>
        <w:spacing w:before="120"/>
        <w:textAlignment w:val="baseline"/>
      </w:pPr>
      <w:r w:rsidRPr="00F91BDD">
        <w:rPr>
          <w:rFonts w:cs="Calibri Light"/>
        </w:rPr>
        <w:t xml:space="preserve">L’hébergement touristique </w:t>
      </w:r>
      <w:r w:rsidRPr="004E425F">
        <w:t xml:space="preserve">est </w:t>
      </w:r>
      <w:r w:rsidRPr="00F91BDD">
        <w:rPr>
          <w:rFonts w:cs="Calibri Light"/>
        </w:rPr>
        <w:t>désormais défini comme le bâtiment,</w:t>
      </w:r>
      <w:r w:rsidRPr="004E425F">
        <w:t xml:space="preserve"> la </w:t>
      </w:r>
      <w:r w:rsidRPr="00F91BDD">
        <w:rPr>
          <w:rFonts w:cs="Calibri Light"/>
        </w:rPr>
        <w:t>partie de bâtiment ou le terrain constitués d'unités d'hébergements mises à disposition de touristes principalement pour y séjourner au moins une nuit, à titre onéreux, de façon régulière ou occasionnelle.</w:t>
      </w:r>
    </w:p>
    <w:p w14:paraId="31C59091" w14:textId="77777777" w:rsidR="00795C3E" w:rsidRPr="004E425F" w:rsidRDefault="00795C3E" w:rsidP="00795C3E">
      <w:pPr>
        <w:spacing w:before="120"/>
        <w:textAlignment w:val="baseline"/>
      </w:pPr>
      <w:r w:rsidRPr="004E425F">
        <w:t xml:space="preserve">En ce qui concerne </w:t>
      </w:r>
      <w:r w:rsidRPr="00F91BDD">
        <w:rPr>
          <w:rFonts w:cs="Calibri Light"/>
        </w:rPr>
        <w:t>l’enregistrement,</w:t>
      </w:r>
      <w:r w:rsidRPr="004E425F">
        <w:t xml:space="preserve"> c’est l’article D</w:t>
      </w:r>
      <w:r w:rsidRPr="00F91BDD">
        <w:rPr>
          <w:rFonts w:cs="Calibri Light"/>
        </w:rPr>
        <w:t>.III.21</w:t>
      </w:r>
      <w:r w:rsidRPr="004E425F">
        <w:t xml:space="preserve"> du Code wallon du Tourisme, qui prévoit que </w:t>
      </w:r>
      <w:r w:rsidRPr="00F91BDD">
        <w:rPr>
          <w:rFonts w:cs="Calibri Light"/>
        </w:rPr>
        <w:t>nul ne peut exploiter un</w:t>
      </w:r>
      <w:r w:rsidRPr="004E425F">
        <w:t xml:space="preserve"> hébergement touristique </w:t>
      </w:r>
      <w:r w:rsidRPr="00F91BDD">
        <w:rPr>
          <w:rFonts w:cs="Calibri Light"/>
        </w:rPr>
        <w:t>sans enregistrer celui-ci comme tel auprès de Tourisme Wallonie. L’article D.III.23</w:t>
      </w:r>
      <w:r w:rsidRPr="004E425F">
        <w:t xml:space="preserve"> du Code wallon du Tourisme </w:t>
      </w:r>
      <w:r w:rsidRPr="00F91BDD">
        <w:rPr>
          <w:rFonts w:cs="Calibri Light"/>
        </w:rPr>
        <w:t>précise les conditions d’enregistrement à savoir :</w:t>
      </w:r>
    </w:p>
    <w:p w14:paraId="0347CA98" w14:textId="42CC9DB3" w:rsidR="00795C3E" w:rsidRPr="00F91BDD" w:rsidRDefault="00795C3E">
      <w:pPr>
        <w:pStyle w:val="Paragraphedeliste"/>
        <w:numPr>
          <w:ilvl w:val="0"/>
          <w:numId w:val="93"/>
        </w:numPr>
        <w:spacing w:before="120"/>
        <w:textAlignment w:val="baseline"/>
        <w:rPr>
          <w:rFonts w:cs="Calibri Light"/>
        </w:rPr>
      </w:pPr>
      <w:r w:rsidRPr="00F91BDD">
        <w:rPr>
          <w:rFonts w:cs="Calibri Light"/>
        </w:rPr>
        <w:t>Disposer d’une attestation de sécurité-incendie délivrée en conformité aux articles D.III.72 et D.III.77 relatifs à la sécurité-incendie et à l'attestation de contrôle simplifié (sauf pour les endroits de camp de type « terrain » et les aires de motor-homes) ;</w:t>
      </w:r>
    </w:p>
    <w:p w14:paraId="044D4E5A" w14:textId="3F1B04D9" w:rsidR="00795C3E" w:rsidRPr="00F91BDD" w:rsidRDefault="00795C3E">
      <w:pPr>
        <w:numPr>
          <w:ilvl w:val="0"/>
          <w:numId w:val="93"/>
        </w:numPr>
        <w:spacing w:before="120"/>
        <w:textAlignment w:val="baseline"/>
        <w:rPr>
          <w:rFonts w:cs="Calibri Light"/>
        </w:rPr>
      </w:pPr>
      <w:r w:rsidRPr="00F91BDD">
        <w:rPr>
          <w:rFonts w:cs="Calibri Light"/>
        </w:rPr>
        <w:t>Disposer d'un extrait de casier judiciaire destiné à une administration publique et délivré depuis moins de six mois, suivant le cas, soit au nom de la personne physique - exploitant, soit au nom de la personne physique qui peut valablement engager l'exploitant - personne morale, et au nom du gestionnaire.</w:t>
      </w:r>
    </w:p>
    <w:p w14:paraId="24C38307" w14:textId="77777777" w:rsidR="00795C3E" w:rsidRPr="00506657" w:rsidRDefault="00795C3E" w:rsidP="00795C3E">
      <w:pPr>
        <w:spacing w:before="120"/>
        <w:textAlignment w:val="baseline"/>
      </w:pPr>
      <w:r w:rsidRPr="00F91BDD">
        <w:rPr>
          <w:rFonts w:cs="Calibri Light"/>
        </w:rPr>
        <w:lastRenderedPageBreak/>
        <w:t>La certification</w:t>
      </w:r>
      <w:r w:rsidRPr="004E425F">
        <w:t xml:space="preserve"> délivrée par </w:t>
      </w:r>
      <w:r w:rsidRPr="00F91BDD">
        <w:rPr>
          <w:rFonts w:cs="Calibri Light"/>
        </w:rPr>
        <w:t>Tourisme Wallonie</w:t>
      </w:r>
      <w:r w:rsidRPr="004E425F">
        <w:t xml:space="preserve"> n'est quant à elle pas obligatoire</w:t>
      </w:r>
      <w:r w:rsidRPr="00F91BDD">
        <w:rPr>
          <w:rFonts w:cs="Calibri Light"/>
        </w:rPr>
        <w:t>.</w:t>
      </w:r>
      <w:r w:rsidRPr="004E425F">
        <w:t xml:space="preserve"> Elle donne cependant droit à divers avantages.</w:t>
      </w:r>
      <w:r w:rsidRPr="00F91BDD">
        <w:rPr>
          <w:rFonts w:cs="Calibri Light"/>
        </w:rPr>
        <w:t xml:space="preserve"> </w:t>
      </w:r>
      <w:r w:rsidRPr="004E425F">
        <w:t xml:space="preserve"> </w:t>
      </w:r>
    </w:p>
    <w:p w14:paraId="7B865D16" w14:textId="77777777" w:rsidR="00795C3E" w:rsidRPr="004E425F" w:rsidRDefault="00795C3E" w:rsidP="00795C3E">
      <w:pPr>
        <w:spacing w:before="120"/>
        <w:textAlignment w:val="baseline"/>
      </w:pPr>
      <w:r w:rsidRPr="004E425F">
        <w:t xml:space="preserve">En ce qui concerne l'exploitation d'un hébergement touristique (HT), les démarches peuvent se scinder en </w:t>
      </w:r>
      <w:r>
        <w:t>2</w:t>
      </w:r>
      <w:r w:rsidRPr="004E425F">
        <w:t xml:space="preserve"> étapes :</w:t>
      </w:r>
    </w:p>
    <w:p w14:paraId="6CAE0203" w14:textId="3F18E8C2" w:rsidR="00795C3E" w:rsidRPr="00506657" w:rsidRDefault="00795C3E">
      <w:pPr>
        <w:pStyle w:val="Paragraphedeliste"/>
        <w:numPr>
          <w:ilvl w:val="3"/>
          <w:numId w:val="45"/>
        </w:numPr>
        <w:spacing w:before="120" w:after="120" w:line="240" w:lineRule="auto"/>
        <w:contextualSpacing w:val="0"/>
        <w:textAlignment w:val="baseline"/>
      </w:pPr>
      <w:r w:rsidRPr="00CF10FF">
        <w:rPr>
          <w:b/>
          <w:bCs/>
        </w:rPr>
        <w:t xml:space="preserve">Etape OBLIGATOIRE – </w:t>
      </w:r>
      <w:r w:rsidRPr="00CF10FF">
        <w:rPr>
          <w:rFonts w:cs="Calibri Light"/>
          <w:b/>
          <w:bCs/>
        </w:rPr>
        <w:t>L’enregistrement</w:t>
      </w:r>
      <w:r w:rsidRPr="00506657">
        <w:rPr>
          <w:rFonts w:cs="Calibri Light"/>
        </w:rPr>
        <w:t xml:space="preserve"> </w:t>
      </w:r>
      <w:r w:rsidRPr="00506657">
        <w:t xml:space="preserve">: L'exploitant ou le candidat exploitant d'un HT doit </w:t>
      </w:r>
      <w:r w:rsidRPr="00506657">
        <w:rPr>
          <w:rFonts w:cs="Calibri Light"/>
        </w:rPr>
        <w:t>s’enregistrer</w:t>
      </w:r>
      <w:r w:rsidRPr="00506657">
        <w:t xml:space="preserve"> auprès de </w:t>
      </w:r>
      <w:r w:rsidRPr="00506657">
        <w:rPr>
          <w:rFonts w:cs="Calibri Light"/>
        </w:rPr>
        <w:t>Wallonie Tourisme via le</w:t>
      </w:r>
      <w:r w:rsidR="00EF4D68">
        <w:rPr>
          <w:rFonts w:cs="Calibri Light"/>
        </w:rPr>
        <w:t>-a plateforme</w:t>
      </w:r>
      <w:r w:rsidRPr="00506657">
        <w:rPr>
          <w:rFonts w:cs="Calibri Light"/>
        </w:rPr>
        <w:t xml:space="preserve"> et </w:t>
      </w:r>
      <w:r w:rsidRPr="00506657">
        <w:t xml:space="preserve">respecter les </w:t>
      </w:r>
      <w:r w:rsidRPr="00506657">
        <w:rPr>
          <w:rFonts w:cs="Calibri Light"/>
        </w:rPr>
        <w:t>3</w:t>
      </w:r>
      <w:r w:rsidRPr="00506657">
        <w:t xml:space="preserve"> conditions de base imposées par le Code Wallon du tourisme, à savoir :</w:t>
      </w:r>
    </w:p>
    <w:p w14:paraId="6A901204" w14:textId="77777777" w:rsidR="00795C3E" w:rsidRDefault="00795C3E">
      <w:pPr>
        <w:pStyle w:val="Paragraphedeliste"/>
        <w:numPr>
          <w:ilvl w:val="0"/>
          <w:numId w:val="46"/>
        </w:numPr>
        <w:spacing w:before="120" w:after="120" w:line="240" w:lineRule="auto"/>
        <w:contextualSpacing w:val="0"/>
        <w:textAlignment w:val="baseline"/>
      </w:pPr>
      <w:r w:rsidRPr="00506657">
        <w:t>Détenir une attestation de sécurité-incendie (ou de contrôle simplifié) pour l'HT en question</w:t>
      </w:r>
      <w:r w:rsidRPr="00506657">
        <w:rPr>
          <w:rFonts w:cs="Calibri Light"/>
        </w:rPr>
        <w:t xml:space="preserve"> (sauf pour les endroits de camp de type « terrain » et les aires de motor-homes) </w:t>
      </w:r>
      <w:r w:rsidRPr="00506657">
        <w:t>;</w:t>
      </w:r>
    </w:p>
    <w:p w14:paraId="34101712" w14:textId="77777777" w:rsidR="00795C3E" w:rsidRPr="00506657" w:rsidRDefault="00795C3E">
      <w:pPr>
        <w:pStyle w:val="Paragraphedeliste"/>
        <w:numPr>
          <w:ilvl w:val="0"/>
          <w:numId w:val="46"/>
        </w:numPr>
        <w:spacing w:before="120" w:after="120" w:line="240" w:lineRule="auto"/>
        <w:contextualSpacing w:val="0"/>
        <w:textAlignment w:val="baseline"/>
      </w:pPr>
      <w:r w:rsidRPr="00506657">
        <w:rPr>
          <w:rFonts w:cs="Calibri Light"/>
        </w:rPr>
        <w:t>Disposer d'un extrait de casier judiciaire destiné à une administration publique et délivré depuis moins de six mois, suivant le cas, soit au nom de la personne physique - exploitant, soit au nom de la personne physique qui peut valablement engager l'exploitant - personne morale, et au nom du gestionnaire ;</w:t>
      </w:r>
    </w:p>
    <w:p w14:paraId="6851CB6D" w14:textId="77777777" w:rsidR="00795C3E" w:rsidRPr="00CF10FF" w:rsidRDefault="00795C3E">
      <w:pPr>
        <w:pStyle w:val="Paragraphedeliste"/>
        <w:numPr>
          <w:ilvl w:val="0"/>
          <w:numId w:val="46"/>
        </w:numPr>
        <w:spacing w:before="120" w:after="120" w:line="240" w:lineRule="auto"/>
        <w:contextualSpacing w:val="0"/>
        <w:textAlignment w:val="baseline"/>
      </w:pPr>
      <w:r w:rsidRPr="00506657">
        <w:t>Ne pas proposer une durée de séjour inférieure à 1 nuit</w:t>
      </w:r>
      <w:r w:rsidRPr="00506657">
        <w:rPr>
          <w:rFonts w:cs="Calibri Light"/>
        </w:rPr>
        <w:t xml:space="preserve"> (découlant de la définition même de l’HT).</w:t>
      </w:r>
    </w:p>
    <w:p w14:paraId="24F61627" w14:textId="77777777" w:rsidR="00795C3E" w:rsidRPr="00CF10FF" w:rsidRDefault="00795C3E">
      <w:pPr>
        <w:pStyle w:val="Paragraphedeliste"/>
        <w:numPr>
          <w:ilvl w:val="3"/>
          <w:numId w:val="45"/>
        </w:numPr>
        <w:spacing w:before="120" w:after="120" w:line="240" w:lineRule="auto"/>
        <w:contextualSpacing w:val="0"/>
        <w:textAlignment w:val="baseline"/>
      </w:pPr>
      <w:r w:rsidRPr="00CF10FF">
        <w:rPr>
          <w:b/>
          <w:bCs/>
        </w:rPr>
        <w:t xml:space="preserve">Etape FACULTATIVE – </w:t>
      </w:r>
      <w:r w:rsidRPr="00CF10FF">
        <w:rPr>
          <w:rFonts w:cs="Calibri Light"/>
          <w:b/>
          <w:bCs/>
        </w:rPr>
        <w:t>La certification</w:t>
      </w:r>
      <w:r w:rsidRPr="00CF10FF">
        <w:t xml:space="preserve"> : L'exploitant ou le candidat exploitant d'un HT peut solliciter une </w:t>
      </w:r>
      <w:r w:rsidRPr="00CF10FF">
        <w:rPr>
          <w:rFonts w:cs="Calibri Light"/>
        </w:rPr>
        <w:t>certification</w:t>
      </w:r>
      <w:r w:rsidRPr="00CF10FF">
        <w:t xml:space="preserve"> auprès </w:t>
      </w:r>
      <w:r w:rsidRPr="00CF10FF">
        <w:rPr>
          <w:rFonts w:cs="Calibri Light"/>
        </w:rPr>
        <w:t xml:space="preserve">de Tourisme </w:t>
      </w:r>
      <w:r w:rsidRPr="00CF10FF">
        <w:t>Wallonie</w:t>
      </w:r>
      <w:r w:rsidRPr="00CF10FF">
        <w:rPr>
          <w:rFonts w:cs="Calibri Light"/>
        </w:rPr>
        <w:t>. Il existe deux types de certification</w:t>
      </w:r>
      <w:r w:rsidRPr="00CF10FF">
        <w:t>.</w:t>
      </w:r>
    </w:p>
    <w:p w14:paraId="4B906F41" w14:textId="1764EB1B" w:rsidR="00795C3E" w:rsidRPr="004311A6" w:rsidRDefault="00795C3E" w:rsidP="35BD9115">
      <w:pPr>
        <w:pStyle w:val="Titre3"/>
        <w:rPr>
          <w:caps/>
        </w:rPr>
      </w:pPr>
      <w:bookmarkStart w:id="2794" w:name="_Toc143779205"/>
      <w:bookmarkStart w:id="2795" w:name="_Toc208420115"/>
      <w:bookmarkStart w:id="2796" w:name="_Toc225504345"/>
      <w:bookmarkStart w:id="2797" w:name="_Toc225772434"/>
      <w:bookmarkStart w:id="2798" w:name="_Toc233626301"/>
      <w:r w:rsidRPr="004311A6">
        <w:t>040/364-27 : Terrains de camping</w:t>
      </w:r>
      <w:bookmarkEnd w:id="2794"/>
      <w:bookmarkEnd w:id="2795"/>
      <w:bookmarkEnd w:id="2796"/>
      <w:bookmarkEnd w:id="2797"/>
      <w:bookmarkEnd w:id="2798"/>
      <w:r w:rsidRPr="004311A6">
        <w:t xml:space="preserve"> </w:t>
      </w:r>
    </w:p>
    <w:p w14:paraId="7F08E9B3" w14:textId="77777777" w:rsidR="00795C3E" w:rsidRPr="004E425F" w:rsidRDefault="00795C3E" w:rsidP="00795C3E">
      <w:pPr>
        <w:spacing w:before="120"/>
        <w:textAlignment w:val="baseline"/>
        <w:rPr>
          <w:spacing w:val="-1"/>
        </w:rPr>
      </w:pPr>
      <w:r w:rsidRPr="004E425F">
        <w:rPr>
          <w:spacing w:val="-1"/>
        </w:rPr>
        <w:t>Taxe directe – Modèle disponible.</w:t>
      </w:r>
    </w:p>
    <w:p w14:paraId="13FA771C" w14:textId="77777777" w:rsidR="00795C3E" w:rsidRPr="00F91BDD" w:rsidRDefault="00795C3E" w:rsidP="00795C3E">
      <w:pPr>
        <w:spacing w:before="120"/>
        <w:textAlignment w:val="baseline"/>
        <w:rPr>
          <w:rFonts w:cs="Calibri Light"/>
          <w:spacing w:val="-1"/>
        </w:rPr>
      </w:pPr>
      <w:r w:rsidRPr="00F91BDD">
        <w:rPr>
          <w:rFonts w:cs="Calibri Light"/>
          <w:spacing w:val="-1"/>
        </w:rPr>
        <w:t>Depuis le 1</w:t>
      </w:r>
      <w:r w:rsidRPr="00F91BDD">
        <w:rPr>
          <w:rFonts w:cs="Calibri Light"/>
          <w:spacing w:val="-1"/>
          <w:vertAlign w:val="superscript"/>
        </w:rPr>
        <w:t>er</w:t>
      </w:r>
      <w:r w:rsidRPr="00F91BDD">
        <w:rPr>
          <w:rFonts w:cs="Calibri Light"/>
          <w:spacing w:val="-1"/>
        </w:rPr>
        <w:t xml:space="preserve"> juillet 2025 et le nouveau Code du Tourisme, tout hébergement touristique, qu'il soit certifié par Wallonie Tourisme ou pas, doit être enregistré auprès de Tourisme Wallonie.</w:t>
      </w:r>
    </w:p>
    <w:p w14:paraId="0AB8230D" w14:textId="67CB818E" w:rsidR="00795C3E" w:rsidRPr="00F91BDD" w:rsidRDefault="00795C3E" w:rsidP="00795C3E">
      <w:pPr>
        <w:spacing w:before="120"/>
        <w:textAlignment w:val="baseline"/>
        <w:rPr>
          <w:rFonts w:cs="Calibri Light"/>
          <w:spacing w:val="-1"/>
        </w:rPr>
      </w:pPr>
      <w:r w:rsidRPr="00F91BDD">
        <w:rPr>
          <w:rFonts w:cs="Calibri Light"/>
          <w:spacing w:val="-1"/>
        </w:rPr>
        <w:t>L’hébergement touristique (HT) est désormais défini comme le bâtiment, la partie de bâtiment ou le terrain constitués d'unités d'hébergements mises à disposition de touristes principalement pour y séjourner au moins une nuit, à titre onéreux, de façon régulière ou occasionnelle.</w:t>
      </w:r>
    </w:p>
    <w:p w14:paraId="55254DD6" w14:textId="77777777" w:rsidR="00795C3E" w:rsidRPr="00F91BDD" w:rsidRDefault="00795C3E" w:rsidP="00795C3E">
      <w:pPr>
        <w:spacing w:before="120"/>
        <w:textAlignment w:val="baseline"/>
        <w:rPr>
          <w:rFonts w:cs="Calibri Light"/>
          <w:spacing w:val="-1"/>
        </w:rPr>
      </w:pPr>
      <w:r w:rsidRPr="00F91BDD">
        <w:rPr>
          <w:rFonts w:cs="Calibri Light"/>
          <w:spacing w:val="-1"/>
        </w:rPr>
        <w:t>Désormais, pour pouvoir utiliser la dénomination « camping touristique », l’HT doit être certifié sous dénomination auprès de Tourisme Wallonie.</w:t>
      </w:r>
    </w:p>
    <w:p w14:paraId="1327F9B7" w14:textId="77777777" w:rsidR="00795C3E" w:rsidRPr="00F91BDD" w:rsidRDefault="00795C3E" w:rsidP="00795C3E">
      <w:pPr>
        <w:spacing w:before="120"/>
        <w:textAlignment w:val="baseline"/>
        <w:rPr>
          <w:rFonts w:cs="Calibri Light"/>
          <w:spacing w:val="-1"/>
        </w:rPr>
      </w:pPr>
      <w:r w:rsidRPr="00F91BDD">
        <w:rPr>
          <w:rFonts w:cs="Calibri Light"/>
          <w:spacing w:val="-1"/>
        </w:rPr>
        <w:t xml:space="preserve">Le nouveau Code du Tourisme distingue deux types d’emplacements en fonction des abris qu’ils accueillent : </w:t>
      </w:r>
    </w:p>
    <w:p w14:paraId="7FA39554" w14:textId="0536143C" w:rsidR="00795C3E" w:rsidRPr="00F91BDD" w:rsidRDefault="00795C3E" w:rsidP="00795C3E">
      <w:pPr>
        <w:spacing w:before="120"/>
        <w:textAlignment w:val="baseline"/>
        <w:rPr>
          <w:rFonts w:cs="Calibri Light"/>
          <w:spacing w:val="-1"/>
        </w:rPr>
      </w:pPr>
      <w:r w:rsidRPr="00F91BDD">
        <w:rPr>
          <w:rFonts w:cs="Calibri Light"/>
          <w:spacing w:val="-1"/>
        </w:rPr>
        <w:t>1° L’abri mobile défini comme</w:t>
      </w:r>
      <w:r>
        <w:rPr>
          <w:rFonts w:cs="Calibri Light"/>
          <w:spacing w:val="-1"/>
        </w:rPr>
        <w:t xml:space="preserve"> l’installation d’hébergement déplaçable ou aisément démontable mise à disposition du touriste et apportée par ce dernier ou mise à sa disposition par l’exploitant au sein de l’hébergement touristique </w:t>
      </w:r>
      <w:r w:rsidRPr="00F91BDD">
        <w:rPr>
          <w:rFonts w:cs="Calibri Light"/>
          <w:spacing w:val="-1"/>
        </w:rPr>
        <w:t xml:space="preserve">; </w:t>
      </w:r>
    </w:p>
    <w:p w14:paraId="41A4AC08" w14:textId="06B2E7A4" w:rsidR="00795C3E" w:rsidRPr="00F91BDD" w:rsidRDefault="00795C3E" w:rsidP="00795C3E">
      <w:pPr>
        <w:spacing w:before="120"/>
        <w:textAlignment w:val="baseline"/>
        <w:rPr>
          <w:rFonts w:cs="Calibri Light"/>
          <w:spacing w:val="-1"/>
        </w:rPr>
      </w:pPr>
      <w:r w:rsidRPr="00F91BDD">
        <w:rPr>
          <w:rFonts w:cs="Calibri Light"/>
          <w:spacing w:val="-1"/>
        </w:rPr>
        <w:t>2° L’abri fixe défini comme l’infrastructure de logement mise à disposition des touristes par l’exploitant de l’hébergement touristique, présente de manière ininterrompue et immobile au sein d’un hébergement touristique durant toute la période d’ouverture de celui-ci.</w:t>
      </w:r>
    </w:p>
    <w:p w14:paraId="656873C3" w14:textId="099CC67B" w:rsidR="00795C3E" w:rsidRPr="00F91BDD" w:rsidRDefault="00795C3E" w:rsidP="00795C3E">
      <w:pPr>
        <w:spacing w:before="120"/>
        <w:textAlignment w:val="baseline"/>
        <w:rPr>
          <w:rFonts w:cs="Calibri Light"/>
          <w:spacing w:val="-1"/>
        </w:rPr>
      </w:pPr>
      <w:r w:rsidRPr="00F91BDD">
        <w:rPr>
          <w:rFonts w:cs="Calibri Light"/>
          <w:spacing w:val="-1"/>
        </w:rPr>
        <w:lastRenderedPageBreak/>
        <w:t xml:space="preserve">Seuls les campings certifiés sous dénomination « camping touristique » doivent respecter le fait que les abris sur les emplacements, qu'ils soient fixes ou </w:t>
      </w:r>
      <w:r w:rsidR="00F900F1" w:rsidRPr="00F91BDD">
        <w:rPr>
          <w:rFonts w:cs="Calibri Light"/>
          <w:spacing w:val="-1"/>
        </w:rPr>
        <w:t>mobiles, aient</w:t>
      </w:r>
      <w:r w:rsidR="6108012D" w:rsidRPr="00F91BDD">
        <w:rPr>
          <w:rFonts w:cs="Calibri Light"/>
          <w:spacing w:val="-1"/>
        </w:rPr>
        <w:t xml:space="preserve"> </w:t>
      </w:r>
      <w:r w:rsidRPr="00F91BDD">
        <w:rPr>
          <w:rFonts w:cs="Calibri Light"/>
          <w:spacing w:val="-1"/>
        </w:rPr>
        <w:t>une superficie maximale d’occupation du sol d'un tiers de la superficie totale de l'emplacement, auvent et terrasse compris.</w:t>
      </w:r>
    </w:p>
    <w:p w14:paraId="732DFD44" w14:textId="77777777" w:rsidR="00795C3E" w:rsidRPr="00F91BDD" w:rsidRDefault="00795C3E" w:rsidP="00795C3E">
      <w:pPr>
        <w:spacing w:before="120"/>
        <w:textAlignment w:val="baseline"/>
        <w:rPr>
          <w:rFonts w:cs="Calibri Light"/>
          <w:spacing w:val="-1"/>
        </w:rPr>
      </w:pPr>
      <w:r w:rsidRPr="00F91BDD">
        <w:rPr>
          <w:rFonts w:cs="Calibri Light"/>
          <w:spacing w:val="-1"/>
        </w:rPr>
        <w:t>Dès lors qu’il n’existe plus aucune obligation de surface minimale pour les emplacements que le camping soit certifié ou non ou de superficie maximale d’occupation du sol pour les campings non certifiés sous dénomination, la taxe sera fixée</w:t>
      </w:r>
      <w:r>
        <w:rPr>
          <w:rFonts w:cs="Calibri Light"/>
          <w:spacing w:val="-1"/>
        </w:rPr>
        <w:t xml:space="preserve"> selon qu’il s’agisse d’un emplacement accueillant un abri mobile ou un abri fixe.</w:t>
      </w:r>
    </w:p>
    <w:p w14:paraId="465A1C74" w14:textId="77777777" w:rsidR="00795C3E" w:rsidRPr="00F91BDD" w:rsidRDefault="00795C3E" w:rsidP="00795C3E">
      <w:pPr>
        <w:spacing w:before="120"/>
        <w:textAlignment w:val="baseline"/>
        <w:rPr>
          <w:rFonts w:cs="Calibri Light"/>
          <w:spacing w:val="-1"/>
        </w:rPr>
      </w:pPr>
      <w:r w:rsidRPr="00F91BDD">
        <w:rPr>
          <w:rFonts w:cs="Calibri Light"/>
          <w:spacing w:val="-1"/>
        </w:rPr>
        <w:t>Taux maximum recommandés :</w:t>
      </w:r>
    </w:p>
    <w:p w14:paraId="0A0266A2" w14:textId="77777777" w:rsidR="00795C3E" w:rsidRPr="004E425F" w:rsidRDefault="00795C3E">
      <w:pPr>
        <w:pStyle w:val="Paragraphedeliste"/>
        <w:numPr>
          <w:ilvl w:val="0"/>
          <w:numId w:val="92"/>
        </w:numPr>
        <w:spacing w:before="120"/>
        <w:textAlignment w:val="baseline"/>
        <w:rPr>
          <w:rFonts w:cs="Calibri Light"/>
          <w:spacing w:val="-1"/>
        </w:rPr>
      </w:pPr>
      <w:r w:rsidRPr="004E425F">
        <w:rPr>
          <w:rFonts w:cs="Calibri Light"/>
          <w:spacing w:val="-1"/>
        </w:rPr>
        <w:t>85 euros par emplacement accueillant un ou des abri(s) mobile(s)</w:t>
      </w:r>
    </w:p>
    <w:p w14:paraId="19281C30" w14:textId="77777777" w:rsidR="00795C3E" w:rsidRPr="00DE11CC" w:rsidRDefault="00795C3E">
      <w:pPr>
        <w:pStyle w:val="Paragraphedeliste"/>
        <w:numPr>
          <w:ilvl w:val="0"/>
          <w:numId w:val="91"/>
        </w:numPr>
        <w:spacing w:before="120"/>
        <w:textAlignment w:val="baseline"/>
        <w:rPr>
          <w:rFonts w:cs="Calibri Light"/>
          <w:spacing w:val="-1"/>
        </w:rPr>
      </w:pPr>
      <w:r w:rsidRPr="004E425F">
        <w:rPr>
          <w:rFonts w:cs="Calibri Light"/>
          <w:spacing w:val="-1"/>
        </w:rPr>
        <w:t>135 euros par emplacement accueillant un ou des abri(s) fixe(s)</w:t>
      </w:r>
      <w:bookmarkStart w:id="2799" w:name="_Toc143779206"/>
    </w:p>
    <w:p w14:paraId="32CE0DEB" w14:textId="71871F12" w:rsidR="00795C3E" w:rsidRPr="004311A6" w:rsidRDefault="00795C3E" w:rsidP="35BD9115">
      <w:pPr>
        <w:pStyle w:val="Titre3"/>
        <w:rPr>
          <w:caps/>
        </w:rPr>
      </w:pPr>
      <w:bookmarkStart w:id="2800" w:name="_Toc208420116"/>
      <w:bookmarkStart w:id="2801" w:name="_Toc225504346"/>
      <w:bookmarkStart w:id="2802" w:name="_Toc225772435"/>
      <w:bookmarkStart w:id="2803" w:name="_Toc233626302"/>
      <w:r w:rsidRPr="004311A6">
        <w:t>040/364-29 : Dépôts de mitrailles et de véhicules usagés et véhicules isolés abandonnés</w:t>
      </w:r>
      <w:bookmarkEnd w:id="2799"/>
      <w:bookmarkEnd w:id="2800"/>
      <w:bookmarkEnd w:id="2801"/>
      <w:bookmarkEnd w:id="2802"/>
      <w:bookmarkEnd w:id="2803"/>
      <w:r w:rsidRPr="004311A6">
        <w:t xml:space="preserve"> </w:t>
      </w:r>
    </w:p>
    <w:p w14:paraId="25F8B7DB" w14:textId="77777777" w:rsidR="00795C3E" w:rsidRPr="00F91BDD" w:rsidRDefault="00795C3E" w:rsidP="00795C3E">
      <w:pPr>
        <w:spacing w:before="120"/>
        <w:rPr>
          <w:rFonts w:cs="Calibri Light"/>
          <w:spacing w:val="-3"/>
        </w:rPr>
      </w:pPr>
      <w:r w:rsidRPr="00F91BDD">
        <w:rPr>
          <w:rFonts w:cs="Calibri Light"/>
          <w:spacing w:val="-3"/>
        </w:rPr>
        <w:t>Taxe directe – Modèle disponible.</w:t>
      </w:r>
    </w:p>
    <w:p w14:paraId="65EF3F96" w14:textId="5C5865C3" w:rsidR="00795C3E" w:rsidRPr="00F91BDD" w:rsidRDefault="00795C3E" w:rsidP="5672AB13">
      <w:pPr>
        <w:spacing w:before="120"/>
        <w:textAlignment w:val="baseline"/>
        <w:rPr>
          <w:rFonts w:cs="Calibri Light"/>
        </w:rPr>
      </w:pPr>
      <w:r w:rsidRPr="00F91BDD">
        <w:rPr>
          <w:rFonts w:cs="Calibri Light"/>
          <w:spacing w:val="-3"/>
        </w:rPr>
        <w:t xml:space="preserve">La nature et l’objet de la taxe étant différents, je vous invite à adopter des règlements distincts en ce qui concerne la taxe sur les dépôts de mitrailles et de véhicules usagés (04001/364-29 – taxe directe) et la taxe sur les véhicules isolés abandonnés (04002/364-29 – taxe indirecte). </w:t>
      </w:r>
    </w:p>
    <w:p w14:paraId="51B20AF9" w14:textId="77777777" w:rsidR="00795C3E" w:rsidRPr="00F91BDD" w:rsidRDefault="00795C3E" w:rsidP="00795C3E">
      <w:pPr>
        <w:spacing w:before="120"/>
        <w:textAlignment w:val="baseline"/>
        <w:rPr>
          <w:rFonts w:cs="Calibri Light"/>
        </w:rPr>
      </w:pPr>
      <w:r w:rsidRPr="00F91BDD">
        <w:rPr>
          <w:rFonts w:cs="Calibri Light"/>
          <w:spacing w:val="-3"/>
        </w:rPr>
        <w:t xml:space="preserve">En effet, la taxe sur le dépôt de </w:t>
      </w:r>
      <w:r w:rsidRPr="00F91BDD">
        <w:rPr>
          <w:rFonts w:cs="Calibri Light"/>
        </w:rPr>
        <w:t>mitrailles et de véhicules usagés vise exclusivement une exploitation commerciale alors que la taxe sur les véhicules isolés abandonnés vise un particulier.</w:t>
      </w:r>
    </w:p>
    <w:p w14:paraId="365BD810" w14:textId="2E9686BC" w:rsidR="00795C3E" w:rsidRPr="00F91BDD" w:rsidRDefault="00795C3E" w:rsidP="00795C3E">
      <w:pPr>
        <w:spacing w:before="120"/>
        <w:textAlignment w:val="baseline"/>
        <w:rPr>
          <w:rFonts w:cs="Calibri Light"/>
        </w:rPr>
      </w:pPr>
      <w:bookmarkStart w:id="2804" w:name="_Hlk34938360"/>
      <w:r w:rsidRPr="00F91BDD">
        <w:rPr>
          <w:rFonts w:cs="Calibri Light"/>
        </w:rPr>
        <w:t>Par véhicule abandonné, on entend tout véhicule destiné au transport de personnes et</w:t>
      </w:r>
      <w:r w:rsidR="60C7EDA4" w:rsidRPr="5672AB13">
        <w:rPr>
          <w:rFonts w:cs="Calibri Light"/>
        </w:rPr>
        <w:t>/</w:t>
      </w:r>
      <w:r w:rsidRPr="00F91BDD">
        <w:rPr>
          <w:rFonts w:cs="Calibri Light"/>
        </w:rPr>
        <w:t>ou de biens qui n'est plus en état d'être déplacé par sa propre force motrice ou qui ne dispose pas d’un certificat de contrôle technique en cours de validité lui permettant de circuler, qu'il soit visible ou non de la voie publique et recouvert ou non d'une bâche ou de tout autre moyen similaire de couverture.</w:t>
      </w:r>
      <w:r w:rsidR="67EE3C6A" w:rsidRPr="5672AB13">
        <w:rPr>
          <w:rFonts w:cs="Calibri Light"/>
        </w:rPr>
        <w:t xml:space="preserve"> </w:t>
      </w:r>
    </w:p>
    <w:p w14:paraId="7C7C9CF9" w14:textId="77777777" w:rsidR="00795C3E" w:rsidRPr="00F91BDD" w:rsidRDefault="00795C3E" w:rsidP="00795C3E">
      <w:pPr>
        <w:spacing w:before="120"/>
        <w:textAlignment w:val="baseline"/>
        <w:rPr>
          <w:rFonts w:cs="Calibri Light"/>
        </w:rPr>
      </w:pPr>
      <w:bookmarkStart w:id="2805" w:name="_Hlk39393852"/>
      <w:r w:rsidRPr="00F91BDD">
        <w:rPr>
          <w:rFonts w:cs="Calibri Light"/>
        </w:rPr>
        <w:t>Il ressort de cette définition que la taxe sur les véhicules isolés abandonnés ne concerne que les véhicules sur les terrains privés.</w:t>
      </w:r>
    </w:p>
    <w:bookmarkEnd w:id="2804"/>
    <w:bookmarkEnd w:id="2805"/>
    <w:p w14:paraId="539F0161" w14:textId="77777777" w:rsidR="00795C3E" w:rsidRPr="00F91BDD" w:rsidRDefault="00795C3E" w:rsidP="00795C3E">
      <w:pPr>
        <w:spacing w:before="120"/>
        <w:textAlignment w:val="baseline"/>
        <w:rPr>
          <w:rFonts w:cs="Calibri Light"/>
          <w:spacing w:val="-1"/>
        </w:rPr>
      </w:pPr>
      <w:r w:rsidRPr="00F91BDD">
        <w:rPr>
          <w:rFonts w:cs="Calibri Light"/>
          <w:spacing w:val="-1"/>
        </w:rPr>
        <w:t>Taux maxima recommandés :</w:t>
      </w:r>
    </w:p>
    <w:p w14:paraId="1604C912" w14:textId="202A6FCB" w:rsidR="00795C3E" w:rsidRPr="00F91BDD" w:rsidRDefault="35E7BECA">
      <w:pPr>
        <w:pStyle w:val="Paragraphedeliste"/>
        <w:numPr>
          <w:ilvl w:val="0"/>
          <w:numId w:val="32"/>
        </w:numPr>
        <w:tabs>
          <w:tab w:val="left" w:pos="144"/>
        </w:tabs>
        <w:spacing w:before="120" w:after="120" w:line="240" w:lineRule="auto"/>
        <w:ind w:left="499" w:hanging="357"/>
        <w:contextualSpacing w:val="0"/>
        <w:textAlignment w:val="baseline"/>
        <w:rPr>
          <w:rFonts w:cs="Calibri Light"/>
        </w:rPr>
      </w:pPr>
      <w:r w:rsidRPr="5672AB13">
        <w:rPr>
          <w:rFonts w:cs="Calibri Light"/>
        </w:rPr>
        <w:t>Dépôts de mitrailles et de véhicules usagés</w:t>
      </w:r>
      <w:r w:rsidR="3261C7B5" w:rsidRPr="5672AB13">
        <w:rPr>
          <w:rFonts w:cs="Calibri Light"/>
        </w:rPr>
        <w:t xml:space="preserve"> </w:t>
      </w:r>
      <w:r w:rsidRPr="5672AB13">
        <w:rPr>
          <w:rFonts w:cs="Calibri Light"/>
        </w:rPr>
        <w:t xml:space="preserve">: </w:t>
      </w:r>
      <w:r w:rsidR="00795C3E" w:rsidRPr="00F91BDD">
        <w:rPr>
          <w:rFonts w:cs="Calibri Light"/>
        </w:rPr>
        <w:t xml:space="preserve">10,50 </w:t>
      </w:r>
      <w:r w:rsidR="00CF3511" w:rsidRPr="00F91BDD">
        <w:rPr>
          <w:rFonts w:cs="Calibri Light"/>
        </w:rPr>
        <w:t>euros /</w:t>
      </w:r>
      <w:r w:rsidR="00795C3E" w:rsidRPr="00F91BDD">
        <w:rPr>
          <w:rFonts w:cs="Calibri Light"/>
        </w:rPr>
        <w:t xml:space="preserve">m2 avec un montant maximum de 5.500,00 </w:t>
      </w:r>
      <w:r w:rsidR="00CF3511" w:rsidRPr="00F91BDD">
        <w:rPr>
          <w:rFonts w:cs="Calibri Light"/>
        </w:rPr>
        <w:t>euros /</w:t>
      </w:r>
      <w:r w:rsidR="00795C3E" w:rsidRPr="00F91BDD">
        <w:rPr>
          <w:rFonts w:cs="Calibri Light"/>
        </w:rPr>
        <w:t>an par installation.</w:t>
      </w:r>
    </w:p>
    <w:p w14:paraId="50A2816B" w14:textId="560B2475" w:rsidR="00795C3E" w:rsidRPr="00F91BDD" w:rsidRDefault="6C6C446D">
      <w:pPr>
        <w:pStyle w:val="Paragraphedeliste"/>
        <w:numPr>
          <w:ilvl w:val="0"/>
          <w:numId w:val="32"/>
        </w:numPr>
        <w:tabs>
          <w:tab w:val="left" w:pos="144"/>
        </w:tabs>
        <w:spacing w:before="120" w:after="120" w:line="240" w:lineRule="auto"/>
        <w:ind w:left="499" w:hanging="357"/>
        <w:contextualSpacing w:val="0"/>
        <w:textAlignment w:val="baseline"/>
        <w:rPr>
          <w:rFonts w:cs="Calibri Light"/>
        </w:rPr>
      </w:pPr>
      <w:r w:rsidRPr="5672AB13">
        <w:rPr>
          <w:rFonts w:cs="Calibri Light"/>
        </w:rPr>
        <w:t xml:space="preserve">Véhicule isolé abandonné : </w:t>
      </w:r>
      <w:r w:rsidR="00795C3E" w:rsidRPr="00F91BDD">
        <w:rPr>
          <w:rFonts w:cs="Calibri Light"/>
        </w:rPr>
        <w:t xml:space="preserve">850,00 </w:t>
      </w:r>
      <w:r w:rsidR="00CF3511" w:rsidRPr="00F91BDD">
        <w:rPr>
          <w:rFonts w:cs="Calibri Light"/>
        </w:rPr>
        <w:t>euros par</w:t>
      </w:r>
      <w:r w:rsidR="00795C3E" w:rsidRPr="00F91BDD">
        <w:rPr>
          <w:rFonts w:cs="Calibri Light"/>
        </w:rPr>
        <w:t xml:space="preserve"> véhicule isolé abandonné</w:t>
      </w:r>
    </w:p>
    <w:p w14:paraId="054BC376" w14:textId="77777777" w:rsidR="00795C3E" w:rsidRPr="00F91BDD" w:rsidRDefault="00795C3E" w:rsidP="009E3799">
      <w:pPr>
        <w:pStyle w:val="Sam3"/>
      </w:pPr>
    </w:p>
    <w:p w14:paraId="46963453" w14:textId="17A07487" w:rsidR="00795C3E" w:rsidRPr="002241E4" w:rsidRDefault="00795C3E" w:rsidP="35BD9115">
      <w:pPr>
        <w:pStyle w:val="Titre3"/>
        <w:rPr>
          <w:caps/>
        </w:rPr>
      </w:pPr>
      <w:bookmarkStart w:id="2806" w:name="_Toc6997807"/>
      <w:bookmarkStart w:id="2807" w:name="_Toc7016583"/>
      <w:bookmarkStart w:id="2808" w:name="_Toc7020751"/>
      <w:bookmarkStart w:id="2809" w:name="_Toc7094823"/>
      <w:bookmarkStart w:id="2810" w:name="_Toc8121858"/>
      <w:bookmarkStart w:id="2811" w:name="_Toc8129799"/>
      <w:bookmarkStart w:id="2812" w:name="_Toc143779207"/>
      <w:bookmarkStart w:id="2813" w:name="_Toc208420117"/>
      <w:bookmarkStart w:id="2814" w:name="_Toc225504347"/>
      <w:bookmarkStart w:id="2815" w:name="_Toc225772436"/>
      <w:bookmarkStart w:id="2816" w:name="_Toc233626303"/>
      <w:bookmarkEnd w:id="2806"/>
      <w:bookmarkEnd w:id="2807"/>
      <w:bookmarkEnd w:id="2808"/>
      <w:bookmarkEnd w:id="2809"/>
      <w:bookmarkEnd w:id="2810"/>
      <w:bookmarkEnd w:id="2811"/>
      <w:r w:rsidRPr="004311A6">
        <w:t>040/364-30 : Établissements dangereux, insalubres et incommodes ainsi que ceux visés par le permis d’environnement</w:t>
      </w:r>
      <w:bookmarkEnd w:id="2812"/>
      <w:bookmarkEnd w:id="2813"/>
      <w:bookmarkEnd w:id="2814"/>
      <w:bookmarkEnd w:id="2815"/>
      <w:bookmarkEnd w:id="2816"/>
    </w:p>
    <w:p w14:paraId="0B621F4F" w14:textId="77777777" w:rsidR="00795C3E" w:rsidRPr="00F91BDD" w:rsidRDefault="00795C3E" w:rsidP="00795C3E">
      <w:pPr>
        <w:spacing w:before="120"/>
        <w:rPr>
          <w:rFonts w:cs="Calibri Light"/>
        </w:rPr>
      </w:pPr>
      <w:r w:rsidRPr="00F91BDD">
        <w:rPr>
          <w:rFonts w:cs="Calibri Light"/>
        </w:rPr>
        <w:t>Taxe directe – Modèle disponible.</w:t>
      </w:r>
    </w:p>
    <w:p w14:paraId="4E57D44B" w14:textId="77777777" w:rsidR="00795C3E" w:rsidRPr="00F91BDD" w:rsidRDefault="00795C3E" w:rsidP="00795C3E">
      <w:pPr>
        <w:spacing w:before="120"/>
        <w:textAlignment w:val="baseline"/>
        <w:rPr>
          <w:rFonts w:cs="Calibri Light"/>
        </w:rPr>
      </w:pPr>
      <w:r w:rsidRPr="00F91BDD">
        <w:rPr>
          <w:rFonts w:cs="Calibri Light"/>
        </w:rPr>
        <w:lastRenderedPageBreak/>
        <w:t>Cette taxe vise communément l'établissement dont la nomenclature fait l'objet du titre premier, chapitre II, du règlement général pour la protection du travail, et l'établissement classé en vertu de l'arrêté du Gouvernement wallon du 4 juillet 2002 arrêtant la liste des projets soumis à étude d'incidences et des installations et activités classées ou des installations ou des activités présentant un risque pour le sol.</w:t>
      </w:r>
    </w:p>
    <w:p w14:paraId="1A781CBC" w14:textId="7FD6EB7F" w:rsidR="00795C3E" w:rsidRPr="00F91BDD" w:rsidRDefault="00795C3E" w:rsidP="00795C3E">
      <w:pPr>
        <w:spacing w:before="120"/>
        <w:textAlignment w:val="baseline"/>
        <w:rPr>
          <w:rFonts w:cs="Calibri Light"/>
          <w:spacing w:val="-1"/>
        </w:rPr>
      </w:pPr>
      <w:r w:rsidRPr="00F91BDD">
        <w:rPr>
          <w:rFonts w:cs="Calibri Light"/>
          <w:spacing w:val="-1"/>
        </w:rPr>
        <w:t>Taux maxima recommandés</w:t>
      </w:r>
      <w:r w:rsidR="0EC1ED8E" w:rsidRPr="00F91BDD">
        <w:rPr>
          <w:rFonts w:cs="Calibri Light"/>
          <w:spacing w:val="-1"/>
        </w:rPr>
        <w:t>, par établissement</w:t>
      </w:r>
      <w:r w:rsidRPr="00F91BDD">
        <w:rPr>
          <w:rFonts w:cs="Calibri Light"/>
          <w:spacing w:val="-1"/>
        </w:rPr>
        <w:t xml:space="preserve"> :</w:t>
      </w:r>
    </w:p>
    <w:p w14:paraId="0CF329D3" w14:textId="48023658"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3A1FC799">
        <w:rPr>
          <w:rFonts w:cs="Calibri Light"/>
        </w:rPr>
        <w:t>1</w:t>
      </w:r>
      <w:r w:rsidRPr="3A1FC799">
        <w:rPr>
          <w:rFonts w:cs="Calibri Light"/>
          <w:vertAlign w:val="superscript"/>
        </w:rPr>
        <w:t>ère</w:t>
      </w:r>
      <w:r w:rsidRPr="3A1FC799">
        <w:rPr>
          <w:rFonts w:cs="Calibri Light"/>
        </w:rPr>
        <w:t xml:space="preserve"> classe : 220,00 </w:t>
      </w:r>
      <w:r w:rsidR="00CF3511" w:rsidRPr="3A1FC799">
        <w:rPr>
          <w:rFonts w:cs="Calibri Light"/>
        </w:rPr>
        <w:t>euros ;</w:t>
      </w:r>
    </w:p>
    <w:p w14:paraId="679828BD" w14:textId="44A8D7DB"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2</w:t>
      </w:r>
      <w:r w:rsidRPr="00F91BDD">
        <w:rPr>
          <w:rFonts w:cs="Calibri Light"/>
          <w:vertAlign w:val="superscript"/>
        </w:rPr>
        <w:t>ème</w:t>
      </w:r>
      <w:r w:rsidRPr="00F91BDD">
        <w:rPr>
          <w:rFonts w:cs="Calibri Light"/>
        </w:rPr>
        <w:t xml:space="preserve"> classe : 110,00 </w:t>
      </w:r>
      <w:r w:rsidR="00CF3511" w:rsidRPr="00F91BDD">
        <w:rPr>
          <w:rFonts w:cs="Calibri Light"/>
        </w:rPr>
        <w:t>euros ;</w:t>
      </w:r>
    </w:p>
    <w:p w14:paraId="535FD77D" w14:textId="3BD0F82C"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3</w:t>
      </w:r>
      <w:r w:rsidRPr="00F91BDD">
        <w:rPr>
          <w:rFonts w:cs="Calibri Light"/>
          <w:vertAlign w:val="superscript"/>
        </w:rPr>
        <w:t>ème</w:t>
      </w:r>
      <w:r w:rsidRPr="00F91BDD">
        <w:rPr>
          <w:rFonts w:cs="Calibri Light"/>
        </w:rPr>
        <w:t xml:space="preserve"> classe : 50,00 </w:t>
      </w:r>
      <w:r w:rsidR="00CF3511" w:rsidRPr="00F91BDD">
        <w:rPr>
          <w:rFonts w:cs="Calibri Light"/>
        </w:rPr>
        <w:t>euros.</w:t>
      </w:r>
      <w:r w:rsidRPr="00F91BDD">
        <w:rPr>
          <w:rFonts w:cs="Calibri Light"/>
        </w:rPr>
        <w:t xml:space="preserve"> </w:t>
      </w:r>
    </w:p>
    <w:p w14:paraId="1EDAC7C7" w14:textId="77777777" w:rsidR="00795C3E" w:rsidRPr="00F91BDD" w:rsidRDefault="00795C3E" w:rsidP="00795C3E">
      <w:pPr>
        <w:spacing w:before="120"/>
        <w:textAlignment w:val="baseline"/>
        <w:rPr>
          <w:rFonts w:cs="Calibri Light"/>
        </w:rPr>
      </w:pPr>
      <w:r w:rsidRPr="00F91BDD">
        <w:rPr>
          <w:rFonts w:cs="Calibri Light"/>
        </w:rPr>
        <w:t>Cette taxe s'applique tant aux établissements relevant de l'ancienne (RGPT) que de la nouvelle classification (permis d'environnement).</w:t>
      </w:r>
    </w:p>
    <w:p w14:paraId="4DAD5ACD" w14:textId="75838855" w:rsidR="00795C3E" w:rsidRPr="00F91BDD" w:rsidRDefault="00795C3E" w:rsidP="5672AB13">
      <w:pPr>
        <w:spacing w:before="120"/>
        <w:textAlignment w:val="baseline"/>
        <w:rPr>
          <w:rFonts w:cs="Calibri Light"/>
        </w:rPr>
      </w:pPr>
      <w:r w:rsidRPr="00F91BDD">
        <w:rPr>
          <w:rFonts w:cs="Calibri Light"/>
        </w:rPr>
        <w:t xml:space="preserve">La taxe vise l'établissement et non les activités ou installations </w:t>
      </w:r>
    </w:p>
    <w:p w14:paraId="4A2EF050" w14:textId="70ADB555" w:rsidR="00795C3E" w:rsidRPr="00F91BDD" w:rsidRDefault="77DA6CEA" w:rsidP="00795C3E">
      <w:pPr>
        <w:spacing w:before="120"/>
        <w:textAlignment w:val="baseline"/>
        <w:rPr>
          <w:rFonts w:cs="Calibri Light"/>
        </w:rPr>
      </w:pPr>
      <w:r w:rsidRPr="00F91BDD">
        <w:rPr>
          <w:rFonts w:cs="Calibri Light"/>
        </w:rPr>
        <w:t>La</w:t>
      </w:r>
      <w:r w:rsidR="00795C3E" w:rsidRPr="00F91BDD">
        <w:rPr>
          <w:rFonts w:cs="Calibri Light"/>
        </w:rPr>
        <w:t xml:space="preserve"> classe de l'établissement est déterminée par l'installation ou l'activité qu'il contient </w:t>
      </w:r>
      <w:r w:rsidR="37ADA32B" w:rsidRPr="00F91BDD">
        <w:rPr>
          <w:rFonts w:cs="Calibri Light"/>
        </w:rPr>
        <w:t xml:space="preserve">et </w:t>
      </w:r>
      <w:r w:rsidR="00795C3E" w:rsidRPr="00F91BDD">
        <w:rPr>
          <w:rFonts w:cs="Calibri Light"/>
        </w:rPr>
        <w:t>qui a le plus d'impact sur l'Homme ou l'environnement</w:t>
      </w:r>
      <w:r w:rsidR="00795C3E" w:rsidRPr="00F91BDD">
        <w:rPr>
          <w:rStyle w:val="Appelnotedebasdep"/>
          <w:rFonts w:cs="Calibri Light"/>
        </w:rPr>
        <w:footnoteReference w:id="107"/>
      </w:r>
      <w:r w:rsidR="00795C3E" w:rsidRPr="00F91BDD">
        <w:rPr>
          <w:rFonts w:cs="Calibri Light"/>
        </w:rPr>
        <w:t>.</w:t>
      </w:r>
    </w:p>
    <w:p w14:paraId="05C610CC" w14:textId="77777777" w:rsidR="00795C3E" w:rsidRPr="00F91BDD" w:rsidRDefault="00795C3E" w:rsidP="00795C3E">
      <w:pPr>
        <w:spacing w:before="120"/>
        <w:textAlignment w:val="baseline"/>
        <w:rPr>
          <w:rFonts w:cs="Calibri Light"/>
        </w:rPr>
      </w:pPr>
      <w:r w:rsidRPr="00F91BDD">
        <w:rPr>
          <w:rFonts w:cs="Calibri Light"/>
        </w:rPr>
        <w:t>Afin de ne pas pénaliser l'acte citoyen participant à la protection de l'environnement, il est possible de prévoir une exonération :</w:t>
      </w:r>
    </w:p>
    <w:p w14:paraId="1A7F0C85" w14:textId="77777777" w:rsidR="00795C3E" w:rsidRPr="00F91BDD" w:rsidRDefault="00795C3E">
      <w:pPr>
        <w:pStyle w:val="Paragraphedeliste"/>
        <w:numPr>
          <w:ilvl w:val="0"/>
          <w:numId w:val="32"/>
        </w:numPr>
        <w:tabs>
          <w:tab w:val="left" w:pos="144"/>
        </w:tabs>
        <w:spacing w:before="120" w:after="120" w:line="240" w:lineRule="auto"/>
        <w:ind w:left="499" w:hanging="357"/>
        <w:contextualSpacing w:val="0"/>
        <w:textAlignment w:val="baseline"/>
        <w:rPr>
          <w:rFonts w:cs="Calibri Light"/>
        </w:rPr>
      </w:pPr>
      <w:r w:rsidRPr="00F91BDD">
        <w:rPr>
          <w:rFonts w:cs="Calibri Light"/>
        </w:rPr>
        <w:t>Pour les stations d'épuration individuelle dont la capacité de traitement est inférieure à 100 équivalents-habitants ;</w:t>
      </w:r>
    </w:p>
    <w:p w14:paraId="17101CD1" w14:textId="77777777" w:rsidR="00795C3E" w:rsidRPr="00F91BDD" w:rsidRDefault="00795C3E">
      <w:pPr>
        <w:pStyle w:val="Paragraphedeliste"/>
        <w:numPr>
          <w:ilvl w:val="0"/>
          <w:numId w:val="32"/>
        </w:numPr>
        <w:tabs>
          <w:tab w:val="left" w:pos="144"/>
        </w:tabs>
        <w:spacing w:before="120" w:after="120" w:line="240" w:lineRule="auto"/>
        <w:ind w:left="499" w:hanging="357"/>
        <w:contextualSpacing w:val="0"/>
        <w:textAlignment w:val="baseline"/>
        <w:rPr>
          <w:rFonts w:cs="Calibri Light"/>
        </w:rPr>
      </w:pPr>
      <w:r w:rsidRPr="00F91BDD">
        <w:rPr>
          <w:rFonts w:cs="Calibri Light"/>
        </w:rPr>
        <w:t>Pour les pompes à chaleur soumises à permis.</w:t>
      </w:r>
    </w:p>
    <w:p w14:paraId="602E30E0" w14:textId="77777777" w:rsidR="00795C3E" w:rsidRPr="00DE11CC" w:rsidRDefault="00795C3E" w:rsidP="00795C3E">
      <w:pPr>
        <w:spacing w:before="120"/>
        <w:textAlignment w:val="baseline"/>
        <w:rPr>
          <w:rFonts w:cs="Calibri Light"/>
        </w:rPr>
      </w:pPr>
      <w:r w:rsidRPr="00F91BDD">
        <w:rPr>
          <w:rFonts w:cs="Calibri Light"/>
        </w:rPr>
        <w:t>J'invite les autorités locales à exonérer les ruchers.</w:t>
      </w:r>
      <w:bookmarkStart w:id="2817" w:name="_Toc143779208"/>
    </w:p>
    <w:p w14:paraId="6715EEFE" w14:textId="02C10D8A" w:rsidR="00795C3E" w:rsidRPr="0075706E" w:rsidRDefault="00795C3E" w:rsidP="35BD9115">
      <w:pPr>
        <w:pStyle w:val="Titre3"/>
        <w:rPr>
          <w:caps/>
        </w:rPr>
      </w:pPr>
      <w:bookmarkStart w:id="2818" w:name="_Toc208420118"/>
      <w:bookmarkStart w:id="2819" w:name="_Toc225504348"/>
      <w:bookmarkStart w:id="2820" w:name="_Toc225772437"/>
      <w:bookmarkStart w:id="2821" w:name="_Toc233626304"/>
      <w:r w:rsidRPr="0075706E">
        <w:t>040/364-32 : Agences bancaires</w:t>
      </w:r>
      <w:bookmarkEnd w:id="2817"/>
      <w:bookmarkEnd w:id="2818"/>
      <w:bookmarkEnd w:id="2819"/>
      <w:bookmarkEnd w:id="2820"/>
      <w:bookmarkEnd w:id="2821"/>
      <w:r w:rsidRPr="0075706E">
        <w:t xml:space="preserve"> </w:t>
      </w:r>
    </w:p>
    <w:p w14:paraId="4F7E7C82" w14:textId="77777777" w:rsidR="00795C3E" w:rsidRPr="00F91BDD" w:rsidRDefault="00795C3E" w:rsidP="00795C3E">
      <w:pPr>
        <w:spacing w:before="120"/>
      </w:pPr>
      <w:r w:rsidRPr="00F91BDD">
        <w:t>Taxe directe – Modèle disponible.</w:t>
      </w:r>
    </w:p>
    <w:p w14:paraId="427B7931" w14:textId="77777777" w:rsidR="00795C3E" w:rsidRPr="00F91BDD" w:rsidRDefault="00795C3E" w:rsidP="00795C3E">
      <w:pPr>
        <w:spacing w:before="120"/>
        <w:textAlignment w:val="baseline"/>
        <w:rPr>
          <w:rFonts w:cs="Calibri Light"/>
          <w:b/>
        </w:rPr>
      </w:pPr>
      <w:r w:rsidRPr="00F91BDD">
        <w:rPr>
          <w:rFonts w:cs="Calibri Light"/>
        </w:rPr>
        <w:t>Sont visées les entreprises dont l'activité consiste :</w:t>
      </w:r>
    </w:p>
    <w:p w14:paraId="15E53135" w14:textId="77777777"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 xml:space="preserve">à recevoir du public des dépôts ou d'autres fonds remboursables, </w:t>
      </w:r>
    </w:p>
    <w:p w14:paraId="149D8105" w14:textId="77777777" w:rsidR="00795C3E" w:rsidRPr="00F91BDD" w:rsidRDefault="00795C3E" w:rsidP="00795C3E">
      <w:pPr>
        <w:tabs>
          <w:tab w:val="left" w:pos="144"/>
        </w:tabs>
        <w:spacing w:before="120"/>
        <w:ind w:left="144"/>
        <w:textAlignment w:val="baseline"/>
        <w:rPr>
          <w:rFonts w:cs="Calibri Light"/>
        </w:rPr>
      </w:pPr>
      <w:r w:rsidRPr="00F91BDD">
        <w:rPr>
          <w:rFonts w:cs="Calibri Light"/>
        </w:rPr>
        <w:t>OU</w:t>
      </w:r>
    </w:p>
    <w:p w14:paraId="796B4A38" w14:textId="77777777"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à octroyer des crédits pour son propre compte ou pour le compte d'un organisme avec lequel elle a conclu un contrat d'agence ou de représentation, ou pour le compte duquel elle exerce une activité d'intermédiaire de crédit,</w:t>
      </w:r>
    </w:p>
    <w:p w14:paraId="240B4965" w14:textId="77777777" w:rsidR="00795C3E" w:rsidRPr="00F91BDD" w:rsidRDefault="00795C3E" w:rsidP="00795C3E">
      <w:pPr>
        <w:spacing w:before="120"/>
        <w:textAlignment w:val="baseline"/>
        <w:rPr>
          <w:rFonts w:cs="Calibri Light"/>
          <w:spacing w:val="-3"/>
        </w:rPr>
      </w:pPr>
      <w:r w:rsidRPr="00F91BDD">
        <w:rPr>
          <w:rFonts w:cs="Calibri Light"/>
          <w:spacing w:val="-3"/>
        </w:rPr>
        <w:t>OU LES DEUX.</w:t>
      </w:r>
    </w:p>
    <w:p w14:paraId="600B75B1" w14:textId="2879C28D" w:rsidR="00795C3E" w:rsidRPr="00F91BDD" w:rsidRDefault="00795C3E" w:rsidP="00795C3E">
      <w:pPr>
        <w:spacing w:before="120"/>
        <w:textAlignment w:val="baseline"/>
        <w:rPr>
          <w:rFonts w:cs="Calibri Light"/>
          <w:spacing w:val="-1"/>
        </w:rPr>
      </w:pPr>
      <w:r w:rsidRPr="00F91BDD">
        <w:rPr>
          <w:rFonts w:cs="Calibri Light"/>
          <w:spacing w:val="-1"/>
        </w:rPr>
        <w:t xml:space="preserve">Taux maximum recommandé : 500,00 </w:t>
      </w:r>
      <w:r w:rsidR="00116995" w:rsidRPr="00F91BDD">
        <w:rPr>
          <w:rFonts w:cs="Calibri Light"/>
          <w:spacing w:val="-1"/>
        </w:rPr>
        <w:t>euros par</w:t>
      </w:r>
      <w:r w:rsidRPr="00F91BDD">
        <w:rPr>
          <w:rFonts w:cs="Calibri Light"/>
          <w:spacing w:val="-1"/>
        </w:rPr>
        <w:t xml:space="preserve"> poste de réception.</w:t>
      </w:r>
    </w:p>
    <w:p w14:paraId="32AEE483" w14:textId="77777777" w:rsidR="00795C3E" w:rsidRPr="00F91BDD" w:rsidRDefault="00795C3E" w:rsidP="00795C3E">
      <w:pPr>
        <w:tabs>
          <w:tab w:val="left" w:pos="7560"/>
        </w:tabs>
        <w:spacing w:before="120"/>
        <w:textAlignment w:val="baseline"/>
        <w:rPr>
          <w:rFonts w:cs="Calibri Light"/>
          <w:spacing w:val="-1"/>
        </w:rPr>
      </w:pPr>
      <w:r w:rsidRPr="00F91BDD">
        <w:rPr>
          <w:rFonts w:cs="Calibri Light"/>
          <w:spacing w:val="-1"/>
        </w:rPr>
        <w:lastRenderedPageBreak/>
        <w:t>Par poste de réception, il faut entendre tout endroit (local, bureau, guichet, …) où un préposé de l'agence peut accomplir n'importe quelle opération bancaire au profit d'un client.</w:t>
      </w:r>
    </w:p>
    <w:p w14:paraId="7A814DED" w14:textId="77777777" w:rsidR="00795C3E" w:rsidRPr="00F91BDD" w:rsidRDefault="00795C3E" w:rsidP="00795C3E">
      <w:pPr>
        <w:spacing w:before="120"/>
        <w:textAlignment w:val="baseline"/>
        <w:rPr>
          <w:rFonts w:cs="Calibri Light"/>
        </w:rPr>
      </w:pPr>
      <w:r w:rsidRPr="00F91BDD">
        <w:rPr>
          <w:rFonts w:cs="Calibri Light"/>
        </w:rPr>
        <w:t>L'utilisation au profit d'une personne physique ou morale d'une publicité annonçant l'octroi de prêt peut être une présomption réfragable de sa qualité d'intermédiaire de crédit.</w:t>
      </w:r>
    </w:p>
    <w:p w14:paraId="4D978338" w14:textId="77777777" w:rsidR="00795C3E" w:rsidRPr="00F91BDD" w:rsidRDefault="00795C3E" w:rsidP="00795C3E">
      <w:pPr>
        <w:spacing w:before="120"/>
        <w:textAlignment w:val="baseline"/>
        <w:rPr>
          <w:rFonts w:cs="Calibri Light"/>
        </w:rPr>
      </w:pPr>
      <w:r w:rsidRPr="00F91BDD">
        <w:rPr>
          <w:rFonts w:cs="Calibri Light"/>
        </w:rPr>
        <w:t>L'agence bancaire ne pourra être taxée par référence au nombre des distributeurs automatiques de billets et autres guichets automatisés dont ses clients peuvent faire usage.</w:t>
      </w:r>
    </w:p>
    <w:p w14:paraId="4891DA94" w14:textId="77777777" w:rsidR="00795C3E" w:rsidRPr="00F91BDD" w:rsidRDefault="00795C3E" w:rsidP="00795C3E">
      <w:pPr>
        <w:spacing w:before="120"/>
        <w:textAlignment w:val="baseline"/>
        <w:rPr>
          <w:rFonts w:cs="Calibri Light"/>
          <w:b/>
          <w:bCs/>
        </w:rPr>
      </w:pPr>
      <w:bookmarkStart w:id="2822" w:name="_Hlk137650241"/>
      <w:r w:rsidRPr="00F91BDD">
        <w:rPr>
          <w:rFonts w:cs="Calibri Light"/>
          <w:b/>
          <w:bCs/>
        </w:rPr>
        <w:t>Toutefois, il ne vous est pas interdit d’adapter le montant de la taxe à la hausse dès lors qu’une réduction serait éventuellement prévue dans le règlement-taxe en fonction du nombre des distributeurs automatiques de billets et autres guichets automatisés maintenus par l’agence, dans ou à l’extérieur de l’agence.</w:t>
      </w:r>
    </w:p>
    <w:p w14:paraId="1E7B3470" w14:textId="77777777" w:rsidR="00795C3E" w:rsidRPr="00F91BDD" w:rsidRDefault="00795C3E" w:rsidP="00795C3E">
      <w:pPr>
        <w:spacing w:before="120"/>
        <w:rPr>
          <w:rFonts w:cs="Calibri Light"/>
        </w:rPr>
      </w:pPr>
      <w:r w:rsidRPr="00F91BDD">
        <w:rPr>
          <w:rFonts w:cs="Calibri Light"/>
        </w:rPr>
        <w:t>Dans un contexte de réduction progressive des services bancaires accessibles aux personnes physiques, et plus particulièrement de la diminution du nombre de guichets physiques sur le territoire communal, certaines communes ont exprimé le souhait de mettre en place une taxe spécifique.</w:t>
      </w:r>
    </w:p>
    <w:p w14:paraId="779769E7" w14:textId="77777777" w:rsidR="00795C3E" w:rsidRPr="00F91BDD" w:rsidRDefault="00795C3E" w:rsidP="00795C3E">
      <w:pPr>
        <w:spacing w:before="120"/>
        <w:rPr>
          <w:rFonts w:cs="Calibri Light"/>
        </w:rPr>
      </w:pPr>
      <w:r w:rsidRPr="00F91BDD">
        <w:rPr>
          <w:rFonts w:cs="Calibri Light"/>
        </w:rPr>
        <w:t>À cet égard, il est possible d’envisager l’adoption d’un règlement-taxe portant forfaitairement sur le nombre d’appareils automatiques permettant d’effectuer des opérations de dépôt et/ou de retrait de billets de banque.</w:t>
      </w:r>
    </w:p>
    <w:p w14:paraId="06C6AC1F" w14:textId="77777777" w:rsidR="00795C3E" w:rsidRPr="00F91BDD" w:rsidRDefault="00795C3E" w:rsidP="00795C3E">
      <w:pPr>
        <w:spacing w:before="120"/>
        <w:rPr>
          <w:rFonts w:cs="Calibri Light"/>
        </w:rPr>
      </w:pPr>
      <w:r w:rsidRPr="00F91BDD">
        <w:rPr>
          <w:rFonts w:cs="Calibri Light"/>
        </w:rPr>
        <w:t>Cette mesure fiscale vise à répondre à un déséquilibre croissant dans l’offre de services bancaires de proximité, en tenant compte de l’impact sur les usagers les plus fragiles. Elle s’inscrit dans le cadre des compétences fiscales locales, pour autant qu’elle repose sur des critères objectifs, non discriminatoires et proportionnés.</w:t>
      </w:r>
    </w:p>
    <w:p w14:paraId="0EC5D5A4" w14:textId="77777777" w:rsidR="00795C3E" w:rsidRPr="00F91BDD" w:rsidRDefault="00795C3E" w:rsidP="00795C3E">
      <w:pPr>
        <w:spacing w:before="120"/>
        <w:rPr>
          <w:rFonts w:cs="Calibri Light"/>
        </w:rPr>
      </w:pPr>
      <w:r w:rsidRPr="00F91BDD">
        <w:rPr>
          <w:rFonts w:cs="Calibri Light"/>
        </w:rPr>
        <w:t>Cependant, j’attire l’attention des communes sur l’importance stratégique que représente la présence de distributeurs de liquidités sur leur territoire. Ces dispositifs restent, pour une partie non négligeable de la population, un outil essentiel d’accès aux services bancaires de base.</w:t>
      </w:r>
    </w:p>
    <w:p w14:paraId="56A1A6C7" w14:textId="7258D50E" w:rsidR="00795C3E" w:rsidRPr="00F91BDD" w:rsidRDefault="00795C3E" w:rsidP="00795C3E">
      <w:pPr>
        <w:spacing w:before="120"/>
        <w:rPr>
          <w:rFonts w:cs="Calibri Light"/>
        </w:rPr>
      </w:pPr>
      <w:r w:rsidRPr="00F91BDD">
        <w:rPr>
          <w:rFonts w:cs="Calibri Light"/>
        </w:rPr>
        <w:t>Si la mise en place d’un règlement-taxe visant les appareils automatiques de dépôt et/ou de retrait de billets est envisageable sur le plan juridique, il convient de rappeler qu’une telle fiscalité pourrait, en pratique, accélérer le retrait de ces dispositifs par les opérateurs bancaires. Cela risquerait de compromettre l’accessibilité financière pour certains publics, en particulier les personnes âgées, les indépendants et les commerçants, et d’avoir un impact négatif sur l’attractivité économique locale.</w:t>
      </w:r>
    </w:p>
    <w:p w14:paraId="128814F6" w14:textId="77777777" w:rsidR="00795C3E" w:rsidRPr="00F91BDD" w:rsidRDefault="00795C3E" w:rsidP="00795C3E">
      <w:pPr>
        <w:spacing w:before="120"/>
        <w:rPr>
          <w:rFonts w:cs="Calibri Light"/>
        </w:rPr>
      </w:pPr>
      <w:r w:rsidRPr="00F91BDD">
        <w:rPr>
          <w:rFonts w:cs="Calibri Light"/>
        </w:rPr>
        <w:t>Il appartient donc à chaque pouvoir local de mesurer avec discernement les effets potentiels d’une telle taxation, et d’apprécier si les recettes fiscales générées sont de nature à compenser les effets économiques et sociaux de la réduction de l’offre de services bancaires sur le territoire communal.</w:t>
      </w:r>
    </w:p>
    <w:p w14:paraId="0998CDBA" w14:textId="1CC5A1FA" w:rsidR="00795C3E" w:rsidRPr="00834BA8" w:rsidRDefault="00795C3E" w:rsidP="35BD9115">
      <w:pPr>
        <w:pStyle w:val="Titre3"/>
        <w:rPr>
          <w:caps/>
        </w:rPr>
      </w:pPr>
      <w:bookmarkStart w:id="2823" w:name="_Toc143779209"/>
      <w:bookmarkStart w:id="2824" w:name="_Toc208420119"/>
      <w:bookmarkStart w:id="2825" w:name="_Toc225504349"/>
      <w:bookmarkStart w:id="2826" w:name="_Toc225772438"/>
      <w:bookmarkStart w:id="2827" w:name="_Toc233626305"/>
      <w:bookmarkStart w:id="2828" w:name="_Toc512525516"/>
      <w:bookmarkStart w:id="2829" w:name="_Toc515896830"/>
      <w:bookmarkEnd w:id="2822"/>
      <w:r w:rsidRPr="00834BA8">
        <w:lastRenderedPageBreak/>
        <w:t>040/364-33 : Centres d'enfouissement technique</w:t>
      </w:r>
      <w:bookmarkEnd w:id="2823"/>
      <w:bookmarkEnd w:id="2824"/>
      <w:bookmarkEnd w:id="2825"/>
      <w:bookmarkEnd w:id="2826"/>
      <w:bookmarkEnd w:id="2827"/>
      <w:r w:rsidRPr="00834BA8">
        <w:t xml:space="preserve"> </w:t>
      </w:r>
    </w:p>
    <w:p w14:paraId="4619206D" w14:textId="77777777" w:rsidR="00795C3E" w:rsidRPr="00F91BDD" w:rsidRDefault="00795C3E" w:rsidP="00795C3E">
      <w:pPr>
        <w:spacing w:before="120"/>
      </w:pPr>
      <w:r w:rsidRPr="00F91BDD">
        <w:t>Taxe indirecte</w:t>
      </w:r>
      <w:bookmarkEnd w:id="2828"/>
      <w:bookmarkEnd w:id="2829"/>
      <w:r>
        <w:t>.</w:t>
      </w:r>
    </w:p>
    <w:p w14:paraId="4CFDD6DB" w14:textId="77777777" w:rsidR="00795C3E" w:rsidRPr="00F91BDD" w:rsidRDefault="00795C3E" w:rsidP="00795C3E">
      <w:pPr>
        <w:spacing w:before="120"/>
        <w:textAlignment w:val="baseline"/>
        <w:rPr>
          <w:rFonts w:cs="Calibri Light"/>
          <w:spacing w:val="-1"/>
        </w:rPr>
      </w:pPr>
      <w:r w:rsidRPr="00F91BDD">
        <w:rPr>
          <w:rFonts w:cs="Calibri Light"/>
        </w:rPr>
        <w:t xml:space="preserve">La mise en centre d'enfouissement technique des déchets, à l'exception des matières enlevées du lit et des berges des voies hydrauliques régionales du fait de dragage et de curage, peut être taxée selon les </w:t>
      </w:r>
      <w:r w:rsidRPr="00F91BDD">
        <w:rPr>
          <w:rFonts w:cs="Calibri Light"/>
          <w:spacing w:val="-1"/>
        </w:rPr>
        <w:t>taux maxima recommandés suivants :</w:t>
      </w:r>
    </w:p>
    <w:p w14:paraId="4128608E" w14:textId="5E7DEC7A"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Centre d'enfouissement technique de classe 1 : de 3,5</w:t>
      </w:r>
      <w:r w:rsidR="00A155E0">
        <w:rPr>
          <w:rFonts w:cs="Calibri Light"/>
        </w:rPr>
        <w:t>1</w:t>
      </w:r>
      <w:r w:rsidRPr="00F91BDD">
        <w:rPr>
          <w:rFonts w:cs="Calibri Light"/>
        </w:rPr>
        <w:t xml:space="preserve"> </w:t>
      </w:r>
      <w:r w:rsidR="00116995" w:rsidRPr="00F91BDD">
        <w:rPr>
          <w:rFonts w:cs="Calibri Light"/>
        </w:rPr>
        <w:t>euros à</w:t>
      </w:r>
      <w:r w:rsidRPr="00F91BDD">
        <w:rPr>
          <w:rFonts w:cs="Calibri Light"/>
        </w:rPr>
        <w:t xml:space="preserve"> 5,25 </w:t>
      </w:r>
      <w:r w:rsidR="00116995" w:rsidRPr="00F91BDD">
        <w:rPr>
          <w:rFonts w:cs="Calibri Light"/>
        </w:rPr>
        <w:t>euros la</w:t>
      </w:r>
      <w:r w:rsidRPr="00F91BDD">
        <w:rPr>
          <w:rFonts w:cs="Calibri Light"/>
        </w:rPr>
        <w:t xml:space="preserve"> tonne ;</w:t>
      </w:r>
    </w:p>
    <w:p w14:paraId="450D0EFD" w14:textId="53967964"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3A1FC799">
        <w:rPr>
          <w:rFonts w:cs="Calibri Light"/>
        </w:rPr>
        <w:t>Centre d'enfouissement technique de classe 2 : de 1,7</w:t>
      </w:r>
      <w:r w:rsidR="00A155E0">
        <w:rPr>
          <w:rFonts w:cs="Calibri Light"/>
        </w:rPr>
        <w:t>6</w:t>
      </w:r>
      <w:r w:rsidRPr="3A1FC799">
        <w:rPr>
          <w:rFonts w:cs="Calibri Light"/>
        </w:rPr>
        <w:t xml:space="preserve"> </w:t>
      </w:r>
      <w:r w:rsidR="00116995" w:rsidRPr="3A1FC799">
        <w:rPr>
          <w:rFonts w:cs="Calibri Light"/>
        </w:rPr>
        <w:t>euros à</w:t>
      </w:r>
      <w:r w:rsidRPr="3A1FC799">
        <w:rPr>
          <w:rFonts w:cs="Calibri Light"/>
        </w:rPr>
        <w:t xml:space="preserve"> 3,50 euros la tonne ;</w:t>
      </w:r>
    </w:p>
    <w:p w14:paraId="2104CCDD" w14:textId="31DE39DE"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3A1FC799">
        <w:rPr>
          <w:rFonts w:cs="Calibri Light"/>
        </w:rPr>
        <w:t xml:space="preserve">Centre d'enfouissement technique de classe 3 : de 0,65 </w:t>
      </w:r>
      <w:r w:rsidR="00116995" w:rsidRPr="3A1FC799">
        <w:rPr>
          <w:rFonts w:cs="Calibri Light"/>
        </w:rPr>
        <w:t>euro à</w:t>
      </w:r>
      <w:r w:rsidRPr="3A1FC799">
        <w:rPr>
          <w:rFonts w:cs="Calibri Light"/>
        </w:rPr>
        <w:t xml:space="preserve"> 1,75 </w:t>
      </w:r>
      <w:r w:rsidR="00116995" w:rsidRPr="3A1FC799">
        <w:rPr>
          <w:rFonts w:cs="Calibri Light"/>
        </w:rPr>
        <w:t>euros la</w:t>
      </w:r>
      <w:r w:rsidRPr="3A1FC799">
        <w:rPr>
          <w:rFonts w:cs="Calibri Light"/>
        </w:rPr>
        <w:t xml:space="preserve"> tonne.</w:t>
      </w:r>
    </w:p>
    <w:p w14:paraId="503402AA" w14:textId="77777777" w:rsidR="00795C3E" w:rsidRPr="001C471A" w:rsidRDefault="00795C3E" w:rsidP="00795C3E">
      <w:pPr>
        <w:spacing w:before="120" w:after="240"/>
        <w:textAlignment w:val="baseline"/>
        <w:rPr>
          <w:rFonts w:cs="Calibri Light"/>
        </w:rPr>
      </w:pPr>
      <w:r w:rsidRPr="00F91BDD">
        <w:rPr>
          <w:rFonts w:cs="Calibri Light"/>
        </w:rPr>
        <w:t>Les centres d'enfouissement technique de classe 5 ne peuvent faire l'objet d'une taxation vu qu'ils sont uniquement destinés à l'usage exclusif d'un producteur de déchets.</w:t>
      </w:r>
      <w:bookmarkStart w:id="2830" w:name="_Toc512525517"/>
      <w:bookmarkStart w:id="2831" w:name="_Toc515896831"/>
    </w:p>
    <w:p w14:paraId="76571F6D" w14:textId="7521132F" w:rsidR="00795C3E" w:rsidRPr="002241E4" w:rsidRDefault="00795C3E" w:rsidP="35BD9115">
      <w:pPr>
        <w:pStyle w:val="Titre3"/>
        <w:rPr>
          <w:caps/>
        </w:rPr>
      </w:pPr>
      <w:bookmarkStart w:id="2832" w:name="_Toc143779210"/>
      <w:bookmarkStart w:id="2833" w:name="_Toc208420120"/>
      <w:bookmarkStart w:id="2834" w:name="_Toc225504350"/>
      <w:bookmarkStart w:id="2835" w:name="_Toc225772439"/>
      <w:bookmarkStart w:id="2836" w:name="_Toc233626306"/>
      <w:r w:rsidRPr="00834BA8">
        <w:t>040/364-34 : Logements loués meublés</w:t>
      </w:r>
      <w:bookmarkEnd w:id="2832"/>
      <w:bookmarkEnd w:id="2833"/>
      <w:bookmarkEnd w:id="2834"/>
      <w:bookmarkEnd w:id="2835"/>
      <w:bookmarkEnd w:id="2836"/>
      <w:r w:rsidRPr="00834BA8">
        <w:t xml:space="preserve"> </w:t>
      </w:r>
    </w:p>
    <w:p w14:paraId="075D997A" w14:textId="77777777" w:rsidR="00795C3E" w:rsidRPr="00F91BDD" w:rsidRDefault="00795C3E" w:rsidP="00795C3E">
      <w:r w:rsidRPr="00F91BDD">
        <w:t>Taxe directe</w:t>
      </w:r>
      <w:bookmarkEnd w:id="2830"/>
      <w:bookmarkEnd w:id="2831"/>
      <w:r>
        <w:t>.</w:t>
      </w:r>
    </w:p>
    <w:p w14:paraId="2CD5A0FB" w14:textId="77777777" w:rsidR="00795C3E" w:rsidRPr="00F91BDD" w:rsidRDefault="00795C3E" w:rsidP="00795C3E">
      <w:pPr>
        <w:spacing w:before="120"/>
        <w:textAlignment w:val="baseline"/>
        <w:rPr>
          <w:rFonts w:cs="Calibri Light"/>
          <w:b/>
          <w:spacing w:val="-2"/>
        </w:rPr>
      </w:pPr>
      <w:r w:rsidRPr="00F91BDD">
        <w:rPr>
          <w:rFonts w:cs="Calibri Light"/>
          <w:spacing w:val="-2"/>
        </w:rPr>
        <w:t>Cette taxe vise communément le logement individuel :</w:t>
      </w:r>
    </w:p>
    <w:p w14:paraId="1A8D97D9" w14:textId="6C81A175" w:rsidR="00795C3E" w:rsidRPr="005E4E47" w:rsidRDefault="00795C3E">
      <w:pPr>
        <w:pStyle w:val="Paragraphedeliste"/>
        <w:numPr>
          <w:ilvl w:val="0"/>
          <w:numId w:val="132"/>
        </w:numPr>
        <w:tabs>
          <w:tab w:val="left" w:pos="504"/>
        </w:tabs>
        <w:spacing w:before="120" w:after="120" w:line="240" w:lineRule="auto"/>
        <w:textAlignment w:val="baseline"/>
        <w:rPr>
          <w:rFonts w:cs="Calibri Light"/>
        </w:rPr>
      </w:pPr>
      <w:r w:rsidRPr="005E4E47">
        <w:rPr>
          <w:rFonts w:cs="Calibri Light"/>
        </w:rPr>
        <w:t xml:space="preserve">garni d'un ou plusieurs meubles par un tiers (à savoir toute personne autre que le locataire, même différente du propriétaire ou du locataire principal du bien immeuble), même si une partie des meubles est la propriété du locataire, </w:t>
      </w:r>
    </w:p>
    <w:p w14:paraId="0B08C02A" w14:textId="77777777" w:rsidR="00116995" w:rsidRDefault="00795C3E" w:rsidP="00116995">
      <w:pPr>
        <w:tabs>
          <w:tab w:val="left" w:pos="360"/>
          <w:tab w:val="left" w:pos="504"/>
        </w:tabs>
        <w:spacing w:before="120"/>
        <w:ind w:left="504"/>
        <w:textAlignment w:val="baseline"/>
        <w:rPr>
          <w:rFonts w:cs="Calibri Light"/>
        </w:rPr>
      </w:pPr>
      <w:r w:rsidRPr="00F91BDD">
        <w:rPr>
          <w:rFonts w:cs="Calibri Light"/>
        </w:rPr>
        <w:t>OU</w:t>
      </w:r>
    </w:p>
    <w:p w14:paraId="40001B62" w14:textId="39D1409E" w:rsidR="00795C3E" w:rsidRPr="005E4E47" w:rsidRDefault="00795C3E">
      <w:pPr>
        <w:pStyle w:val="Paragraphedeliste"/>
        <w:numPr>
          <w:ilvl w:val="0"/>
          <w:numId w:val="132"/>
        </w:numPr>
        <w:tabs>
          <w:tab w:val="left" w:pos="504"/>
        </w:tabs>
        <w:spacing w:before="120" w:after="120" w:line="240" w:lineRule="auto"/>
        <w:textAlignment w:val="baseline"/>
        <w:rPr>
          <w:rFonts w:cs="Calibri Light"/>
        </w:rPr>
      </w:pPr>
      <w:r w:rsidRPr="005E4E47">
        <w:rPr>
          <w:rFonts w:cs="Calibri Light"/>
        </w:rPr>
        <w:t>pour lequel le locataire a la possibilité de bénéficier de l'utilisation de locaux ou pièces communs meublés.</w:t>
      </w:r>
    </w:p>
    <w:p w14:paraId="5F2750F2" w14:textId="77777777" w:rsidR="00795C3E" w:rsidRPr="00F91BDD" w:rsidRDefault="00795C3E" w:rsidP="00795C3E">
      <w:pPr>
        <w:spacing w:before="120"/>
        <w:textAlignment w:val="baseline"/>
        <w:rPr>
          <w:rFonts w:cs="Calibri Light"/>
          <w:spacing w:val="-2"/>
        </w:rPr>
      </w:pPr>
      <w:r w:rsidRPr="00F91BDD">
        <w:rPr>
          <w:rFonts w:cs="Calibri Light"/>
          <w:spacing w:val="-2"/>
          <w:u w:val="single"/>
        </w:rPr>
        <w:t>Remarque</w:t>
      </w:r>
      <w:r w:rsidRPr="00F91BDD">
        <w:rPr>
          <w:rFonts w:cs="Calibri Light"/>
          <w:spacing w:val="-2"/>
        </w:rPr>
        <w:t> : sont concernées également par cette taxe les locations de vacances tel Airbnb, …</w:t>
      </w:r>
    </w:p>
    <w:p w14:paraId="025945A9" w14:textId="37C9170C" w:rsidR="00795C3E" w:rsidRPr="00F91BDD" w:rsidRDefault="00795C3E" w:rsidP="00795C3E">
      <w:pPr>
        <w:spacing w:before="120"/>
        <w:textAlignment w:val="baseline"/>
        <w:rPr>
          <w:rFonts w:cs="Calibri Light"/>
          <w:spacing w:val="-2"/>
        </w:rPr>
      </w:pPr>
      <w:r w:rsidRPr="00F91BDD">
        <w:rPr>
          <w:rFonts w:cs="Calibri Light"/>
          <w:spacing w:val="-2"/>
        </w:rPr>
        <w:t>Taux maximum recommandé : 220,00 euros</w:t>
      </w:r>
      <w:r w:rsidR="58706B08" w:rsidRPr="00F91BDD">
        <w:rPr>
          <w:rFonts w:cs="Calibri Light"/>
          <w:spacing w:val="-2"/>
        </w:rPr>
        <w:t>/</w:t>
      </w:r>
      <w:r w:rsidR="005E4E47" w:rsidRPr="00F91BDD">
        <w:rPr>
          <w:rFonts w:cs="Calibri Light"/>
          <w:spacing w:val="-2"/>
        </w:rPr>
        <w:t>logement.</w:t>
      </w:r>
    </w:p>
    <w:p w14:paraId="35D20D88" w14:textId="7C27E159" w:rsidR="00795C3E" w:rsidRPr="00F91BDD" w:rsidRDefault="00795C3E" w:rsidP="00795C3E">
      <w:pPr>
        <w:spacing w:before="120"/>
        <w:textAlignment w:val="baseline"/>
        <w:rPr>
          <w:rFonts w:cs="Calibri Light"/>
        </w:rPr>
      </w:pPr>
      <w:bookmarkStart w:id="2837" w:name="_Hlk38972167"/>
      <w:r w:rsidRPr="00F91BDD">
        <w:rPr>
          <w:rFonts w:cs="Calibri Light"/>
        </w:rPr>
        <w:t xml:space="preserve">Lorsque cette taxe vise les logements soumis à la législation relative au permis de location (superficie réduite ou comportant une ou plusieurs pièces collectives), j’invite les communes à adopter un taux </w:t>
      </w:r>
      <w:r w:rsidR="00413D41">
        <w:rPr>
          <w:rFonts w:cs="Calibri Light"/>
        </w:rPr>
        <w:t>moindre</w:t>
      </w:r>
      <w:r w:rsidRPr="00F91BDD">
        <w:rPr>
          <w:rFonts w:cs="Calibri Light"/>
        </w:rPr>
        <w:t xml:space="preserve"> pour tenir compte de ce type de logement. </w:t>
      </w:r>
    </w:p>
    <w:bookmarkEnd w:id="2837"/>
    <w:p w14:paraId="565DE988" w14:textId="77777777" w:rsidR="00795C3E" w:rsidRPr="00F91BDD" w:rsidRDefault="00795C3E" w:rsidP="00795C3E">
      <w:pPr>
        <w:spacing w:before="120"/>
        <w:textAlignment w:val="baseline"/>
        <w:rPr>
          <w:rFonts w:cs="Calibri Light"/>
        </w:rPr>
      </w:pPr>
      <w:r w:rsidRPr="00F91BDD">
        <w:rPr>
          <w:rFonts w:cs="Calibri Light"/>
        </w:rPr>
        <w:t>Les kots d'étudiant sont soumis au permis de location</w:t>
      </w:r>
      <w:r w:rsidRPr="00F91BDD">
        <w:rPr>
          <w:rStyle w:val="Appelnotedebasdep"/>
          <w:rFonts w:cs="Calibri Light"/>
        </w:rPr>
        <w:footnoteReference w:id="108"/>
      </w:r>
      <w:r w:rsidRPr="00F91BDD">
        <w:rPr>
          <w:rFonts w:cs="Calibri Light"/>
        </w:rPr>
        <w:t>.</w:t>
      </w:r>
    </w:p>
    <w:p w14:paraId="6BD4F00E" w14:textId="77777777" w:rsidR="00795C3E" w:rsidRPr="00F91BDD" w:rsidRDefault="00795C3E" w:rsidP="00795C3E">
      <w:pPr>
        <w:spacing w:before="120"/>
        <w:textAlignment w:val="baseline"/>
        <w:rPr>
          <w:rFonts w:cs="Calibri Light"/>
        </w:rPr>
      </w:pPr>
      <w:r w:rsidRPr="00F91BDD">
        <w:rPr>
          <w:rFonts w:cs="Calibri Light"/>
          <w:b/>
        </w:rPr>
        <w:t>Le 14 mars 2018, le Parlement wallon a réformé le bail d’habitation en étendant cette notion à la colocation et au bail d’étudiant. Cette législation est entrée en vigueur le 1</w:t>
      </w:r>
      <w:r w:rsidRPr="00F91BDD">
        <w:rPr>
          <w:rFonts w:cs="Calibri Light"/>
          <w:b/>
          <w:vertAlign w:val="superscript"/>
        </w:rPr>
        <w:t>er</w:t>
      </w:r>
      <w:r w:rsidRPr="00F91BDD">
        <w:rPr>
          <w:rFonts w:cs="Calibri Light"/>
          <w:b/>
        </w:rPr>
        <w:t xml:space="preserve"> septembre 2018</w:t>
      </w:r>
      <w:r w:rsidRPr="00F91BDD">
        <w:rPr>
          <w:rFonts w:cs="Calibri Light"/>
        </w:rPr>
        <w:t>.</w:t>
      </w:r>
    </w:p>
    <w:p w14:paraId="630A2745" w14:textId="6A98B106" w:rsidR="00795C3E" w:rsidRPr="00F91BDD" w:rsidRDefault="00795C3E" w:rsidP="00795C3E">
      <w:pPr>
        <w:spacing w:before="120"/>
        <w:textAlignment w:val="baseline"/>
        <w:rPr>
          <w:rFonts w:cs="Calibri Light"/>
        </w:rPr>
      </w:pPr>
      <w:r w:rsidRPr="7748B622">
        <w:rPr>
          <w:rFonts w:cs="Calibri Light"/>
        </w:rPr>
        <w:t xml:space="preserve">Dans les mêmes conditions, cette taxe peut bien entendu être étendue au co-living et co-housing, à savoir la mise en location, par des baux individuels, dans un immeuble d’habitation neuf ou existant, d’espaces comprenant à la fois de larges espaces communs (notamment séjour, cuisines, zone de travail…) ainsi que des chambres privatives pour chaque </w:t>
      </w:r>
      <w:r w:rsidR="005E4E47" w:rsidRPr="7748B622">
        <w:rPr>
          <w:rFonts w:cs="Calibri Light"/>
        </w:rPr>
        <w:t>occupant.</w:t>
      </w:r>
      <w:r w:rsidR="6C11784F" w:rsidRPr="7748B622">
        <w:rPr>
          <w:rFonts w:cs="Calibri Light"/>
        </w:rPr>
        <w:t xml:space="preserve"> </w:t>
      </w:r>
      <w:r w:rsidR="6C11784F" w:rsidRPr="7748B622">
        <w:rPr>
          <w:rFonts w:cs="Calibri Light"/>
        </w:rPr>
        <w:lastRenderedPageBreak/>
        <w:t xml:space="preserve">Ces </w:t>
      </w:r>
      <w:r w:rsidRPr="7748B622">
        <w:rPr>
          <w:rFonts w:cs="Calibri Light"/>
        </w:rPr>
        <w:t>logements résultent souvent de la subdivision par des sociétés privées ou des propriétaires privés, d’anciens immeubles à destination unifamiliales, en logement collectif.</w:t>
      </w:r>
    </w:p>
    <w:p w14:paraId="17916859" w14:textId="396086B7" w:rsidR="00795C3E" w:rsidRPr="00834BA8" w:rsidRDefault="00795C3E" w:rsidP="35BD9115">
      <w:pPr>
        <w:pStyle w:val="Titre3"/>
        <w:rPr>
          <w:caps/>
        </w:rPr>
      </w:pPr>
      <w:bookmarkStart w:id="2838" w:name="_Toc512525518"/>
      <w:bookmarkStart w:id="2839" w:name="_Toc515896832"/>
      <w:bookmarkStart w:id="2840" w:name="_Toc143779211"/>
      <w:bookmarkStart w:id="2841" w:name="_Toc208420121"/>
      <w:bookmarkStart w:id="2842" w:name="_Toc225504351"/>
      <w:bookmarkStart w:id="2843" w:name="_Toc225772440"/>
      <w:bookmarkStart w:id="2844" w:name="_Toc233626307"/>
      <w:r w:rsidRPr="00834BA8">
        <w:t>04001/364-48 : Taxe industrielle compensatoire</w:t>
      </w:r>
      <w:bookmarkEnd w:id="2838"/>
      <w:bookmarkEnd w:id="2839"/>
      <w:bookmarkEnd w:id="2840"/>
      <w:bookmarkEnd w:id="2841"/>
      <w:bookmarkEnd w:id="2842"/>
      <w:bookmarkEnd w:id="2843"/>
      <w:bookmarkEnd w:id="2844"/>
    </w:p>
    <w:p w14:paraId="405CCF7C" w14:textId="77777777" w:rsidR="00795C3E" w:rsidRPr="00F91BDD" w:rsidRDefault="00795C3E" w:rsidP="00795C3E">
      <w:pPr>
        <w:spacing w:before="120"/>
        <w:textAlignment w:val="baseline"/>
        <w:rPr>
          <w:rFonts w:cs="Calibri Light"/>
        </w:rPr>
      </w:pPr>
      <w:r w:rsidRPr="00F91BDD">
        <w:rPr>
          <w:rFonts w:cs="Calibri Light"/>
        </w:rPr>
        <w:t>Dans le cadre des « Actions prioritaires pour l'Avenir wallon », le Parlement de Wallonie a décidé que « tous les investissements en matériel et outillage, acquis ou constitués à l'état neuf à partir du 1er janvier 2006 sont exonérés de la taxe industrielle compensatoire. » Cette mesure s'applique sur tout le territoire de la Région wallonne et à toutes les entreprises.</w:t>
      </w:r>
    </w:p>
    <w:p w14:paraId="4390A7E1" w14:textId="77777777" w:rsidR="00795C3E" w:rsidRPr="001C471A" w:rsidRDefault="00795C3E" w:rsidP="00795C3E">
      <w:pPr>
        <w:spacing w:before="120"/>
        <w:textAlignment w:val="baseline"/>
        <w:rPr>
          <w:rFonts w:cs="Calibri Light"/>
        </w:rPr>
      </w:pPr>
      <w:r w:rsidRPr="00F91BDD">
        <w:rPr>
          <w:rFonts w:cs="Calibri Light"/>
        </w:rPr>
        <w:t>Suite à la modification du décret du 23 février 2006 par le décret programme du 18 décembre 2024  la Région ne compense plus que dans limite des crédits disponibles, compense celle-ci sur base du montant des pertes réelles, le cas échéant au prorata si les crédits disponibles ne permettent pas une compensation complète, duquel sont déduit les montants dont la commune a bénéficié en application de la modification de l’article 257, alinéa 1er, 1° et 4°, du Code des impôts sur les revenus 1992 prévue à l’article 2 du décret du 10 décembre 2009 d’équité fiscale et d’efficacité environnementale pour le parc automobile et les maisons passives.</w:t>
      </w:r>
      <w:bookmarkStart w:id="2845" w:name="_Toc143779212"/>
      <w:bookmarkStart w:id="2846" w:name="_Hlk38972371"/>
    </w:p>
    <w:p w14:paraId="1F8548CB" w14:textId="6DB709EA" w:rsidR="00795C3E" w:rsidRPr="00834BA8" w:rsidRDefault="00795C3E" w:rsidP="35BD9115">
      <w:pPr>
        <w:pStyle w:val="Titre3"/>
        <w:rPr>
          <w:caps/>
        </w:rPr>
      </w:pPr>
      <w:bookmarkStart w:id="2847" w:name="_Toc208420122"/>
      <w:bookmarkStart w:id="2848" w:name="_Toc225504352"/>
      <w:bookmarkStart w:id="2849" w:name="_Toc225772441"/>
      <w:bookmarkStart w:id="2850" w:name="_Toc233626308"/>
      <w:r w:rsidRPr="00834BA8">
        <w:t>04002/364-48 : Commerce de frites (hot-dogs, beignets, etc.) à emporter</w:t>
      </w:r>
      <w:bookmarkEnd w:id="2845"/>
      <w:bookmarkEnd w:id="2847"/>
      <w:bookmarkEnd w:id="2848"/>
      <w:bookmarkEnd w:id="2849"/>
      <w:bookmarkEnd w:id="2850"/>
      <w:r w:rsidRPr="00834BA8">
        <w:t xml:space="preserve"> </w:t>
      </w:r>
    </w:p>
    <w:bookmarkEnd w:id="2846"/>
    <w:p w14:paraId="5746565B" w14:textId="77777777" w:rsidR="00795C3E" w:rsidRPr="00F91BDD" w:rsidRDefault="00795C3E" w:rsidP="00795C3E">
      <w:pPr>
        <w:spacing w:before="120"/>
      </w:pPr>
      <w:r w:rsidRPr="00F91BDD">
        <w:t>Taxe directe – Modèle disponible.</w:t>
      </w:r>
    </w:p>
    <w:p w14:paraId="406BCD41" w14:textId="76839A52" w:rsidR="00795C3E" w:rsidRPr="00F91BDD" w:rsidRDefault="00795C3E" w:rsidP="00795C3E">
      <w:pPr>
        <w:spacing w:before="120"/>
        <w:textAlignment w:val="baseline"/>
        <w:rPr>
          <w:rFonts w:cs="Calibri Light"/>
          <w:spacing w:val="-1"/>
        </w:rPr>
      </w:pPr>
      <w:r w:rsidRPr="00F91BDD">
        <w:rPr>
          <w:rFonts w:cs="Calibri Light"/>
          <w:spacing w:val="-1"/>
        </w:rPr>
        <w:t>Taux maximum recommandé est fixé à : 1.150,00 euros/</w:t>
      </w:r>
      <w:r w:rsidR="005E4E47" w:rsidRPr="00F91BDD">
        <w:rPr>
          <w:rFonts w:cs="Calibri Light"/>
          <w:spacing w:val="-1"/>
        </w:rPr>
        <w:t>an.</w:t>
      </w:r>
    </w:p>
    <w:p w14:paraId="02AE1B8C" w14:textId="77777777" w:rsidR="00795C3E" w:rsidRPr="00F91BDD" w:rsidRDefault="00795C3E" w:rsidP="00795C3E">
      <w:pPr>
        <w:spacing w:before="120"/>
        <w:textAlignment w:val="baseline"/>
        <w:rPr>
          <w:rFonts w:cs="Calibri Light"/>
        </w:rPr>
      </w:pPr>
      <w:r w:rsidRPr="00F91BDD">
        <w:rPr>
          <w:rFonts w:cs="Calibri Light"/>
        </w:rPr>
        <w:t xml:space="preserve">Il n'est pas conforme au principe d'égalité devant l'impôt de soumettre les commerces installés sur le domaine public à un taux de taxation différent de celui frappant ceux établis sur le domaine privé. </w:t>
      </w:r>
    </w:p>
    <w:p w14:paraId="6C6370AB" w14:textId="7B9E80FD" w:rsidR="00795C3E" w:rsidRPr="00F91BDD" w:rsidRDefault="00795C3E" w:rsidP="00795C3E">
      <w:pPr>
        <w:spacing w:before="120"/>
        <w:textAlignment w:val="baseline"/>
        <w:rPr>
          <w:rFonts w:cs="Calibri Light"/>
        </w:rPr>
      </w:pPr>
      <w:r w:rsidRPr="00F91BDD">
        <w:rPr>
          <w:rFonts w:cs="Calibri Light"/>
        </w:rPr>
        <w:t>Cette taxe n’est pas incompatible avec une redevance d'occupation lorsque le commerce est installé sur le domaine public communal</w:t>
      </w:r>
      <w:r w:rsidR="3F7BCFA7" w:rsidRPr="5672AB13">
        <w:rPr>
          <w:rFonts w:cs="Calibri Light"/>
        </w:rPr>
        <w:t xml:space="preserve"> dans la mesure où la taxe susvisée vise l’exploitation alors que la redevance vise l’occupation du domaine public proprement dite.</w:t>
      </w:r>
    </w:p>
    <w:p w14:paraId="3DE653C6" w14:textId="77777777" w:rsidR="00795C3E" w:rsidRPr="00F91BDD" w:rsidRDefault="00795C3E" w:rsidP="00795C3E">
      <w:pPr>
        <w:spacing w:before="120"/>
        <w:textAlignment w:val="baseline"/>
        <w:rPr>
          <w:rFonts w:cs="Calibri Light"/>
        </w:rPr>
      </w:pPr>
      <w:r w:rsidRPr="00F91BDD">
        <w:rPr>
          <w:rFonts w:cs="Calibri Light"/>
        </w:rPr>
        <w:t>Par commerce de frites (hot-dogs, beignets, etc.) à emporter, on entend les établissements dont l'activité consiste, exclusivement ou non, à vendre des produits de petite restauration communément destinés à être consommés avant de refroidir et dont les acheteurs sont amenés à se défaire de leurs emballages dans les récipients prévus à cet effet sur la voie publique.</w:t>
      </w:r>
    </w:p>
    <w:p w14:paraId="4828A2E1" w14:textId="77777777" w:rsidR="00795C3E" w:rsidRPr="001C471A" w:rsidRDefault="00795C3E" w:rsidP="00795C3E">
      <w:pPr>
        <w:spacing w:before="120"/>
        <w:textAlignment w:val="baseline"/>
        <w:rPr>
          <w:rFonts w:cs="Calibri Light"/>
        </w:rPr>
      </w:pPr>
      <w:r w:rsidRPr="00F91BDD">
        <w:rPr>
          <w:rFonts w:cs="Calibri Light"/>
        </w:rPr>
        <w:t>La taxation au m² semble un bon critère depuis que, dans son arrêt du 19 avril 2021, la Cour de cassation a considéré que « En raison de son taux forfaitaire unique, la taxe litigieuse sur les bars frappe l'exercice d'une activité économique sans avoir égard au moindre indice qui rende compte de son ampleur (par exemple la superficie, l'importance du personnel ou le chiffre d'affaires). A défaut de tels indices, le règlement-taxe traite de manière identique des établissements qui, tout en exerçant la même activité, se trouvent dans des situations essentiellement différentes du point de vue de leurs capacités contributives.</w:t>
      </w:r>
      <w:bookmarkStart w:id="2851" w:name="_Toc143779213"/>
      <w:bookmarkStart w:id="2852" w:name="_Toc512525520"/>
      <w:bookmarkStart w:id="2853" w:name="_Toc515896834"/>
    </w:p>
    <w:p w14:paraId="59FD644F" w14:textId="30B7CBCB" w:rsidR="00795C3E" w:rsidRPr="00834BA8" w:rsidRDefault="00795C3E" w:rsidP="35BD9115">
      <w:pPr>
        <w:pStyle w:val="Titre3"/>
        <w:rPr>
          <w:caps/>
        </w:rPr>
      </w:pPr>
      <w:bookmarkStart w:id="2854" w:name="_Toc208420123"/>
      <w:bookmarkStart w:id="2855" w:name="_Toc225504353"/>
      <w:bookmarkStart w:id="2856" w:name="_Toc225772442"/>
      <w:bookmarkStart w:id="2857" w:name="_Toc233626309"/>
      <w:r w:rsidRPr="00834BA8">
        <w:lastRenderedPageBreak/>
        <w:t>04003/364-48 : Loges foraines et loges mobiles</w:t>
      </w:r>
      <w:bookmarkEnd w:id="2851"/>
      <w:bookmarkEnd w:id="2854"/>
      <w:bookmarkEnd w:id="2855"/>
      <w:bookmarkEnd w:id="2856"/>
      <w:bookmarkEnd w:id="2857"/>
      <w:r w:rsidRPr="00834BA8">
        <w:t xml:space="preserve"> </w:t>
      </w:r>
    </w:p>
    <w:p w14:paraId="68FE0AFB" w14:textId="77777777" w:rsidR="00795C3E" w:rsidRPr="00F91BDD" w:rsidRDefault="00795C3E" w:rsidP="00795C3E">
      <w:pPr>
        <w:spacing w:before="120"/>
      </w:pPr>
      <w:r w:rsidRPr="00F91BDD">
        <w:t>Taxe indirecte.</w:t>
      </w:r>
      <w:bookmarkEnd w:id="2852"/>
      <w:bookmarkEnd w:id="2853"/>
    </w:p>
    <w:p w14:paraId="74F828AE" w14:textId="2B36FE4D" w:rsidR="00795C3E" w:rsidRPr="00F91BDD" w:rsidRDefault="00795C3E" w:rsidP="00795C3E">
      <w:pPr>
        <w:spacing w:before="120"/>
        <w:textAlignment w:val="baseline"/>
        <w:rPr>
          <w:rFonts w:cs="Calibri Light"/>
          <w:spacing w:val="-2"/>
        </w:rPr>
      </w:pPr>
      <w:r w:rsidRPr="00F91BDD">
        <w:rPr>
          <w:rFonts w:cs="Calibri Light"/>
          <w:spacing w:val="-2"/>
        </w:rPr>
        <w:t xml:space="preserve">Taux </w:t>
      </w:r>
      <w:r w:rsidRPr="00F91BDD">
        <w:rPr>
          <w:rFonts w:cs="Calibri Light"/>
          <w:b/>
          <w:bCs/>
          <w:spacing w:val="-2"/>
        </w:rPr>
        <w:t>maximum</w:t>
      </w:r>
      <w:r w:rsidRPr="00F91BDD">
        <w:rPr>
          <w:rFonts w:cs="Calibri Light"/>
          <w:spacing w:val="-2"/>
        </w:rPr>
        <w:t xml:space="preserve"> recommandé est fixé à : 4,50 euros /m</w:t>
      </w:r>
      <w:r w:rsidRPr="00F91BDD">
        <w:rPr>
          <w:rFonts w:cs="Calibri Light"/>
          <w:spacing w:val="-2"/>
          <w:vertAlign w:val="superscript"/>
        </w:rPr>
        <w:t>2</w:t>
      </w:r>
      <w:r w:rsidRPr="00F91BDD">
        <w:rPr>
          <w:rFonts w:cs="Calibri Light"/>
          <w:spacing w:val="-2"/>
        </w:rPr>
        <w:t xml:space="preserve">/jour, </w:t>
      </w:r>
      <w:r w:rsidRPr="00F91BDD">
        <w:rPr>
          <w:rFonts w:cs="Calibri Light"/>
          <w:b/>
          <w:bCs/>
          <w:spacing w:val="-2"/>
        </w:rPr>
        <w:t>tenant compte des spécificités ci-après</w:t>
      </w:r>
      <w:r w:rsidRPr="00F91BDD">
        <w:rPr>
          <w:rFonts w:cs="Calibri Light"/>
          <w:spacing w:val="-2"/>
        </w:rPr>
        <w:t>.</w:t>
      </w:r>
    </w:p>
    <w:p w14:paraId="6F3D91D2" w14:textId="16A4D954" w:rsidR="00795C3E" w:rsidRPr="00F91BDD" w:rsidRDefault="00795C3E" w:rsidP="00795C3E">
      <w:pPr>
        <w:spacing w:before="120"/>
        <w:textAlignment w:val="baseline"/>
        <w:rPr>
          <w:rFonts w:cs="Calibri Light"/>
          <w:b/>
          <w:bCs/>
        </w:rPr>
      </w:pPr>
      <w:r w:rsidRPr="00F91BDD">
        <w:rPr>
          <w:rFonts w:cs="Calibri Light"/>
          <w:b/>
          <w:bCs/>
        </w:rPr>
        <w:t>Toutefois, s’agissant d’une taxe d’exploitation, il importe de moduler cette taxe en fonction de la catégorie des métiers forains, cette modulation permettant ainsi de prendre en compte les surfaces nécessaires en fonction du type d’activité.</w:t>
      </w:r>
    </w:p>
    <w:p w14:paraId="281013CF" w14:textId="77777777" w:rsidR="00795C3E" w:rsidRPr="00F91BDD" w:rsidRDefault="00795C3E" w:rsidP="00795C3E">
      <w:pPr>
        <w:spacing w:before="120"/>
        <w:textAlignment w:val="baseline"/>
        <w:rPr>
          <w:rFonts w:cs="Calibri Light"/>
          <w:b/>
          <w:bCs/>
        </w:rPr>
      </w:pPr>
      <w:r w:rsidRPr="00F91BDD">
        <w:rPr>
          <w:rFonts w:cs="Calibri Light"/>
          <w:b/>
          <w:bCs/>
        </w:rPr>
        <w:t>Cette modulation peut également être établie en fonction des jours de la semaine afin de prendre en compte la fréquentation présumée.</w:t>
      </w:r>
    </w:p>
    <w:p w14:paraId="0BD4C30B" w14:textId="14682710" w:rsidR="00795C3E" w:rsidRPr="00F91BDD" w:rsidRDefault="00795C3E" w:rsidP="00795C3E">
      <w:pPr>
        <w:spacing w:before="120"/>
        <w:textAlignment w:val="baseline"/>
        <w:rPr>
          <w:rFonts w:cs="Calibri Light"/>
        </w:rPr>
      </w:pPr>
      <w:r w:rsidRPr="00F91BDD">
        <w:rPr>
          <w:rFonts w:cs="Calibri Light"/>
          <w:b/>
          <w:bCs/>
        </w:rPr>
        <w:t>Enfin, des forfaits peuvent également être prévus aux fins de prévisibilité.</w:t>
      </w:r>
      <w:r w:rsidR="3F23D694" w:rsidRPr="5672AB13">
        <w:rPr>
          <w:rFonts w:cs="Calibri Light"/>
        </w:rPr>
        <w:t xml:space="preserve"> mais</w:t>
      </w:r>
      <w:r w:rsidRPr="00F91BDD">
        <w:rPr>
          <w:rFonts w:cs="Calibri Light"/>
        </w:rPr>
        <w:t xml:space="preserve"> dans tous les cas, le taux maximum prévu ne pourra excéder l’équivalent de 4,50 </w:t>
      </w:r>
      <w:r w:rsidR="0091740F" w:rsidRPr="00F91BDD">
        <w:rPr>
          <w:rFonts w:cs="Calibri Light"/>
        </w:rPr>
        <w:t>euros /</w:t>
      </w:r>
      <w:r w:rsidRPr="00F91BDD">
        <w:rPr>
          <w:rFonts w:cs="Calibri Light"/>
        </w:rPr>
        <w:t>m²/jour.</w:t>
      </w:r>
    </w:p>
    <w:p w14:paraId="7C4B4479" w14:textId="77777777" w:rsidR="00795C3E" w:rsidRPr="00F91BDD" w:rsidRDefault="00795C3E" w:rsidP="00795C3E">
      <w:pPr>
        <w:spacing w:before="120"/>
        <w:textAlignment w:val="baseline"/>
        <w:rPr>
          <w:rFonts w:cs="Calibri Light"/>
          <w:b/>
          <w:bCs/>
        </w:rPr>
      </w:pPr>
      <w:r w:rsidRPr="00F91BDD">
        <w:rPr>
          <w:rFonts w:cs="Calibri Light"/>
          <w:b/>
          <w:bCs/>
        </w:rPr>
        <w:t xml:space="preserve">Je vous recommande également de prévoir la motivation adéquate dans le préambule.  </w:t>
      </w:r>
    </w:p>
    <w:p w14:paraId="6E8EE119" w14:textId="77777777" w:rsidR="00795C3E" w:rsidRPr="00F91BDD" w:rsidRDefault="00795C3E" w:rsidP="00795C3E">
      <w:pPr>
        <w:spacing w:before="120"/>
        <w:textAlignment w:val="baseline"/>
        <w:rPr>
          <w:rFonts w:cs="Calibri Light"/>
        </w:rPr>
      </w:pPr>
      <w:r w:rsidRPr="00F91BDD">
        <w:rPr>
          <w:rFonts w:cs="Calibri Light"/>
        </w:rPr>
        <w:t xml:space="preserve">Il n'est pas conforme au principe d'égalité devant l'impôt de soumettre les commerces installés sur le domaine public à un taux de taxation différent de celui frappant ceux établis sur le domaine privé. </w:t>
      </w:r>
    </w:p>
    <w:p w14:paraId="203699D2" w14:textId="32CCE62F" w:rsidR="00795C3E" w:rsidRPr="00F91BDD" w:rsidRDefault="00795C3E" w:rsidP="5672AB13">
      <w:pPr>
        <w:spacing w:before="120"/>
        <w:textAlignment w:val="baseline"/>
        <w:rPr>
          <w:rFonts w:cs="Calibri Light"/>
        </w:rPr>
      </w:pPr>
      <w:r w:rsidRPr="00F91BDD">
        <w:rPr>
          <w:rFonts w:cs="Calibri Light"/>
        </w:rPr>
        <w:t>Cette taxe n’est pas incompatible avec une redevance d'occupation lorsque le commerce est installé sur le domaine public communal</w:t>
      </w:r>
      <w:r w:rsidR="1EE6B4B5" w:rsidRPr="5672AB13">
        <w:rPr>
          <w:rFonts w:cs="Calibri Light"/>
        </w:rPr>
        <w:t xml:space="preserve"> dans la mesure où la taxe susvisée vise l’exploitation alors que la redevance vise l’occupation du domaine public proprement </w:t>
      </w:r>
      <w:r w:rsidR="0091740F" w:rsidRPr="5672AB13">
        <w:rPr>
          <w:rFonts w:cs="Calibri Light"/>
        </w:rPr>
        <w:t>dite.</w:t>
      </w:r>
      <w:r w:rsidRPr="5672AB13">
        <w:rPr>
          <w:rFonts w:cs="Calibri Light"/>
        </w:rPr>
        <w:t xml:space="preserve"> </w:t>
      </w:r>
    </w:p>
    <w:p w14:paraId="7A5E61C2" w14:textId="261E8155" w:rsidR="00795C3E" w:rsidRPr="00F91BDD" w:rsidRDefault="00795C3E" w:rsidP="00795C3E">
      <w:pPr>
        <w:spacing w:before="120"/>
        <w:textAlignment w:val="baseline"/>
        <w:rPr>
          <w:rFonts w:cs="Calibri Light"/>
        </w:rPr>
      </w:pPr>
      <w:r w:rsidRPr="00F91BDD">
        <w:rPr>
          <w:rFonts w:cs="Calibri Light"/>
        </w:rPr>
        <w:t>Par loges mobiles, il convient d'entendre les infrastructures permettant l'exploitation d'un métier qui, comme tel, n'est pas reconnu comme forain (et non pas celles qui servent au logement des forains).   Cette précision ressort en fait de l'objet de cette taxe qui est de viser l'exploitation d'un métier présent sur une foire ou kermesse et non la taxation d'un logement.</w:t>
      </w:r>
    </w:p>
    <w:p w14:paraId="11D93C0D" w14:textId="20F95092" w:rsidR="00795C3E" w:rsidRPr="00834BA8" w:rsidRDefault="00795C3E" w:rsidP="35BD9115">
      <w:pPr>
        <w:pStyle w:val="Titre3"/>
        <w:rPr>
          <w:caps/>
        </w:rPr>
      </w:pPr>
      <w:bookmarkStart w:id="2858" w:name="_Toc6997815"/>
      <w:bookmarkStart w:id="2859" w:name="_Toc7016591"/>
      <w:bookmarkStart w:id="2860" w:name="_Toc7020759"/>
      <w:bookmarkStart w:id="2861" w:name="_Toc7094831"/>
      <w:bookmarkStart w:id="2862" w:name="_Toc8121866"/>
      <w:bookmarkStart w:id="2863" w:name="_Toc8129807"/>
      <w:bookmarkStart w:id="2864" w:name="_Toc143779214"/>
      <w:bookmarkStart w:id="2865" w:name="_Toc208420124"/>
      <w:bookmarkStart w:id="2866" w:name="_Toc225504354"/>
      <w:bookmarkStart w:id="2867" w:name="_Toc225772443"/>
      <w:bookmarkStart w:id="2868" w:name="_Toc233626310"/>
      <w:bookmarkStart w:id="2869" w:name="_Hlk39038046"/>
      <w:bookmarkStart w:id="2870" w:name="_Toc512525521"/>
      <w:bookmarkStart w:id="2871" w:name="_Toc515896835"/>
      <w:bookmarkStart w:id="2872" w:name="_Hlk105659827"/>
      <w:bookmarkEnd w:id="2858"/>
      <w:bookmarkEnd w:id="2859"/>
      <w:bookmarkEnd w:id="2860"/>
      <w:bookmarkEnd w:id="2861"/>
      <w:bookmarkEnd w:id="2862"/>
      <w:bookmarkEnd w:id="2863"/>
      <w:r w:rsidRPr="00834BA8">
        <w:t>04004/364-48 : Commerces de nuit</w:t>
      </w:r>
      <w:bookmarkEnd w:id="2864"/>
      <w:bookmarkEnd w:id="2865"/>
      <w:bookmarkEnd w:id="2866"/>
      <w:bookmarkEnd w:id="2867"/>
      <w:bookmarkEnd w:id="2868"/>
      <w:r w:rsidRPr="00834BA8">
        <w:t xml:space="preserve"> </w:t>
      </w:r>
    </w:p>
    <w:bookmarkEnd w:id="2869"/>
    <w:p w14:paraId="55E179D7" w14:textId="77777777" w:rsidR="00795C3E" w:rsidRPr="00F91BDD" w:rsidRDefault="00795C3E" w:rsidP="00795C3E">
      <w:pPr>
        <w:spacing w:before="120"/>
      </w:pPr>
      <w:r w:rsidRPr="00F91BDD">
        <w:t>Taxe directe</w:t>
      </w:r>
      <w:bookmarkEnd w:id="2870"/>
      <w:bookmarkEnd w:id="2871"/>
      <w:r>
        <w:t xml:space="preserve">. </w:t>
      </w:r>
    </w:p>
    <w:p w14:paraId="460C1302" w14:textId="63B25DE1" w:rsidR="00795C3E" w:rsidRPr="00F91BDD" w:rsidRDefault="64A4D9A4" w:rsidP="00795C3E">
      <w:pPr>
        <w:spacing w:before="120"/>
        <w:textAlignment w:val="baseline"/>
        <w:rPr>
          <w:rFonts w:cs="Calibri Light"/>
        </w:rPr>
      </w:pPr>
      <w:r w:rsidRPr="7748B622">
        <w:rPr>
          <w:rFonts w:cs="Calibri Light"/>
        </w:rPr>
        <w:t>Le t</w:t>
      </w:r>
      <w:r w:rsidR="00795C3E" w:rsidRPr="7748B622">
        <w:rPr>
          <w:rFonts w:cs="Calibri Light"/>
        </w:rPr>
        <w:t xml:space="preserve">aux maximum recommandé est fixé à 25,00 </w:t>
      </w:r>
      <w:r w:rsidR="006A530B" w:rsidRPr="7748B622">
        <w:rPr>
          <w:rFonts w:cs="Calibri Light"/>
        </w:rPr>
        <w:t>euros par</w:t>
      </w:r>
      <w:r w:rsidR="2A6452AA" w:rsidRPr="7748B622">
        <w:rPr>
          <w:rFonts w:cs="Calibri Light"/>
        </w:rPr>
        <w:t xml:space="preserve"> </w:t>
      </w:r>
      <w:r w:rsidR="00795C3E" w:rsidRPr="7748B622">
        <w:rPr>
          <w:rFonts w:cs="Calibri Light"/>
        </w:rPr>
        <w:t>m</w:t>
      </w:r>
      <w:r w:rsidR="00795C3E" w:rsidRPr="7748B622">
        <w:rPr>
          <w:rFonts w:cs="Calibri Light"/>
          <w:vertAlign w:val="superscript"/>
        </w:rPr>
        <w:t>2</w:t>
      </w:r>
      <w:r w:rsidR="00795C3E" w:rsidRPr="7748B622">
        <w:rPr>
          <w:rFonts w:cs="Calibri Light"/>
          <w:b/>
          <w:bCs/>
        </w:rPr>
        <w:t xml:space="preserve"> de surface commerciale nette </w:t>
      </w:r>
      <w:r w:rsidR="00795C3E" w:rsidRPr="7748B622">
        <w:rPr>
          <w:rFonts w:cs="Calibri Light"/>
        </w:rPr>
        <w:t xml:space="preserve">avec un montant maximum total recommandé de 3.350,00 </w:t>
      </w:r>
      <w:r w:rsidR="006A530B" w:rsidRPr="7748B622">
        <w:rPr>
          <w:rFonts w:cs="Calibri Light"/>
        </w:rPr>
        <w:t>euros par</w:t>
      </w:r>
      <w:r w:rsidR="00795C3E" w:rsidRPr="7748B622">
        <w:rPr>
          <w:rFonts w:cs="Calibri Light"/>
        </w:rPr>
        <w:t xml:space="preserve"> établissement</w:t>
      </w:r>
      <w:r w:rsidR="1FD23488" w:rsidRPr="7748B622">
        <w:rPr>
          <w:rFonts w:cs="Calibri Light"/>
        </w:rPr>
        <w:t xml:space="preserve"> et par an</w:t>
      </w:r>
    </w:p>
    <w:p w14:paraId="58420EC3" w14:textId="503A9175" w:rsidR="00795C3E" w:rsidRPr="00F91BDD" w:rsidRDefault="00795C3E" w:rsidP="00795C3E">
      <w:pPr>
        <w:spacing w:before="120"/>
        <w:textAlignment w:val="baseline"/>
        <w:rPr>
          <w:rFonts w:cs="Calibri Light"/>
        </w:rPr>
      </w:pPr>
      <w:r>
        <w:t>Pour les surfaces inférieures à 50 m</w:t>
      </w:r>
      <w:r w:rsidRPr="7748B622">
        <w:rPr>
          <w:vertAlign w:val="superscript"/>
        </w:rPr>
        <w:t>2</w:t>
      </w:r>
      <w:r>
        <w:t xml:space="preserve">, il est possible de prévoir une taxe forfaitaire. Dans ce cas, le montant maximum recommandé est fixé à </w:t>
      </w:r>
      <w:bookmarkStart w:id="2873" w:name="_Hlk39229174"/>
      <w:r w:rsidRPr="7748B622">
        <w:rPr>
          <w:rFonts w:cs="Calibri Light"/>
        </w:rPr>
        <w:t>1.000,00 euros</w:t>
      </w:r>
      <w:r w:rsidR="677BB485" w:rsidRPr="7748B622">
        <w:rPr>
          <w:rFonts w:cs="Calibri Light"/>
        </w:rPr>
        <w:t xml:space="preserve"> par </w:t>
      </w:r>
      <w:bookmarkEnd w:id="2873"/>
      <w:r w:rsidR="006A530B" w:rsidRPr="7748B622">
        <w:rPr>
          <w:rFonts w:cs="Calibri Light"/>
        </w:rPr>
        <w:t>an.</w:t>
      </w:r>
    </w:p>
    <w:p w14:paraId="793D4346" w14:textId="77777777" w:rsidR="00795C3E" w:rsidRPr="00F91BDD" w:rsidRDefault="00795C3E" w:rsidP="00795C3E">
      <w:pPr>
        <w:spacing w:before="120"/>
        <w:textAlignment w:val="baseline"/>
        <w:rPr>
          <w:rFonts w:cs="Calibri Light"/>
          <w:spacing w:val="-2"/>
        </w:rPr>
      </w:pPr>
      <w:r w:rsidRPr="00F91BDD">
        <w:rPr>
          <w:rFonts w:cs="Calibri Light"/>
          <w:spacing w:val="-2"/>
        </w:rPr>
        <w:t>Il faut entendre par :</w:t>
      </w:r>
    </w:p>
    <w:p w14:paraId="3E4ADEF9" w14:textId="77777777" w:rsidR="00795C3E" w:rsidRPr="00F91BDD" w:rsidRDefault="00795C3E" w:rsidP="00795C3E">
      <w:pPr>
        <w:spacing w:before="120"/>
        <w:textAlignment w:val="baseline"/>
        <w:rPr>
          <w:rFonts w:cs="Calibri Light"/>
        </w:rPr>
      </w:pPr>
      <w:bookmarkStart w:id="2874" w:name="_Hlk105659810"/>
      <w:r w:rsidRPr="00F91BDD">
        <w:rPr>
          <w:rFonts w:cs="Calibri Light"/>
        </w:rPr>
        <w:t xml:space="preserve">« </w:t>
      </w:r>
      <w:r w:rsidRPr="00F91BDD">
        <w:rPr>
          <w:rFonts w:cs="Calibri Light"/>
          <w:b/>
        </w:rPr>
        <w:t xml:space="preserve">Commerce de nuit » : </w:t>
      </w:r>
      <w:r w:rsidRPr="00F91BDD">
        <w:rPr>
          <w:rFonts w:cs="Calibri Light"/>
        </w:rPr>
        <w:t xml:space="preserve">tout établissement dont la surface commerciale réelle ne dépasse pas une surface nette de 150 m², dont l’activité consiste en la vente aux détails de produits alimentaires et/ou autres sous quelques formes et conditionnements que ce soit et non destiné à être consommés sur place, qui ouvre et reste ouvert durant une période comprise </w:t>
      </w:r>
      <w:r w:rsidRPr="00F91BDD">
        <w:rPr>
          <w:rFonts w:cs="Calibri Light"/>
        </w:rPr>
        <w:lastRenderedPageBreak/>
        <w:t>entre 22h et 5h, quel que soit le jour de la semaine (cfr loi du 10.11.2006 relative aux heures d’ouverture dans le commerce).</w:t>
      </w:r>
    </w:p>
    <w:bookmarkEnd w:id="2872"/>
    <w:bookmarkEnd w:id="2874"/>
    <w:p w14:paraId="5958CAC0" w14:textId="77777777" w:rsidR="00795C3E" w:rsidRPr="00F91BDD" w:rsidRDefault="00795C3E" w:rsidP="00795C3E">
      <w:pPr>
        <w:spacing w:before="120"/>
        <w:textAlignment w:val="baseline"/>
        <w:rPr>
          <w:rFonts w:cs="Calibri Light"/>
        </w:rPr>
      </w:pPr>
      <w:r w:rsidRPr="00F91BDD">
        <w:rPr>
          <w:rFonts w:cs="Calibri Light"/>
          <w:b/>
        </w:rPr>
        <w:t>« Surface commerciale nette » :</w:t>
      </w:r>
      <w:r w:rsidRPr="00F91BDD">
        <w:rPr>
          <w:rFonts w:cs="Calibri Light"/>
        </w:rPr>
        <w:t xml:space="preserve"> la surface destinée à la vente et accessible au public y compris les surfaces non couvertes ; cette surface inclut notamment les zones de caisses, les zones situées à l'arrière des caisses.</w:t>
      </w:r>
    </w:p>
    <w:p w14:paraId="3E670EDA" w14:textId="77777777" w:rsidR="00795C3E" w:rsidRPr="00CC1B26" w:rsidRDefault="00795C3E" w:rsidP="00795C3E">
      <w:pPr>
        <w:pStyle w:val="Lgende"/>
        <w:rPr>
          <w:rFonts w:cs="Calibri Light"/>
          <w:b w:val="0"/>
          <w:bCs w:val="0"/>
          <w:color w:val="auto"/>
          <w:sz w:val="22"/>
          <w:szCs w:val="22"/>
        </w:rPr>
      </w:pPr>
      <w:bookmarkStart w:id="2875" w:name="_Hlk68533690"/>
      <w:r w:rsidRPr="00CC1B26">
        <w:rPr>
          <w:rFonts w:cs="Calibri Light"/>
          <w:b w:val="0"/>
          <w:bCs w:val="0"/>
          <w:color w:val="auto"/>
          <w:sz w:val="22"/>
          <w:szCs w:val="22"/>
        </w:rPr>
        <w:t xml:space="preserve">La taxation au m² semble un bon critère depuis que dans son arrêt du 19 avril 2021 </w:t>
      </w:r>
      <w:r w:rsidRPr="00CC1B26">
        <w:rPr>
          <w:rFonts w:cs="Calibri Light"/>
          <w:b w:val="0"/>
          <w:bCs w:val="0"/>
          <w:color w:val="auto"/>
        </w:rPr>
        <w:footnoteReference w:id="109"/>
      </w:r>
      <w:r w:rsidRPr="00CC1B26">
        <w:rPr>
          <w:rFonts w:cs="Calibri Light"/>
          <w:b w:val="0"/>
          <w:bCs w:val="0"/>
          <w:color w:val="auto"/>
          <w:sz w:val="22"/>
          <w:szCs w:val="22"/>
        </w:rPr>
        <w:t>, la Cour de cassation a considéré que « </w:t>
      </w:r>
      <w:r w:rsidRPr="00CC1B26">
        <w:rPr>
          <w:rFonts w:cs="Calibri Light"/>
          <w:b w:val="0"/>
          <w:bCs w:val="0"/>
          <w:i/>
          <w:iCs/>
          <w:color w:val="auto"/>
          <w:sz w:val="22"/>
          <w:szCs w:val="22"/>
        </w:rPr>
        <w:t>En raison de son taux forfaitaire unique, la taxe litigieuse sur les bars frappe l'exercice d'une activité économique sans avoir égard au moindre indice qui rende compte de son ampleur (par exemple la superficie, l'importance du personnel ou le chiffre d'affaires). A défaut de tels indices, le règlement-taxe traite de manière identique des établissements qui, tout en exerçant la même activité, se trouvent dans des situations essentiellement différentes du point de vue de leurs capacités contributives.</w:t>
      </w:r>
      <w:r w:rsidRPr="00CC1B26">
        <w:rPr>
          <w:rFonts w:cs="Calibri Light"/>
          <w:b w:val="0"/>
          <w:bCs w:val="0"/>
          <w:color w:val="auto"/>
          <w:sz w:val="22"/>
          <w:szCs w:val="22"/>
        </w:rPr>
        <w:t> ».</w:t>
      </w:r>
      <w:bookmarkStart w:id="2876" w:name="_Toc143779215"/>
      <w:bookmarkStart w:id="2877" w:name="_Hlk68533758"/>
      <w:bookmarkStart w:id="2878" w:name="_Toc512525522"/>
      <w:bookmarkStart w:id="2879" w:name="_Toc515896836"/>
      <w:bookmarkEnd w:id="2875"/>
    </w:p>
    <w:p w14:paraId="12B198A4" w14:textId="018DBF05" w:rsidR="00795C3E" w:rsidRPr="00834BA8" w:rsidRDefault="00795C3E" w:rsidP="35BD9115">
      <w:pPr>
        <w:pStyle w:val="Titre3"/>
        <w:rPr>
          <w:caps/>
        </w:rPr>
      </w:pPr>
      <w:bookmarkStart w:id="2880" w:name="_Toc208420125"/>
      <w:bookmarkStart w:id="2881" w:name="_Toc225504355"/>
      <w:bookmarkStart w:id="2882" w:name="_Toc225772444"/>
      <w:bookmarkStart w:id="2883" w:name="_Toc233626311"/>
      <w:r w:rsidRPr="00834BA8">
        <w:t>04005/364-48 : Phone shops</w:t>
      </w:r>
      <w:bookmarkEnd w:id="2876"/>
      <w:bookmarkEnd w:id="2880"/>
      <w:bookmarkEnd w:id="2881"/>
      <w:bookmarkEnd w:id="2882"/>
      <w:bookmarkEnd w:id="2883"/>
    </w:p>
    <w:bookmarkEnd w:id="2877"/>
    <w:p w14:paraId="42397E14" w14:textId="77777777" w:rsidR="00795C3E" w:rsidRPr="00F91BDD" w:rsidRDefault="00795C3E" w:rsidP="00795C3E">
      <w:pPr>
        <w:spacing w:before="120"/>
      </w:pPr>
      <w:r w:rsidRPr="00F91BDD">
        <w:t>Taxe directe</w:t>
      </w:r>
      <w:bookmarkEnd w:id="2878"/>
      <w:bookmarkEnd w:id="2879"/>
      <w:r>
        <w:t xml:space="preserve">. </w:t>
      </w:r>
    </w:p>
    <w:p w14:paraId="32A6AF71" w14:textId="3DC62BBF" w:rsidR="00795C3E" w:rsidRPr="00F91BDD" w:rsidRDefault="0AF52C18" w:rsidP="00795C3E">
      <w:pPr>
        <w:spacing w:before="120"/>
        <w:textAlignment w:val="baseline"/>
        <w:rPr>
          <w:rFonts w:cs="Calibri Light"/>
        </w:rPr>
      </w:pPr>
      <w:r w:rsidRPr="7748B622">
        <w:rPr>
          <w:rFonts w:cs="Calibri Light"/>
        </w:rPr>
        <w:t>Le t</w:t>
      </w:r>
      <w:r w:rsidR="00795C3E" w:rsidRPr="7748B622">
        <w:rPr>
          <w:rFonts w:cs="Calibri Light"/>
        </w:rPr>
        <w:t xml:space="preserve">aux maximum recommandé </w:t>
      </w:r>
      <w:r w:rsidR="59A9B441" w:rsidRPr="7748B622">
        <w:rPr>
          <w:rFonts w:cs="Calibri Light"/>
        </w:rPr>
        <w:t xml:space="preserve">est fixé </w:t>
      </w:r>
      <w:r w:rsidR="00795C3E" w:rsidRPr="7748B622">
        <w:rPr>
          <w:rFonts w:cs="Calibri Light"/>
        </w:rPr>
        <w:t xml:space="preserve">à 25,00 euros  </w:t>
      </w:r>
      <w:bookmarkStart w:id="2884" w:name="_Hlk157087777"/>
      <w:r w:rsidR="00795C3E" w:rsidRPr="7748B622">
        <w:rPr>
          <w:rFonts w:cs="Calibri Light"/>
        </w:rPr>
        <w:t xml:space="preserve"> </w:t>
      </w:r>
      <w:r w:rsidR="0310F1FE" w:rsidRPr="7748B622">
        <w:rPr>
          <w:rFonts w:cs="Calibri Light"/>
        </w:rPr>
        <w:t>par</w:t>
      </w:r>
      <w:r w:rsidR="00795C3E" w:rsidRPr="7748B622">
        <w:rPr>
          <w:rFonts w:cs="Calibri Light"/>
        </w:rPr>
        <w:t xml:space="preserve"> m</w:t>
      </w:r>
      <w:r w:rsidR="00795C3E" w:rsidRPr="7748B622">
        <w:rPr>
          <w:rFonts w:cs="Calibri Light"/>
          <w:vertAlign w:val="superscript"/>
        </w:rPr>
        <w:t>2</w:t>
      </w:r>
      <w:r w:rsidR="00795C3E" w:rsidRPr="7748B622">
        <w:rPr>
          <w:rFonts w:cs="Calibri Light"/>
        </w:rPr>
        <w:t xml:space="preserve"> </w:t>
      </w:r>
      <w:bookmarkEnd w:id="2884"/>
      <w:r w:rsidR="00795C3E" w:rsidRPr="7748B622">
        <w:rPr>
          <w:rFonts w:cs="Calibri Light"/>
        </w:rPr>
        <w:t xml:space="preserve">avec un montant maximum total recommandé de 3.350,00 </w:t>
      </w:r>
      <w:r w:rsidR="006A530B" w:rsidRPr="7748B622">
        <w:rPr>
          <w:rFonts w:cs="Calibri Light"/>
        </w:rPr>
        <w:t>euros par</w:t>
      </w:r>
      <w:r w:rsidR="00795C3E" w:rsidRPr="7748B622">
        <w:rPr>
          <w:rFonts w:cs="Calibri Light"/>
        </w:rPr>
        <w:t xml:space="preserve"> établissement</w:t>
      </w:r>
      <w:r w:rsidR="63A2E65B" w:rsidRPr="7748B622">
        <w:rPr>
          <w:rFonts w:cs="Calibri Light"/>
        </w:rPr>
        <w:t xml:space="preserve"> et par an</w:t>
      </w:r>
    </w:p>
    <w:p w14:paraId="3FA5444A" w14:textId="296ECCB4" w:rsidR="00795C3E" w:rsidRPr="00F91BDD" w:rsidRDefault="00795C3E" w:rsidP="00795C3E">
      <w:pPr>
        <w:spacing w:before="120"/>
        <w:textAlignment w:val="baseline"/>
        <w:rPr>
          <w:rFonts w:cs="Calibri Light"/>
        </w:rPr>
      </w:pPr>
      <w:r>
        <w:t>Pour les surfaces inférieures à 50 m</w:t>
      </w:r>
      <w:r w:rsidRPr="7748B622">
        <w:rPr>
          <w:vertAlign w:val="superscript"/>
        </w:rPr>
        <w:t>2</w:t>
      </w:r>
      <w:r>
        <w:t xml:space="preserve">, il est possible de prévoir une taxe forfaitaire. Dans ce cas, le montant maximum recommandé est fixé à </w:t>
      </w:r>
      <w:r w:rsidRPr="7748B622">
        <w:rPr>
          <w:rFonts w:cs="Calibri Light"/>
        </w:rPr>
        <w:t>1.000,00 euros</w:t>
      </w:r>
      <w:r w:rsidR="19BB1208" w:rsidRPr="7748B622">
        <w:rPr>
          <w:rFonts w:cs="Calibri Light"/>
        </w:rPr>
        <w:t xml:space="preserve"> par </w:t>
      </w:r>
      <w:r w:rsidR="00B85B1B" w:rsidRPr="7748B622">
        <w:rPr>
          <w:rFonts w:cs="Calibri Light"/>
        </w:rPr>
        <w:t>an.</w:t>
      </w:r>
    </w:p>
    <w:p w14:paraId="4239943D" w14:textId="77777777" w:rsidR="00795C3E" w:rsidRPr="00F91BDD" w:rsidRDefault="00795C3E" w:rsidP="00795C3E">
      <w:pPr>
        <w:spacing w:before="120"/>
        <w:textAlignment w:val="baseline"/>
        <w:rPr>
          <w:rFonts w:cs="Calibri Light"/>
        </w:rPr>
      </w:pPr>
      <w:r w:rsidRPr="00F91BDD">
        <w:rPr>
          <w:rFonts w:cs="Calibri Light"/>
        </w:rPr>
        <w:t>Par phone shop, il faut entendre tout établissement dans lequel des prestations de service d'accès sur place à des outils de télécommunication tels que téléphonie ou internet sont fournis.</w:t>
      </w:r>
    </w:p>
    <w:p w14:paraId="35F8BB55" w14:textId="77777777" w:rsidR="00795C3E" w:rsidRPr="00834BA8" w:rsidRDefault="00795C3E" w:rsidP="00795C3E">
      <w:pPr>
        <w:spacing w:before="120"/>
        <w:textAlignment w:val="baseline"/>
        <w:rPr>
          <w:rFonts w:cs="Calibri Light"/>
        </w:rPr>
      </w:pPr>
      <w:r w:rsidRPr="00F91BDD">
        <w:rPr>
          <w:rFonts w:cs="Calibri Light"/>
        </w:rPr>
        <w:t xml:space="preserve">La taxation au m² semble un bon critère depuis que, dans son arrêt du 19 avril 2021, la Cour de cassation a considéré que « </w:t>
      </w:r>
      <w:r w:rsidRPr="00F91BDD">
        <w:rPr>
          <w:rFonts w:cs="Calibri Light"/>
          <w:i/>
          <w:iCs/>
        </w:rPr>
        <w:t>En raison de son taux forfaitaire unique, la taxe litigieuse sur les bars frappe l'exercice d'une activité économique sans avoir égard au moindre indice qui rende compte de son ampleur (par exemple la superficie, l'importance du personnel ou le chiffre d'affaires). A défaut de tels indices, le règlement-taxe traite de manière identique des établissements qui, tout en exerçant la même activité, se trouvent dans des situations essentiellement différentes du point de vue de leurs capacités contributives.</w:t>
      </w:r>
      <w:r w:rsidRPr="00F91BDD">
        <w:rPr>
          <w:rFonts w:cs="Calibri Light"/>
        </w:rPr>
        <w:t> ».</w:t>
      </w:r>
      <w:bookmarkStart w:id="2885" w:name="_Toc143779216"/>
      <w:bookmarkStart w:id="2886" w:name="_Toc512525523"/>
      <w:bookmarkStart w:id="2887" w:name="_Toc515896837"/>
    </w:p>
    <w:p w14:paraId="2237772F" w14:textId="3DE7D70B" w:rsidR="00795C3E" w:rsidRPr="00834BA8" w:rsidRDefault="00795C3E" w:rsidP="35BD9115">
      <w:pPr>
        <w:pStyle w:val="Titre3"/>
        <w:rPr>
          <w:caps/>
        </w:rPr>
      </w:pPr>
      <w:bookmarkStart w:id="2888" w:name="_Toc208420126"/>
      <w:bookmarkStart w:id="2889" w:name="_Toc225504356"/>
      <w:bookmarkStart w:id="2890" w:name="_Toc225772445"/>
      <w:bookmarkStart w:id="2891" w:name="_Toc233626312"/>
      <w:r w:rsidRPr="00834BA8">
        <w:t>04006/364-48 : Exploitation de parkings</w:t>
      </w:r>
      <w:bookmarkEnd w:id="2885"/>
      <w:bookmarkEnd w:id="2888"/>
      <w:bookmarkEnd w:id="2889"/>
      <w:bookmarkEnd w:id="2890"/>
      <w:bookmarkEnd w:id="2891"/>
      <w:r w:rsidRPr="00834BA8">
        <w:t xml:space="preserve"> </w:t>
      </w:r>
    </w:p>
    <w:p w14:paraId="44E40E9B" w14:textId="77777777" w:rsidR="00795C3E" w:rsidRPr="00F91BDD" w:rsidRDefault="00795C3E" w:rsidP="00795C3E">
      <w:pPr>
        <w:spacing w:before="120"/>
      </w:pPr>
      <w:r w:rsidRPr="00F91BDD">
        <w:t>Taxe directe</w:t>
      </w:r>
      <w:bookmarkEnd w:id="2886"/>
      <w:bookmarkEnd w:id="2887"/>
      <w:r>
        <w:t>.</w:t>
      </w:r>
    </w:p>
    <w:p w14:paraId="7C11238D" w14:textId="78FF8636" w:rsidR="00795C3E" w:rsidRPr="00F91BDD" w:rsidRDefault="00795C3E" w:rsidP="00795C3E">
      <w:pPr>
        <w:spacing w:before="120"/>
        <w:textAlignment w:val="baseline"/>
        <w:rPr>
          <w:rFonts w:cs="Calibri Light"/>
        </w:rPr>
      </w:pPr>
      <w:r w:rsidRPr="00F91BDD">
        <w:rPr>
          <w:rFonts w:cs="Calibri Light"/>
        </w:rPr>
        <w:t xml:space="preserve">Taux maximum recommandé : 112,00 </w:t>
      </w:r>
      <w:r w:rsidR="00717B04" w:rsidRPr="00F91BDD">
        <w:rPr>
          <w:rFonts w:cs="Calibri Light"/>
        </w:rPr>
        <w:t xml:space="preserve">euros </w:t>
      </w:r>
      <w:r w:rsidR="00717B04" w:rsidRPr="62298347">
        <w:rPr>
          <w:rFonts w:cs="Calibri Light"/>
        </w:rPr>
        <w:t>par</w:t>
      </w:r>
      <w:r w:rsidRPr="00F91BDD">
        <w:rPr>
          <w:rFonts w:cs="Calibri Light"/>
        </w:rPr>
        <w:t xml:space="preserve"> emplacement/an.</w:t>
      </w:r>
    </w:p>
    <w:p w14:paraId="388DD0DC" w14:textId="77777777" w:rsidR="00795C3E" w:rsidRPr="00F91BDD" w:rsidRDefault="00795C3E" w:rsidP="00795C3E">
      <w:pPr>
        <w:spacing w:before="120"/>
        <w:textAlignment w:val="baseline"/>
        <w:rPr>
          <w:rFonts w:cs="Calibri Light"/>
        </w:rPr>
      </w:pPr>
      <w:bookmarkStart w:id="2892" w:name="_Hlk39038743"/>
      <w:r w:rsidRPr="00F91BDD">
        <w:rPr>
          <w:rFonts w:cs="Calibri Light"/>
        </w:rPr>
        <w:t>Est visée l'exploitation commerciale de parkings payants ouverts au public.</w:t>
      </w:r>
    </w:p>
    <w:p w14:paraId="33924C7B" w14:textId="77777777" w:rsidR="00795C3E" w:rsidRPr="00F91BDD" w:rsidRDefault="00795C3E" w:rsidP="00795C3E">
      <w:pPr>
        <w:spacing w:before="120"/>
        <w:textAlignment w:val="baseline"/>
        <w:rPr>
          <w:rFonts w:cs="Calibri Light"/>
        </w:rPr>
      </w:pPr>
      <w:r w:rsidRPr="00F91BDD">
        <w:rPr>
          <w:rFonts w:cs="Calibri Light"/>
        </w:rPr>
        <w:lastRenderedPageBreak/>
        <w:t>Par parking, on entend tout lieu réservé au stationnement payant de véhicules automobiles soit sur un terrain du domaine privé à ciel ouvert, soit en ouvrage, en ce compris l'éventuelle plate-forme du dernier niveau.</w:t>
      </w:r>
    </w:p>
    <w:p w14:paraId="0E8CEC3E" w14:textId="72CBDBAE" w:rsidR="00795C3E" w:rsidRPr="00EB1B39" w:rsidRDefault="00795C3E" w:rsidP="35BD9115">
      <w:pPr>
        <w:pStyle w:val="Titre3"/>
        <w:rPr>
          <w:caps/>
        </w:rPr>
      </w:pPr>
      <w:bookmarkStart w:id="2893" w:name="_Toc143779217"/>
      <w:bookmarkStart w:id="2894" w:name="_Toc208420127"/>
      <w:bookmarkStart w:id="2895" w:name="_Toc225504357"/>
      <w:bookmarkStart w:id="2896" w:name="_Toc225772446"/>
      <w:bookmarkStart w:id="2897" w:name="_Toc233626313"/>
      <w:bookmarkStart w:id="2898" w:name="_Hlk68533733"/>
      <w:bookmarkStart w:id="2899" w:name="_Hlk36626778"/>
      <w:bookmarkStart w:id="2900" w:name="_Hlk105661339"/>
      <w:bookmarkEnd w:id="2892"/>
      <w:r w:rsidRPr="00EB1B39">
        <w:t>04007/364-48 Cannabis shops</w:t>
      </w:r>
      <w:bookmarkEnd w:id="2893"/>
      <w:bookmarkEnd w:id="2894"/>
      <w:bookmarkEnd w:id="2895"/>
      <w:bookmarkEnd w:id="2896"/>
      <w:bookmarkEnd w:id="2897"/>
    </w:p>
    <w:bookmarkEnd w:id="2898"/>
    <w:p w14:paraId="4F4FCD08" w14:textId="77777777" w:rsidR="00795C3E" w:rsidRPr="00F91BDD" w:rsidRDefault="00795C3E" w:rsidP="00795C3E">
      <w:pPr>
        <w:spacing w:before="120"/>
      </w:pPr>
      <w:r w:rsidRPr="00F91BDD">
        <w:t>Taxe directe</w:t>
      </w:r>
      <w:r>
        <w:t>.</w:t>
      </w:r>
    </w:p>
    <w:p w14:paraId="437982D3" w14:textId="4739BAAC" w:rsidR="00795C3E" w:rsidRPr="00F91BDD" w:rsidRDefault="00795C3E" w:rsidP="00795C3E">
      <w:pPr>
        <w:spacing w:before="120"/>
        <w:textAlignment w:val="baseline"/>
      </w:pPr>
      <w:bookmarkStart w:id="2901" w:name="_Hlk36627089"/>
      <w:bookmarkEnd w:id="2899"/>
      <w:r w:rsidRPr="00F91BDD">
        <w:rPr>
          <w:rFonts w:cs="Calibri Light"/>
        </w:rPr>
        <w:t>Taux</w:t>
      </w:r>
      <w:r w:rsidRPr="00F91BDD">
        <w:t xml:space="preserve"> maximum recommandé : </w:t>
      </w:r>
      <w:r w:rsidRPr="00F91BDD">
        <w:rPr>
          <w:rFonts w:cs="Calibri Light"/>
        </w:rPr>
        <w:t xml:space="preserve">à 25,00 </w:t>
      </w:r>
      <w:r w:rsidR="00717B04" w:rsidRPr="00F91BDD">
        <w:rPr>
          <w:rFonts w:cs="Calibri Light"/>
        </w:rPr>
        <w:t xml:space="preserve">euros </w:t>
      </w:r>
      <w:r w:rsidR="00717B04" w:rsidRPr="00F91BDD">
        <w:t>le</w:t>
      </w:r>
      <w:r w:rsidRPr="00F91BDD">
        <w:rPr>
          <w:rFonts w:cs="Calibri Light"/>
        </w:rPr>
        <w:t xml:space="preserve"> m</w:t>
      </w:r>
      <w:r w:rsidRPr="00F91BDD">
        <w:rPr>
          <w:rFonts w:cs="Calibri Light"/>
          <w:vertAlign w:val="superscript"/>
        </w:rPr>
        <w:t>2</w:t>
      </w:r>
      <w:r w:rsidRPr="00F91BDD">
        <w:rPr>
          <w:rFonts w:cs="Calibri Light"/>
        </w:rPr>
        <w:t xml:space="preserve"> </w:t>
      </w:r>
      <w:r w:rsidRPr="00F91BDD">
        <w:t xml:space="preserve">de surface commerciale nette avec un montant maximum total recommandé de </w:t>
      </w:r>
      <w:r w:rsidRPr="00F91BDD">
        <w:rPr>
          <w:rFonts w:cs="Calibri Light"/>
        </w:rPr>
        <w:t xml:space="preserve">3.350,00 </w:t>
      </w:r>
      <w:r w:rsidR="00717B04" w:rsidRPr="00F91BDD">
        <w:rPr>
          <w:rFonts w:cs="Calibri Light"/>
        </w:rPr>
        <w:t>euros par</w:t>
      </w:r>
      <w:r w:rsidRPr="00F91BDD">
        <w:t xml:space="preserve"> établissement.</w:t>
      </w:r>
    </w:p>
    <w:p w14:paraId="279CA71B" w14:textId="450C666F" w:rsidR="00795C3E" w:rsidRPr="00F91BDD" w:rsidRDefault="00795C3E" w:rsidP="00795C3E">
      <w:pPr>
        <w:spacing w:before="120"/>
      </w:pPr>
      <w:r w:rsidRPr="004E425F">
        <w:t>Pour les surfaces inférieures à 50 m</w:t>
      </w:r>
      <w:r w:rsidRPr="004E425F">
        <w:rPr>
          <w:vertAlign w:val="superscript"/>
        </w:rPr>
        <w:t>2</w:t>
      </w:r>
      <w:r w:rsidRPr="004E425F">
        <w:t xml:space="preserve">, il est possible de prévoir une taxe forfaitaire. Dans ce cas, le montant maximum recommandé est fixé à </w:t>
      </w:r>
      <w:r w:rsidRPr="00F91BDD">
        <w:rPr>
          <w:rFonts w:cs="Calibri Light"/>
        </w:rPr>
        <w:t xml:space="preserve">1.000,00 </w:t>
      </w:r>
      <w:r w:rsidR="00717B04" w:rsidRPr="00F91BDD">
        <w:rPr>
          <w:rFonts w:cs="Calibri Light"/>
        </w:rPr>
        <w:t>euros.</w:t>
      </w:r>
    </w:p>
    <w:p w14:paraId="3FC3711A" w14:textId="77777777" w:rsidR="00795C3E" w:rsidRPr="00F91BDD" w:rsidRDefault="00795C3E" w:rsidP="00795C3E">
      <w:pPr>
        <w:spacing w:before="120"/>
      </w:pPr>
      <w:r w:rsidRPr="00F91BDD">
        <w:t>Par cannabis-shop, il faut entendre tout établissement dont l’activité principale ou accessoire consiste en la vente aux détails de produits à base de cannabidiol (CBD) sous quelque forme et conditionnement que ce soit et qui ne peut pas attester par tout document probant que tous les produits susvisés ont fait l’objet d’analyses en Belgique, lesquelles confirment bien qu’ils ne contiennent pas plus de 0,2% de THC</w:t>
      </w:r>
      <w:bookmarkEnd w:id="2900"/>
      <w:r w:rsidRPr="00F91BDD">
        <w:t>.</w:t>
      </w:r>
    </w:p>
    <w:p w14:paraId="47D6D86C" w14:textId="77777777" w:rsidR="00795C3E" w:rsidRPr="00F91BDD" w:rsidRDefault="00795C3E" w:rsidP="00795C3E">
      <w:pPr>
        <w:spacing w:before="120"/>
      </w:pPr>
      <w:r w:rsidRPr="00F91BDD">
        <w:t>La surface commerciale nette est la surface destinée à la vente et accessible au public y compris les surfaces non couvertes ; cette surface inclut notamment les zones de caisses, les zones situées à l'arrière des caisses.</w:t>
      </w:r>
    </w:p>
    <w:p w14:paraId="1839893E" w14:textId="5073B062" w:rsidR="00795C3E" w:rsidRPr="00F91BDD" w:rsidRDefault="00795C3E" w:rsidP="00795C3E">
      <w:pPr>
        <w:spacing w:before="120"/>
      </w:pPr>
      <w:bookmarkStart w:id="2902" w:name="_Hlk93302692"/>
      <w:r w:rsidRPr="00F91BDD">
        <w:t>La taxation au m² semble un bon critère depuis que</w:t>
      </w:r>
      <w:r w:rsidR="3B3CB9B6" w:rsidRPr="00F91BDD">
        <w:t>,</w:t>
      </w:r>
      <w:r w:rsidRPr="00F91BDD">
        <w:t xml:space="preserve"> dans son arrêt du 19 avril 2021 </w:t>
      </w:r>
      <w:r w:rsidRPr="00F91BDD">
        <w:rPr>
          <w:rFonts w:cs="Calibri"/>
          <w:vertAlign w:val="superscript"/>
        </w:rPr>
        <w:footnoteReference w:id="110"/>
      </w:r>
      <w:r w:rsidR="7A9C9FC7" w:rsidRPr="1C6C0DED">
        <w:rPr>
          <w:rFonts w:cs="Calibri"/>
          <w:vertAlign w:val="superscript"/>
        </w:rPr>
        <w:t xml:space="preserve"> </w:t>
      </w:r>
      <w:r w:rsidR="795BC263">
        <w:t xml:space="preserve">, </w:t>
      </w:r>
      <w:r w:rsidRPr="00F91BDD">
        <w:t>la Cour de cassation a considéré que « En raison de son taux forfaitaire unique, la taxe litigieuse sur les bars frappe l'exercice d'une activité économique sans avoir égard au moindre indice qui rende compte de son ampleur (par exemple la superficie, l'importance du personnel ou le chiffre d'affaires). A défaut de tels indices, le règlement-taxe traite de manière identique des établissements qui, tout en exerçant la même activité, se trouvent dans des situations essentiellement différentes du point de vue de leurs capacités contributives.</w:t>
      </w:r>
    </w:p>
    <w:p w14:paraId="7252D97A" w14:textId="029917AB" w:rsidR="00795C3E" w:rsidRPr="00EB1B39" w:rsidRDefault="00795C3E" w:rsidP="35BD9115">
      <w:pPr>
        <w:pStyle w:val="Titre3"/>
        <w:rPr>
          <w:caps/>
        </w:rPr>
      </w:pPr>
      <w:bookmarkStart w:id="2903" w:name="_Toc143779218"/>
      <w:bookmarkStart w:id="2904" w:name="_Toc208420128"/>
      <w:bookmarkStart w:id="2905" w:name="_Toc225504358"/>
      <w:bookmarkStart w:id="2906" w:name="_Toc225772447"/>
      <w:bookmarkStart w:id="2907" w:name="_Toc233626314"/>
      <w:bookmarkStart w:id="2908" w:name="_Hlk68533704"/>
      <w:bookmarkEnd w:id="2901"/>
      <w:bookmarkEnd w:id="2902"/>
      <w:r w:rsidRPr="00EB1B39">
        <w:t>04008/364-48 Bar à chichas, pipes à eau et assimilés</w:t>
      </w:r>
      <w:bookmarkEnd w:id="2903"/>
      <w:bookmarkEnd w:id="2904"/>
      <w:bookmarkEnd w:id="2905"/>
      <w:bookmarkEnd w:id="2906"/>
      <w:bookmarkEnd w:id="2907"/>
    </w:p>
    <w:bookmarkEnd w:id="2908"/>
    <w:p w14:paraId="6F6E01DF" w14:textId="77777777" w:rsidR="00795C3E" w:rsidRPr="00F91BDD" w:rsidRDefault="00795C3E" w:rsidP="00795C3E">
      <w:pPr>
        <w:spacing w:before="120"/>
      </w:pPr>
      <w:r w:rsidRPr="00F91BDD">
        <w:t>Taxe directe</w:t>
      </w:r>
      <w:r>
        <w:t>.</w:t>
      </w:r>
    </w:p>
    <w:p w14:paraId="6A4ABF38" w14:textId="6A56BABE" w:rsidR="00795C3E" w:rsidRPr="00F91BDD" w:rsidRDefault="00795C3E" w:rsidP="00795C3E">
      <w:pPr>
        <w:spacing w:before="120"/>
      </w:pPr>
      <w:r w:rsidRPr="00F91BDD">
        <w:t xml:space="preserve">Taux maximum recommandé : </w:t>
      </w:r>
      <w:r w:rsidRPr="00F91BDD">
        <w:rPr>
          <w:rFonts w:cs="Calibri Light"/>
        </w:rPr>
        <w:t xml:space="preserve">à 25,00 </w:t>
      </w:r>
      <w:r w:rsidR="00717B04" w:rsidRPr="00F91BDD">
        <w:rPr>
          <w:rFonts w:cs="Calibri Light"/>
        </w:rPr>
        <w:t xml:space="preserve">euros </w:t>
      </w:r>
      <w:r w:rsidR="00717B04" w:rsidRPr="00F91BDD">
        <w:t>le</w:t>
      </w:r>
      <w:r w:rsidRPr="00F91BDD">
        <w:rPr>
          <w:rFonts w:cs="Calibri Light"/>
        </w:rPr>
        <w:t xml:space="preserve"> m</w:t>
      </w:r>
      <w:r w:rsidRPr="00F91BDD">
        <w:rPr>
          <w:rFonts w:cs="Calibri Light"/>
          <w:vertAlign w:val="superscript"/>
        </w:rPr>
        <w:t>2</w:t>
      </w:r>
      <w:r w:rsidRPr="00F91BDD">
        <w:rPr>
          <w:rFonts w:cs="Calibri Light"/>
        </w:rPr>
        <w:t xml:space="preserve"> </w:t>
      </w:r>
      <w:r w:rsidRPr="00F91BDD">
        <w:t xml:space="preserve">de surface commerciale nette avec un montant maximum total recommandé de </w:t>
      </w:r>
      <w:r w:rsidRPr="00F91BDD">
        <w:rPr>
          <w:rFonts w:cs="Calibri Light"/>
        </w:rPr>
        <w:t xml:space="preserve">3.350,00 </w:t>
      </w:r>
      <w:r w:rsidR="00717B04" w:rsidRPr="00F91BDD">
        <w:rPr>
          <w:rFonts w:cs="Calibri Light"/>
        </w:rPr>
        <w:t>euros par</w:t>
      </w:r>
      <w:r w:rsidRPr="00F91BDD">
        <w:t xml:space="preserve"> établissement.</w:t>
      </w:r>
    </w:p>
    <w:p w14:paraId="5096C73F" w14:textId="42F1DE46" w:rsidR="00795C3E" w:rsidRPr="00F91BDD" w:rsidRDefault="00795C3E" w:rsidP="00795C3E">
      <w:pPr>
        <w:spacing w:before="120"/>
      </w:pPr>
      <w:r w:rsidRPr="004E425F">
        <w:t>Pour les surfaces inférieures à 50 m</w:t>
      </w:r>
      <w:r w:rsidRPr="004E425F">
        <w:rPr>
          <w:vertAlign w:val="superscript"/>
        </w:rPr>
        <w:t>2</w:t>
      </w:r>
      <w:r w:rsidRPr="004E425F">
        <w:t xml:space="preserve">, il est possible de prévoir une taxe forfaitaire. Dans ce cas, le montant maximum recommandé est fixé à </w:t>
      </w:r>
      <w:r w:rsidRPr="00F91BDD">
        <w:rPr>
          <w:rFonts w:cs="Calibri Light"/>
        </w:rPr>
        <w:t xml:space="preserve">1.000,00 </w:t>
      </w:r>
      <w:r w:rsidR="00717B04" w:rsidRPr="00F91BDD">
        <w:rPr>
          <w:rFonts w:cs="Calibri Light"/>
        </w:rPr>
        <w:t>euros.</w:t>
      </w:r>
    </w:p>
    <w:p w14:paraId="4366980C" w14:textId="77777777" w:rsidR="00795C3E" w:rsidRPr="00F91BDD" w:rsidRDefault="00795C3E" w:rsidP="00795C3E">
      <w:pPr>
        <w:spacing w:before="120"/>
      </w:pPr>
      <w:r w:rsidRPr="00F91BDD">
        <w:t xml:space="preserve">Par bar à chichas, il faut entendre tout établissement dont l’activité principale et permanente consiste à servir non seulement des boissons, y compris des boissons alcoolisées, destinées à être consommées sur place mais également à mettre à disposition tout objet de type narguilé, </w:t>
      </w:r>
      <w:r w:rsidRPr="00F91BDD">
        <w:lastRenderedPageBreak/>
        <w:t>ou pipe orientale équipée d’un réservoir d’eau parfumée, permettant de fumer grâce à un système d’évaporation d’eau.</w:t>
      </w:r>
    </w:p>
    <w:p w14:paraId="51E3EE3B" w14:textId="77777777" w:rsidR="00795C3E" w:rsidRPr="00F91BDD" w:rsidRDefault="00795C3E" w:rsidP="00795C3E">
      <w:pPr>
        <w:spacing w:before="120"/>
      </w:pPr>
      <w:r w:rsidRPr="00F91BDD">
        <w:t>La surface commerciale nette est la surface destinée à l’activité définie ci-dessus, accessible au public y compris les surfaces non couvertes et incluant notamment le comptoir et les zones situées à l'arrière de celui-ci.</w:t>
      </w:r>
    </w:p>
    <w:p w14:paraId="30374086" w14:textId="587A1999" w:rsidR="00795C3E" w:rsidRDefault="00795C3E" w:rsidP="00795C3E">
      <w:pPr>
        <w:spacing w:before="120"/>
        <w:rPr>
          <w:i/>
          <w:iCs/>
        </w:rPr>
      </w:pPr>
      <w:r w:rsidRPr="00F91BDD">
        <w:t>La taxation au m² semble un bon critère depuis que</w:t>
      </w:r>
      <w:r w:rsidR="727874C6" w:rsidRPr="00F91BDD">
        <w:t>,</w:t>
      </w:r>
      <w:r w:rsidRPr="00F91BDD">
        <w:t xml:space="preserve"> dans son arrêt du 19 avril 2021 </w:t>
      </w:r>
      <w:r w:rsidRPr="00F91BDD">
        <w:rPr>
          <w:rFonts w:cs="Calibri"/>
          <w:vertAlign w:val="superscript"/>
        </w:rPr>
        <w:footnoteReference w:id="111"/>
      </w:r>
      <w:r w:rsidRPr="00F91BDD">
        <w:t>, la Cour de cassation a considéré que « </w:t>
      </w:r>
      <w:r w:rsidRPr="6FFC1684">
        <w:rPr>
          <w:i/>
          <w:iCs/>
        </w:rPr>
        <w:t>En raison de son taux forfaitaire unique, la taxe litigieuse sur les bars frappe l'exercice d'une activité économique sans avoir égard au moindre indice qui rende compte de son ampleur (par exemple la superficie, l'importance du personnel ou le chiffre d'affaires). A défaut de tels indices, le règlement-taxe traite de manière identique des établissements qui, tout en exerçant la même activité, se trouvent dans des situations essentiellement différentes du point de vue de leurs capacités contributives. ».</w:t>
      </w:r>
    </w:p>
    <w:p w14:paraId="52B32E85" w14:textId="77777777" w:rsidR="00795C3E" w:rsidRPr="00E5652E" w:rsidRDefault="00795C3E" w:rsidP="00795C3E">
      <w:pPr>
        <w:spacing w:before="120"/>
        <w:rPr>
          <w:i/>
          <w:iCs/>
        </w:rPr>
      </w:pPr>
    </w:p>
    <w:p w14:paraId="3F0C75FD" w14:textId="2B66EABF" w:rsidR="00795C3E" w:rsidRPr="00E5652E" w:rsidRDefault="00795C3E" w:rsidP="002958D4">
      <w:pPr>
        <w:pStyle w:val="Titre2"/>
        <w:rPr>
          <w:caps/>
        </w:rPr>
      </w:pPr>
      <w:bookmarkStart w:id="2909" w:name="_Toc40185593"/>
      <w:bookmarkStart w:id="2910" w:name="_Toc40186328"/>
      <w:bookmarkStart w:id="2911" w:name="_Toc8121871"/>
      <w:bookmarkStart w:id="2912" w:name="_Toc8129812"/>
      <w:bookmarkStart w:id="2913" w:name="_Toc143779219"/>
      <w:bookmarkStart w:id="2914" w:name="_Toc208420129"/>
      <w:bookmarkStart w:id="2915" w:name="_Toc225504359"/>
      <w:bookmarkStart w:id="2916" w:name="_Toc225772448"/>
      <w:bookmarkStart w:id="2917" w:name="_Toc233626315"/>
      <w:bookmarkEnd w:id="2909"/>
      <w:bookmarkEnd w:id="2910"/>
      <w:bookmarkEnd w:id="2911"/>
      <w:bookmarkEnd w:id="2912"/>
      <w:r w:rsidRPr="00A239E0">
        <w:t>Taxe sur les spectacles et divertissements</w:t>
      </w:r>
      <w:bookmarkEnd w:id="2913"/>
      <w:bookmarkEnd w:id="2914"/>
      <w:bookmarkEnd w:id="2915"/>
      <w:bookmarkEnd w:id="2916"/>
      <w:bookmarkEnd w:id="2917"/>
      <w:r w:rsidRPr="00A239E0">
        <w:t xml:space="preserve"> </w:t>
      </w:r>
      <w:bookmarkStart w:id="2918" w:name="_Toc516229755"/>
      <w:bookmarkStart w:id="2919" w:name="_Toc516230050"/>
      <w:bookmarkStart w:id="2920" w:name="_Toc516230345"/>
      <w:bookmarkStart w:id="2921" w:name="_Toc516230639"/>
      <w:bookmarkStart w:id="2922" w:name="_Toc516230933"/>
      <w:bookmarkStart w:id="2923" w:name="_Toc516231228"/>
      <w:bookmarkStart w:id="2924" w:name="_Toc516231523"/>
      <w:bookmarkStart w:id="2925" w:name="_Toc516231820"/>
      <w:bookmarkStart w:id="2926" w:name="_Toc516242915"/>
      <w:bookmarkStart w:id="2927" w:name="_Toc516243219"/>
      <w:bookmarkStart w:id="2928" w:name="_Toc516245155"/>
      <w:bookmarkStart w:id="2929" w:name="_Toc516473726"/>
      <w:bookmarkStart w:id="2930" w:name="_Toc516474036"/>
      <w:bookmarkStart w:id="2931" w:name="_Toc516474346"/>
      <w:bookmarkStart w:id="2932" w:name="_Toc516474654"/>
      <w:bookmarkStart w:id="2933" w:name="_Toc516474986"/>
      <w:bookmarkStart w:id="2934" w:name="_Toc516479063"/>
      <w:bookmarkStart w:id="2935" w:name="_Toc516479483"/>
      <w:bookmarkStart w:id="2936" w:name="_Toc516479800"/>
      <w:bookmarkStart w:id="2937" w:name="_Toc516480122"/>
      <w:bookmarkStart w:id="2938" w:name="_Toc516480436"/>
      <w:bookmarkStart w:id="2939" w:name="_Toc516480750"/>
      <w:bookmarkStart w:id="2940" w:name="_Toc516481064"/>
      <w:bookmarkStart w:id="2941" w:name="_Toc516481378"/>
      <w:bookmarkStart w:id="2942" w:name="_Toc516481692"/>
      <w:bookmarkStart w:id="2943" w:name="_Toc516482006"/>
      <w:bookmarkStart w:id="2944" w:name="_Toc516482320"/>
      <w:bookmarkStart w:id="2945" w:name="_Toc516482634"/>
      <w:bookmarkStart w:id="2946" w:name="_Toc516739880"/>
      <w:bookmarkStart w:id="2947" w:name="_Toc516751789"/>
      <w:bookmarkStart w:id="2948" w:name="_Toc516825877"/>
      <w:bookmarkStart w:id="2949" w:name="_Toc516826435"/>
      <w:bookmarkStart w:id="2950" w:name="_Toc516837755"/>
      <w:bookmarkStart w:id="2951" w:name="_Toc516838314"/>
      <w:bookmarkStart w:id="2952" w:name="_Toc516838873"/>
      <w:bookmarkStart w:id="2953" w:name="_Toc516839433"/>
      <w:bookmarkStart w:id="2954" w:name="_Toc517173529"/>
      <w:bookmarkStart w:id="2955" w:name="_Toc517175203"/>
      <w:bookmarkStart w:id="2956" w:name="_Toc517175790"/>
      <w:bookmarkStart w:id="2957" w:name="_Toc517176378"/>
      <w:bookmarkStart w:id="2958" w:name="_Toc517337703"/>
      <w:bookmarkStart w:id="2959" w:name="_Toc517360499"/>
      <w:bookmarkStart w:id="2960" w:name="_Toc516245156"/>
      <w:bookmarkStart w:id="2961" w:name="_Toc516473727"/>
      <w:bookmarkStart w:id="2962" w:name="_Toc516474037"/>
      <w:bookmarkStart w:id="2963" w:name="_Toc516474347"/>
      <w:bookmarkStart w:id="2964" w:name="_Toc516474655"/>
      <w:bookmarkStart w:id="2965" w:name="_Toc516474987"/>
      <w:bookmarkStart w:id="2966" w:name="_Toc516479064"/>
      <w:bookmarkStart w:id="2967" w:name="_Toc516479484"/>
      <w:bookmarkStart w:id="2968" w:name="_Toc516479801"/>
      <w:bookmarkStart w:id="2969" w:name="_Toc516480123"/>
      <w:bookmarkStart w:id="2970" w:name="_Toc516480437"/>
      <w:bookmarkStart w:id="2971" w:name="_Toc516480751"/>
      <w:bookmarkStart w:id="2972" w:name="_Toc516481065"/>
      <w:bookmarkStart w:id="2973" w:name="_Toc516481379"/>
      <w:bookmarkStart w:id="2974" w:name="_Toc516481693"/>
      <w:bookmarkStart w:id="2975" w:name="_Toc516482007"/>
      <w:bookmarkStart w:id="2976" w:name="_Toc516482321"/>
      <w:bookmarkStart w:id="2977" w:name="_Toc516482635"/>
      <w:bookmarkStart w:id="2978" w:name="_Toc516739881"/>
      <w:bookmarkStart w:id="2979" w:name="_Toc516751790"/>
      <w:bookmarkStart w:id="2980" w:name="_Toc516825878"/>
      <w:bookmarkStart w:id="2981" w:name="_Toc516826436"/>
      <w:bookmarkStart w:id="2982" w:name="_Toc516837756"/>
      <w:bookmarkStart w:id="2983" w:name="_Toc516838315"/>
      <w:bookmarkStart w:id="2984" w:name="_Toc516838874"/>
      <w:bookmarkStart w:id="2985" w:name="_Toc516839434"/>
      <w:bookmarkStart w:id="2986" w:name="_Toc517173530"/>
      <w:bookmarkStart w:id="2987" w:name="_Toc517175204"/>
      <w:bookmarkStart w:id="2988" w:name="_Toc517175791"/>
      <w:bookmarkStart w:id="2989" w:name="_Toc517176379"/>
      <w:bookmarkStart w:id="2990" w:name="_Toc517337704"/>
      <w:bookmarkStart w:id="2991" w:name="_Toc517360500"/>
      <w:bookmarkStart w:id="2992" w:name="_Toc516245157"/>
      <w:bookmarkStart w:id="2993" w:name="_Toc516473728"/>
      <w:bookmarkStart w:id="2994" w:name="_Toc516474038"/>
      <w:bookmarkStart w:id="2995" w:name="_Toc516474348"/>
      <w:bookmarkStart w:id="2996" w:name="_Toc516474656"/>
      <w:bookmarkStart w:id="2997" w:name="_Toc516474988"/>
      <w:bookmarkStart w:id="2998" w:name="_Toc516479065"/>
      <w:bookmarkStart w:id="2999" w:name="_Toc516479485"/>
      <w:bookmarkStart w:id="3000" w:name="_Toc516479802"/>
      <w:bookmarkStart w:id="3001" w:name="_Toc516480124"/>
      <w:bookmarkStart w:id="3002" w:name="_Toc516480438"/>
      <w:bookmarkStart w:id="3003" w:name="_Toc516480752"/>
      <w:bookmarkStart w:id="3004" w:name="_Toc516481066"/>
      <w:bookmarkStart w:id="3005" w:name="_Toc516481380"/>
      <w:bookmarkStart w:id="3006" w:name="_Toc516481694"/>
      <w:bookmarkStart w:id="3007" w:name="_Toc516482008"/>
      <w:bookmarkStart w:id="3008" w:name="_Toc516482322"/>
      <w:bookmarkStart w:id="3009" w:name="_Toc516482636"/>
      <w:bookmarkStart w:id="3010" w:name="_Toc516739882"/>
      <w:bookmarkStart w:id="3011" w:name="_Toc516751791"/>
      <w:bookmarkStart w:id="3012" w:name="_Toc516825879"/>
      <w:bookmarkStart w:id="3013" w:name="_Toc516826437"/>
      <w:bookmarkStart w:id="3014" w:name="_Toc516837757"/>
      <w:bookmarkStart w:id="3015" w:name="_Toc516838316"/>
      <w:bookmarkStart w:id="3016" w:name="_Toc516838875"/>
      <w:bookmarkStart w:id="3017" w:name="_Toc516839435"/>
      <w:bookmarkStart w:id="3018" w:name="_Toc517173531"/>
      <w:bookmarkStart w:id="3019" w:name="_Toc517175205"/>
      <w:bookmarkStart w:id="3020" w:name="_Toc517175792"/>
      <w:bookmarkStart w:id="3021" w:name="_Toc517176380"/>
      <w:bookmarkStart w:id="3022" w:name="_Toc517337705"/>
      <w:bookmarkStart w:id="3023" w:name="_Toc517360501"/>
      <w:bookmarkStart w:id="3024" w:name="_Toc512525525"/>
      <w:bookmarkStart w:id="3025" w:name="_Toc515896839"/>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p>
    <w:p w14:paraId="5C17444C" w14:textId="35F2E029" w:rsidR="00795C3E" w:rsidRPr="0048657F" w:rsidRDefault="00795C3E">
      <w:pPr>
        <w:pStyle w:val="Titre3"/>
        <w:numPr>
          <w:ilvl w:val="0"/>
          <w:numId w:val="121"/>
        </w:numPr>
        <w:rPr>
          <w:caps/>
        </w:rPr>
      </w:pPr>
      <w:bookmarkStart w:id="3026" w:name="_Toc143779220"/>
      <w:bookmarkStart w:id="3027" w:name="_Toc208420130"/>
      <w:bookmarkStart w:id="3028" w:name="_Toc225504360"/>
      <w:bookmarkStart w:id="3029" w:name="_Toc225772449"/>
      <w:bookmarkStart w:id="3030" w:name="_Toc233626316"/>
      <w:r w:rsidRPr="00A239E0">
        <w:t>040/365-01 : Spectacles et divertissements</w:t>
      </w:r>
      <w:bookmarkEnd w:id="3026"/>
      <w:bookmarkEnd w:id="3027"/>
      <w:bookmarkEnd w:id="3028"/>
      <w:bookmarkEnd w:id="3029"/>
      <w:bookmarkEnd w:id="3030"/>
      <w:r w:rsidRPr="00A239E0">
        <w:t xml:space="preserve"> </w:t>
      </w:r>
    </w:p>
    <w:p w14:paraId="03A40C34" w14:textId="77777777" w:rsidR="00795C3E" w:rsidRPr="00F91BDD" w:rsidRDefault="00795C3E" w:rsidP="00795C3E">
      <w:pPr>
        <w:spacing w:before="120"/>
      </w:pPr>
      <w:r w:rsidRPr="00F91BDD">
        <w:t>Taxe indirecte</w:t>
      </w:r>
      <w:bookmarkEnd w:id="3024"/>
      <w:bookmarkEnd w:id="3025"/>
      <w:r>
        <w:t>.</w:t>
      </w:r>
    </w:p>
    <w:p w14:paraId="4774CC48" w14:textId="77777777" w:rsidR="00795C3E" w:rsidRPr="00F91BDD" w:rsidRDefault="00795C3E" w:rsidP="00795C3E">
      <w:pPr>
        <w:spacing w:before="120"/>
        <w:textAlignment w:val="baseline"/>
        <w:rPr>
          <w:rFonts w:cs="Calibri Light"/>
        </w:rPr>
      </w:pPr>
      <w:r w:rsidRPr="00F91BDD">
        <w:rPr>
          <w:rFonts w:cs="Calibri Light"/>
        </w:rPr>
        <w:t>La nature des divertissements influence fortement les maximas appliqués : ceux-ci s'échelonnent de 10 % à 31 % sur les recettes diverses et de 8,5 à 33,75 % sur le produit des billets d'entrée.</w:t>
      </w:r>
    </w:p>
    <w:p w14:paraId="66CDB222" w14:textId="77777777" w:rsidR="00795C3E" w:rsidRPr="00F91BDD" w:rsidRDefault="00795C3E" w:rsidP="00795C3E">
      <w:pPr>
        <w:spacing w:before="120"/>
        <w:textAlignment w:val="baseline"/>
        <w:rPr>
          <w:rFonts w:cs="Calibri Light"/>
        </w:rPr>
      </w:pPr>
      <w:r w:rsidRPr="00F91BDD">
        <w:rPr>
          <w:rFonts w:cs="Calibri Light"/>
        </w:rPr>
        <w:t>Il est prudent d’adopter un taux forfaitaire, le cas échéant couplé à un montant maximum fixé à un pourcentage du prix du billet (par exemple, x € par billet avec un taux maximum de x % du prix du billet).</w:t>
      </w:r>
    </w:p>
    <w:p w14:paraId="7C37A33B" w14:textId="77777777" w:rsidR="00795C3E" w:rsidRPr="00F91BDD" w:rsidRDefault="00795C3E" w:rsidP="00795C3E">
      <w:pPr>
        <w:spacing w:before="120"/>
        <w:textAlignment w:val="baseline"/>
        <w:rPr>
          <w:rFonts w:cs="Calibri Light"/>
        </w:rPr>
      </w:pPr>
      <w:r w:rsidRPr="00F91BDD">
        <w:rPr>
          <w:rFonts w:cs="Calibri Light"/>
        </w:rPr>
        <w:t>D'autre part, les dispositions de la circulaire ministérielle relative aux taxes communales sur les spectacles cinématographiques restent d'application</w:t>
      </w:r>
      <w:r w:rsidRPr="00F91BDD">
        <w:rPr>
          <w:rStyle w:val="Appelnotedebasdep"/>
          <w:rFonts w:cs="Calibri Light"/>
        </w:rPr>
        <w:footnoteReference w:id="112"/>
      </w:r>
      <w:r w:rsidRPr="00F91BDD">
        <w:rPr>
          <w:rFonts w:cs="Calibri Light"/>
        </w:rPr>
        <w:t>.</w:t>
      </w:r>
    </w:p>
    <w:p w14:paraId="7D7E0950" w14:textId="77777777" w:rsidR="00795C3E" w:rsidRPr="00F91BDD" w:rsidRDefault="00795C3E" w:rsidP="00795C3E">
      <w:pPr>
        <w:spacing w:before="120"/>
        <w:textAlignment w:val="baseline"/>
        <w:rPr>
          <w:rFonts w:cs="Calibri Light"/>
        </w:rPr>
      </w:pPr>
      <w:r w:rsidRPr="00F91BDD">
        <w:rPr>
          <w:rFonts w:cs="Calibri Light"/>
        </w:rPr>
        <w:t>La légalité de cette taxe a déjà été mise en cause maintes fois, et ce notamment en invoquant l'article 464,1° du code des impôts sur les revenus qui interdit aux provinces, agglomérations et communes d'établir des centimes additionnels à l'impôt des personnes physiques, à l'impôt des sociétés, à l'impôt des personnes morales et à l'impôt des non-résidents ou des taxes similaires sur la base ou sur le montant de cet impôt.</w:t>
      </w:r>
    </w:p>
    <w:p w14:paraId="67383E11" w14:textId="77777777" w:rsidR="00795C3E" w:rsidRPr="00F91BDD" w:rsidRDefault="00795C3E" w:rsidP="00795C3E">
      <w:pPr>
        <w:spacing w:before="120"/>
        <w:textAlignment w:val="baseline"/>
        <w:rPr>
          <w:rFonts w:cs="Calibri Light"/>
        </w:rPr>
      </w:pPr>
      <w:r w:rsidRPr="00F91BDD">
        <w:rPr>
          <w:rFonts w:cs="Calibri Light"/>
        </w:rPr>
        <w:t>Le Conseil d'État</w:t>
      </w:r>
      <w:r w:rsidRPr="00F91BDD">
        <w:rPr>
          <w:rFonts w:cs="Calibri Light"/>
          <w:vertAlign w:val="superscript"/>
        </w:rPr>
        <w:footnoteReference w:id="113"/>
      </w:r>
      <w:r w:rsidRPr="00F91BDD">
        <w:rPr>
          <w:rFonts w:cs="Calibri Light"/>
        </w:rPr>
        <w:t xml:space="preserve"> a décidé que ne viole pas l'article 464,1° du code des impôts sur les revenus une taxe dont ni le fait générateur ni la base de calcul ne visent les revenus. Ce sera ainsi le cas lorsque la taxe s'élève à un montant fixe par fait générateur ne consistant pas en </w:t>
      </w:r>
      <w:r w:rsidRPr="00F91BDD">
        <w:rPr>
          <w:rFonts w:cs="Calibri Light"/>
        </w:rPr>
        <w:lastRenderedPageBreak/>
        <w:t>tant que telle à la perception de revenus. Cette interprétation a par ailleurs été partagée par la Cour constitutionnelle</w:t>
      </w:r>
      <w:r w:rsidRPr="00F91BDD">
        <w:rPr>
          <w:rFonts w:cs="Calibri Light"/>
          <w:vertAlign w:val="superscript"/>
        </w:rPr>
        <w:footnoteReference w:id="114"/>
      </w:r>
      <w:r w:rsidRPr="00F91BDD">
        <w:rPr>
          <w:rFonts w:cs="Calibri Light"/>
        </w:rPr>
        <w:t>.</w:t>
      </w:r>
    </w:p>
    <w:p w14:paraId="73B203B0" w14:textId="77777777" w:rsidR="00795C3E" w:rsidRPr="00F91BDD" w:rsidRDefault="00795C3E" w:rsidP="00795C3E">
      <w:pPr>
        <w:spacing w:before="120"/>
        <w:textAlignment w:val="baseline"/>
        <w:rPr>
          <w:rFonts w:cs="Calibri Light"/>
        </w:rPr>
      </w:pPr>
      <w:r w:rsidRPr="00F91BDD">
        <w:rPr>
          <w:rFonts w:cs="Calibri Light"/>
        </w:rPr>
        <w:t>Cette même Cour a décidé que</w:t>
      </w:r>
      <w:r w:rsidRPr="00F91BDD">
        <w:rPr>
          <w:rFonts w:cs="Calibri Light"/>
          <w:vertAlign w:val="superscript"/>
        </w:rPr>
        <w:footnoteReference w:id="115"/>
      </w:r>
      <w:r w:rsidRPr="00F91BDD">
        <w:rPr>
          <w:rFonts w:cs="Calibri Light"/>
        </w:rPr>
        <w:t xml:space="preserve"> « </w:t>
      </w:r>
      <w:r w:rsidRPr="6FFC1684">
        <w:rPr>
          <w:rFonts w:cs="Calibri Light"/>
          <w:i/>
          <w:iCs/>
        </w:rPr>
        <w:t>L'article 464, 1</w:t>
      </w:r>
      <w:r w:rsidRPr="6FFC1684">
        <w:rPr>
          <w:rFonts w:cs="Calibri Light"/>
          <w:i/>
          <w:iCs/>
          <w:vertAlign w:val="superscript"/>
        </w:rPr>
        <w:t>°</w:t>
      </w:r>
      <w:r w:rsidRPr="6FFC1684">
        <w:rPr>
          <w:rFonts w:cs="Calibri Light"/>
          <w:i/>
          <w:iCs/>
        </w:rPr>
        <w:t>, du code des impôts sur les revenus, combiné avec l'article 36 de la loi du 24 décembre 1948 concernant les finances provinciales et communales, ne viole pas les articles 10 et 11 de la Constitution s'il est interprété en ce sens qu'il n'est pas réputé interdire aux communes de lever une taxe, notamment à l'égard des spectacles et divertissements, sur les recettes brutes générées par les droits d'entrée ou sur les revenus bruts.</w:t>
      </w:r>
      <w:r w:rsidRPr="00F91BDD">
        <w:rPr>
          <w:rFonts w:cs="Calibri Light"/>
        </w:rPr>
        <w:t xml:space="preserve"> » Cela veut donc dire que les communes peuvent percevoir cette taxe en se basant sur les recettes brutes générées par les droits d'entrée ou sur les revenus bruts.</w:t>
      </w:r>
    </w:p>
    <w:p w14:paraId="0F447E43" w14:textId="77777777" w:rsidR="00795C3E" w:rsidRPr="00F91BDD" w:rsidRDefault="00795C3E" w:rsidP="00795C3E">
      <w:pPr>
        <w:spacing w:before="120"/>
        <w:textAlignment w:val="baseline"/>
        <w:rPr>
          <w:rFonts w:cs="Calibri Light"/>
        </w:rPr>
      </w:pPr>
      <w:r w:rsidRPr="00F91BDD">
        <w:rPr>
          <w:rFonts w:cs="Calibri Light"/>
        </w:rPr>
        <w:t>En statuant en ce sens, la Cour constitutionnelle met fin à la controverse sur la compatibilité de la taxe sur les spectacles basée sur un pourcentage des recettes brutes générées par les droits d'entrée ou sur les revenus bruts — et l'article 464,1° du code d'impôts sur les revenus qui interdit aux communes d'établir des centimes additionnels ou une taxe similaire sur la base ou sur le montant de l'impôt en matière d'impôt des personnes physiques, d'impôt des personnes morales et à 1 'impôt des non-résidents.</w:t>
      </w:r>
    </w:p>
    <w:p w14:paraId="51AC859D" w14:textId="77777777" w:rsidR="00795C3E" w:rsidRPr="00F91BDD" w:rsidRDefault="00795C3E" w:rsidP="00795C3E">
      <w:pPr>
        <w:spacing w:before="120"/>
        <w:textAlignment w:val="baseline"/>
        <w:rPr>
          <w:rFonts w:cs="Calibri Light"/>
        </w:rPr>
      </w:pPr>
      <w:r w:rsidRPr="00F91BDD">
        <w:rPr>
          <w:rFonts w:cs="Calibri Light"/>
        </w:rPr>
        <w:t>La Cour constitutionnelle a notamment basé sa décision sur le fait que :</w:t>
      </w:r>
    </w:p>
    <w:p w14:paraId="628EB77E" w14:textId="77777777" w:rsidR="00795C3E" w:rsidRPr="00F91BDD" w:rsidRDefault="00795C3E" w:rsidP="00795C3E">
      <w:pPr>
        <w:spacing w:before="120"/>
        <w:textAlignment w:val="baseline"/>
        <w:rPr>
          <w:rFonts w:cs="Calibri Light"/>
          <w:i/>
        </w:rPr>
      </w:pPr>
      <w:r w:rsidRPr="00F91BDD">
        <w:rPr>
          <w:rFonts w:cs="Calibri Light"/>
          <w:i/>
        </w:rPr>
        <w:t>« Bien que les recettes brutes générées par une activité et, plus généralement ; les revenus bruts du contribuable constituent le point de départ pour la détermination du revenu imposable à l'impôt des personnes physiques ou du bénéfice imposable à l'impôt des sociétés, il existe une différence essentielle entre, d'une part, les recettes brutes générées par les droits d'entrée ou les revenus bruts en général et, d'autre part, les bases imposables précitées. Par la base de l’impôt ; la disposition en cause ne vise pas tout élément qui est pris en compte pour le calcul de l'impôt, mais exclusivement le montant sur lequel l'impôt est calculé en définitive (voir les arrêts n° 119/2007, B.6; n° 44/2008, B.6; n° 50/2011, B.575). De manière générale, il n'existe pas non plus de rapport proportionnel entre les recettes brutes ou revenus bruts et les différentes bases des impôts mentionnés à l'article 464, 1°, du code des impôts sur les revenus. »</w:t>
      </w:r>
    </w:p>
    <w:p w14:paraId="1822465A" w14:textId="747310EC" w:rsidR="00795C3E" w:rsidRPr="00F91BDD" w:rsidRDefault="00795C3E" w:rsidP="00795C3E">
      <w:pPr>
        <w:spacing w:before="120"/>
        <w:textAlignment w:val="baseline"/>
        <w:rPr>
          <w:rFonts w:cs="Calibri Light"/>
        </w:rPr>
      </w:pPr>
      <w:r w:rsidRPr="00F91BDD">
        <w:rPr>
          <w:rFonts w:cs="Calibri Light"/>
        </w:rPr>
        <w:t xml:space="preserve">En statuant de la sorte, la Cour constitutionnelle « renverse » la jurisprudence de la Cour de cassation qui,  </w:t>
      </w:r>
      <w:r w:rsidR="3337AA77" w:rsidRPr="1C6C0DED">
        <w:rPr>
          <w:rFonts w:cs="Calibri Light"/>
        </w:rPr>
        <w:t xml:space="preserve">dans un arrêt daté </w:t>
      </w:r>
      <w:r w:rsidRPr="00F91BDD">
        <w:rPr>
          <w:rFonts w:cs="Calibri Light"/>
        </w:rPr>
        <w:t xml:space="preserve">du 10 décembre 2009 mettant en cause la VILLE DE LOUVAIN contre la SA STUDIO FILMTHEATERS, avait décidé : « </w:t>
      </w:r>
      <w:r w:rsidRPr="00F91BDD">
        <w:rPr>
          <w:rFonts w:cs="Calibri Light"/>
          <w:i/>
        </w:rPr>
        <w:t>qu'une taxe communale sur les spectacles et divertissements qui est calculée sur le chiffre d'affaire réalisé, diminué de la taxe sur la valeur ajoutée appliquée sur celui-ci, constitue une taxe similaire interdite dans la mesure où le chiffre d'affaire constitue un élément essentiel qui est pris en considération pour fixer la base de l'impôt sur les revenus qui est levé à charge du débiteur de cette taxe</w:t>
      </w:r>
      <w:r w:rsidRPr="00F91BDD">
        <w:rPr>
          <w:rFonts w:cs="Calibri Light"/>
        </w:rPr>
        <w:t>. »</w:t>
      </w:r>
    </w:p>
    <w:p w14:paraId="75F19B8C" w14:textId="77777777" w:rsidR="00795C3E" w:rsidRPr="00F91BDD" w:rsidRDefault="00795C3E" w:rsidP="00795C3E">
      <w:pPr>
        <w:spacing w:before="120"/>
        <w:textAlignment w:val="baseline"/>
        <w:rPr>
          <w:rFonts w:cs="Calibri Light"/>
        </w:rPr>
      </w:pPr>
      <w:r w:rsidRPr="00F91BDD">
        <w:rPr>
          <w:rFonts w:cs="Calibri Light"/>
        </w:rPr>
        <w:lastRenderedPageBreak/>
        <w:t>Cependant, la Cour de cassation</w:t>
      </w:r>
      <w:r w:rsidRPr="00F91BDD">
        <w:rPr>
          <w:rFonts w:cs="Calibri Light"/>
          <w:vertAlign w:val="superscript"/>
        </w:rPr>
        <w:footnoteReference w:id="116"/>
      </w:r>
      <w:r w:rsidRPr="00F91BDD">
        <w:rPr>
          <w:rFonts w:cs="Calibri Light"/>
        </w:rPr>
        <w:t xml:space="preserve"> estime toujours que l’article 464,1° du </w:t>
      </w:r>
      <w:r w:rsidRPr="6FFC1684">
        <w:rPr>
          <w:rFonts w:cs="Calibri Light"/>
          <w:i/>
          <w:iCs/>
        </w:rPr>
        <w:t>code des impôts sur les revenus</w:t>
      </w:r>
      <w:r w:rsidRPr="00F91BDD" w:rsidDel="008A59E1">
        <w:rPr>
          <w:rFonts w:cs="Calibri Light"/>
        </w:rPr>
        <w:t xml:space="preserve"> </w:t>
      </w:r>
      <w:r w:rsidRPr="00F91BDD">
        <w:rPr>
          <w:rFonts w:cs="Calibri Light"/>
        </w:rPr>
        <w:t>s’oppose à ce que les autorités locales lèvent « un impôt sur un élément essentiel qui détermine directement la base de l’impôt sur les revenus ».</w:t>
      </w:r>
    </w:p>
    <w:p w14:paraId="50E9342F" w14:textId="77777777" w:rsidR="00795C3E" w:rsidRPr="00F91BDD" w:rsidRDefault="00795C3E" w:rsidP="00795C3E">
      <w:pPr>
        <w:spacing w:before="120"/>
        <w:textAlignment w:val="baseline"/>
        <w:rPr>
          <w:rFonts w:cs="Calibri Light"/>
        </w:rPr>
      </w:pPr>
      <w:r w:rsidRPr="00F91BDD">
        <w:rPr>
          <w:rFonts w:cs="Calibri Light"/>
          <w:b/>
          <w:bCs/>
        </w:rPr>
        <w:t>Dans son arrêt récent du 13 avril 2023</w:t>
      </w:r>
      <w:r w:rsidRPr="00F91BDD">
        <w:rPr>
          <w:rStyle w:val="Appelnotedebasdep"/>
          <w:rFonts w:cs="Calibri Light"/>
          <w:b/>
          <w:bCs/>
        </w:rPr>
        <w:footnoteReference w:id="117"/>
      </w:r>
      <w:r w:rsidRPr="00F91BDD">
        <w:rPr>
          <w:rFonts w:cs="Calibri Light"/>
          <w:b/>
          <w:bCs/>
        </w:rPr>
        <w:t xml:space="preserve">, </w:t>
      </w:r>
      <w:r w:rsidRPr="00F91BDD">
        <w:rPr>
          <w:rFonts w:cs="Calibri Light"/>
        </w:rPr>
        <w:t xml:space="preserve">la Cour constitutionnelle réaffirme que quand l’article 464,1° du Code des impôts sur les revenus interdit aux communes d’établir des taxes similaires à l’impôt des personnes physiques et à l’impôt des sociétés « sur la base de ces impôts », cet article ne vise pas tout élément qui est pris en compte pour le calcul de l’impôt, mais exclusivement le montant sur lequel l’impôt est calculé en définitive. Elle en conclut donc – et par ce fait confirme la jurisprudence de son </w:t>
      </w:r>
      <w:r w:rsidRPr="00F91BDD">
        <w:rPr>
          <w:sz w:val="23"/>
          <w:szCs w:val="23"/>
        </w:rPr>
        <w:t>arrêt n° 19/2012 du</w:t>
      </w:r>
      <w:r w:rsidRPr="00F91BDD">
        <w:rPr>
          <w:rFonts w:cs="Calibri Light"/>
        </w:rPr>
        <w:t xml:space="preserve"> 16 février 2012 susvisé -  que l’article 464, 1° du CIR 1992, interdit certes aux communes de lever une taxe sur les spectacles et divertissements calculée sur la base de l’impôt des personnes physiques ou de l’impôt des sociétés, mais ne leur interdit, ni à l’égard de spectacles et divertissements ni à l’égard d’autres activités, de lever une taxe sur les recettes brutes générées par les droits d’entrée ou sur les revenus bruts.</w:t>
      </w:r>
    </w:p>
    <w:p w14:paraId="1D83BF53" w14:textId="77777777" w:rsidR="00795C3E" w:rsidRPr="00E5652E" w:rsidRDefault="00795C3E" w:rsidP="00795C3E">
      <w:pPr>
        <w:spacing w:before="120"/>
        <w:textAlignment w:val="baseline"/>
        <w:rPr>
          <w:rFonts w:cs="Calibri Light"/>
        </w:rPr>
      </w:pPr>
      <w:r w:rsidRPr="00F91BDD">
        <w:rPr>
          <w:rFonts w:cs="Calibri Light"/>
        </w:rPr>
        <w:t>Dès lors, contrairement à ce que l’on a pu croire avec l’arrêt de la Cour constitutionnelle, la controverse existe toujours entre ces deux hautes juridictions.  Il est donc prudent d’adopter un taux forfaitaire, le cas échéant couplé à un montant maximum fixé à un pourcentage du prix du billet (par exemple, x € par billet avec un taux maximum de x% du prix du billet).</w:t>
      </w:r>
      <w:bookmarkStart w:id="3031" w:name="_Toc516739884"/>
      <w:bookmarkStart w:id="3032" w:name="_Toc516751793"/>
      <w:bookmarkStart w:id="3033" w:name="_Toc516825881"/>
      <w:bookmarkStart w:id="3034" w:name="_Toc516826439"/>
      <w:bookmarkStart w:id="3035" w:name="_Toc516837759"/>
      <w:bookmarkStart w:id="3036" w:name="_Toc516838318"/>
      <w:bookmarkStart w:id="3037" w:name="_Toc516838877"/>
      <w:bookmarkStart w:id="3038" w:name="_Toc516839437"/>
      <w:bookmarkStart w:id="3039" w:name="_Toc517173533"/>
      <w:bookmarkStart w:id="3040" w:name="_Toc517175207"/>
      <w:bookmarkStart w:id="3041" w:name="_Toc517175794"/>
      <w:bookmarkStart w:id="3042" w:name="_Toc517176382"/>
      <w:bookmarkStart w:id="3043" w:name="_Toc517337707"/>
      <w:bookmarkStart w:id="3044" w:name="_Toc517360503"/>
      <w:bookmarkStart w:id="3045" w:name="_Toc516739885"/>
      <w:bookmarkStart w:id="3046" w:name="_Toc516751794"/>
      <w:bookmarkStart w:id="3047" w:name="_Toc516825882"/>
      <w:bookmarkStart w:id="3048" w:name="_Toc516826440"/>
      <w:bookmarkStart w:id="3049" w:name="_Toc516837760"/>
      <w:bookmarkStart w:id="3050" w:name="_Toc516838319"/>
      <w:bookmarkStart w:id="3051" w:name="_Toc516838878"/>
      <w:bookmarkStart w:id="3052" w:name="_Toc516839438"/>
      <w:bookmarkStart w:id="3053" w:name="_Toc517173534"/>
      <w:bookmarkStart w:id="3054" w:name="_Toc517175208"/>
      <w:bookmarkStart w:id="3055" w:name="_Toc517175795"/>
      <w:bookmarkStart w:id="3056" w:name="_Toc517176383"/>
      <w:bookmarkStart w:id="3057" w:name="_Toc517337708"/>
      <w:bookmarkStart w:id="3058" w:name="_Toc517360504"/>
      <w:bookmarkStart w:id="3059" w:name="_Toc516739886"/>
      <w:bookmarkStart w:id="3060" w:name="_Toc516751795"/>
      <w:bookmarkStart w:id="3061" w:name="_Toc516825883"/>
      <w:bookmarkStart w:id="3062" w:name="_Toc516826441"/>
      <w:bookmarkStart w:id="3063" w:name="_Toc516837761"/>
      <w:bookmarkStart w:id="3064" w:name="_Toc516838320"/>
      <w:bookmarkStart w:id="3065" w:name="_Toc516838879"/>
      <w:bookmarkStart w:id="3066" w:name="_Toc516839439"/>
      <w:bookmarkStart w:id="3067" w:name="_Toc517173535"/>
      <w:bookmarkStart w:id="3068" w:name="_Toc517175209"/>
      <w:bookmarkStart w:id="3069" w:name="_Toc517175796"/>
      <w:bookmarkStart w:id="3070" w:name="_Toc517176384"/>
      <w:bookmarkStart w:id="3071" w:name="_Toc517337709"/>
      <w:bookmarkStart w:id="3072" w:name="_Toc517360505"/>
      <w:bookmarkStart w:id="3073" w:name="_Toc516739887"/>
      <w:bookmarkStart w:id="3074" w:name="_Toc516751796"/>
      <w:bookmarkStart w:id="3075" w:name="_Toc516825884"/>
      <w:bookmarkStart w:id="3076" w:name="_Toc516826442"/>
      <w:bookmarkStart w:id="3077" w:name="_Toc516837762"/>
      <w:bookmarkStart w:id="3078" w:name="_Toc516838321"/>
      <w:bookmarkStart w:id="3079" w:name="_Toc516838880"/>
      <w:bookmarkStart w:id="3080" w:name="_Toc516839440"/>
      <w:bookmarkStart w:id="3081" w:name="_Toc517173536"/>
      <w:bookmarkStart w:id="3082" w:name="_Toc517175210"/>
      <w:bookmarkStart w:id="3083" w:name="_Toc517175797"/>
      <w:bookmarkStart w:id="3084" w:name="_Toc517176385"/>
      <w:bookmarkStart w:id="3085" w:name="_Toc517337710"/>
      <w:bookmarkStart w:id="3086" w:name="_Toc517360506"/>
      <w:bookmarkStart w:id="3087" w:name="_Toc516739888"/>
      <w:bookmarkStart w:id="3088" w:name="_Toc516751797"/>
      <w:bookmarkStart w:id="3089" w:name="_Toc516825885"/>
      <w:bookmarkStart w:id="3090" w:name="_Toc516826443"/>
      <w:bookmarkStart w:id="3091" w:name="_Toc516837763"/>
      <w:bookmarkStart w:id="3092" w:name="_Toc516838322"/>
      <w:bookmarkStart w:id="3093" w:name="_Toc516838881"/>
      <w:bookmarkStart w:id="3094" w:name="_Toc516839441"/>
      <w:bookmarkStart w:id="3095" w:name="_Toc517173537"/>
      <w:bookmarkStart w:id="3096" w:name="_Toc517175211"/>
      <w:bookmarkStart w:id="3097" w:name="_Toc517175798"/>
      <w:bookmarkStart w:id="3098" w:name="_Toc517176386"/>
      <w:bookmarkStart w:id="3099" w:name="_Toc517337711"/>
      <w:bookmarkStart w:id="3100" w:name="_Toc517360507"/>
      <w:bookmarkStart w:id="3101" w:name="_Toc516739889"/>
      <w:bookmarkStart w:id="3102" w:name="_Toc516751798"/>
      <w:bookmarkStart w:id="3103" w:name="_Toc516825886"/>
      <w:bookmarkStart w:id="3104" w:name="_Toc516826444"/>
      <w:bookmarkStart w:id="3105" w:name="_Toc516837764"/>
      <w:bookmarkStart w:id="3106" w:name="_Toc516838323"/>
      <w:bookmarkStart w:id="3107" w:name="_Toc516838882"/>
      <w:bookmarkStart w:id="3108" w:name="_Toc516839442"/>
      <w:bookmarkStart w:id="3109" w:name="_Toc517173538"/>
      <w:bookmarkStart w:id="3110" w:name="_Toc517175212"/>
      <w:bookmarkStart w:id="3111" w:name="_Toc517175799"/>
      <w:bookmarkStart w:id="3112" w:name="_Toc517176387"/>
      <w:bookmarkStart w:id="3113" w:name="_Toc517337712"/>
      <w:bookmarkStart w:id="3114" w:name="_Toc517360508"/>
      <w:bookmarkStart w:id="3115" w:name="_Toc516739890"/>
      <w:bookmarkStart w:id="3116" w:name="_Toc516751799"/>
      <w:bookmarkStart w:id="3117" w:name="_Toc516825887"/>
      <w:bookmarkStart w:id="3118" w:name="_Toc516826445"/>
      <w:bookmarkStart w:id="3119" w:name="_Toc516837765"/>
      <w:bookmarkStart w:id="3120" w:name="_Toc516838324"/>
      <w:bookmarkStart w:id="3121" w:name="_Toc516838883"/>
      <w:bookmarkStart w:id="3122" w:name="_Toc516839443"/>
      <w:bookmarkStart w:id="3123" w:name="_Toc517173539"/>
      <w:bookmarkStart w:id="3124" w:name="_Toc517175213"/>
      <w:bookmarkStart w:id="3125" w:name="_Toc517175800"/>
      <w:bookmarkStart w:id="3126" w:name="_Toc517176388"/>
      <w:bookmarkStart w:id="3127" w:name="_Toc517337713"/>
      <w:bookmarkStart w:id="3128" w:name="_Toc517360509"/>
      <w:bookmarkStart w:id="3129" w:name="_Toc516739891"/>
      <w:bookmarkStart w:id="3130" w:name="_Toc516751800"/>
      <w:bookmarkStart w:id="3131" w:name="_Toc516825888"/>
      <w:bookmarkStart w:id="3132" w:name="_Toc516826446"/>
      <w:bookmarkStart w:id="3133" w:name="_Toc516837766"/>
      <w:bookmarkStart w:id="3134" w:name="_Toc516838325"/>
      <w:bookmarkStart w:id="3135" w:name="_Toc516838884"/>
      <w:bookmarkStart w:id="3136" w:name="_Toc516839444"/>
      <w:bookmarkStart w:id="3137" w:name="_Toc517173540"/>
      <w:bookmarkStart w:id="3138" w:name="_Toc517175214"/>
      <w:bookmarkStart w:id="3139" w:name="_Toc517175801"/>
      <w:bookmarkStart w:id="3140" w:name="_Toc517176389"/>
      <w:bookmarkStart w:id="3141" w:name="_Toc517337714"/>
      <w:bookmarkStart w:id="3142" w:name="_Toc517360510"/>
      <w:bookmarkStart w:id="3143" w:name="_Toc516739892"/>
      <w:bookmarkStart w:id="3144" w:name="_Toc516751801"/>
      <w:bookmarkStart w:id="3145" w:name="_Toc516825889"/>
      <w:bookmarkStart w:id="3146" w:name="_Toc516826447"/>
      <w:bookmarkStart w:id="3147" w:name="_Toc516837767"/>
      <w:bookmarkStart w:id="3148" w:name="_Toc516838326"/>
      <w:bookmarkStart w:id="3149" w:name="_Toc516838885"/>
      <w:bookmarkStart w:id="3150" w:name="_Toc516839445"/>
      <w:bookmarkStart w:id="3151" w:name="_Toc517173541"/>
      <w:bookmarkStart w:id="3152" w:name="_Toc517175215"/>
      <w:bookmarkStart w:id="3153" w:name="_Toc517175802"/>
      <w:bookmarkStart w:id="3154" w:name="_Toc517176390"/>
      <w:bookmarkStart w:id="3155" w:name="_Toc517337715"/>
      <w:bookmarkStart w:id="3156" w:name="_Toc517360511"/>
      <w:bookmarkStart w:id="3157" w:name="_Toc516739893"/>
      <w:bookmarkStart w:id="3158" w:name="_Toc516751802"/>
      <w:bookmarkStart w:id="3159" w:name="_Toc516825890"/>
      <w:bookmarkStart w:id="3160" w:name="_Toc516826448"/>
      <w:bookmarkStart w:id="3161" w:name="_Toc516837768"/>
      <w:bookmarkStart w:id="3162" w:name="_Toc516838327"/>
      <w:bookmarkStart w:id="3163" w:name="_Toc516838886"/>
      <w:bookmarkStart w:id="3164" w:name="_Toc516839446"/>
      <w:bookmarkStart w:id="3165" w:name="_Toc517173542"/>
      <w:bookmarkStart w:id="3166" w:name="_Toc517175216"/>
      <w:bookmarkStart w:id="3167" w:name="_Toc517175803"/>
      <w:bookmarkStart w:id="3168" w:name="_Toc517176391"/>
      <w:bookmarkStart w:id="3169" w:name="_Toc517337716"/>
      <w:bookmarkStart w:id="3170" w:name="_Toc517360512"/>
      <w:bookmarkStart w:id="3171" w:name="_Toc516739894"/>
      <w:bookmarkStart w:id="3172" w:name="_Toc516751803"/>
      <w:bookmarkStart w:id="3173" w:name="_Toc516825891"/>
      <w:bookmarkStart w:id="3174" w:name="_Toc516826449"/>
      <w:bookmarkStart w:id="3175" w:name="_Toc516837769"/>
      <w:bookmarkStart w:id="3176" w:name="_Toc516838328"/>
      <w:bookmarkStart w:id="3177" w:name="_Toc516838887"/>
      <w:bookmarkStart w:id="3178" w:name="_Toc516839447"/>
      <w:bookmarkStart w:id="3179" w:name="_Toc517173543"/>
      <w:bookmarkStart w:id="3180" w:name="_Toc517175217"/>
      <w:bookmarkStart w:id="3181" w:name="_Toc517175804"/>
      <w:bookmarkStart w:id="3182" w:name="_Toc517176392"/>
      <w:bookmarkStart w:id="3183" w:name="_Toc517337717"/>
      <w:bookmarkStart w:id="3184" w:name="_Toc517360513"/>
      <w:bookmarkStart w:id="3185" w:name="_Toc143779221"/>
      <w:bookmarkStart w:id="3186" w:name="_Toc512525526"/>
      <w:bookmarkStart w:id="3187" w:name="_Toc51589684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p>
    <w:p w14:paraId="624F9B3B" w14:textId="29CD7916" w:rsidR="00795C3E" w:rsidRPr="00A239E0" w:rsidRDefault="00795C3E" w:rsidP="35BD9115">
      <w:pPr>
        <w:pStyle w:val="Titre3"/>
        <w:rPr>
          <w:caps/>
        </w:rPr>
      </w:pPr>
      <w:bookmarkStart w:id="3188" w:name="_Toc208420131"/>
      <w:bookmarkStart w:id="3189" w:name="_Toc225504361"/>
      <w:bookmarkStart w:id="3190" w:name="_Toc225772450"/>
      <w:bookmarkStart w:id="3191" w:name="_Toc233626317"/>
      <w:r w:rsidRPr="00A239E0">
        <w:t>040/365-02 : Dancings</w:t>
      </w:r>
      <w:bookmarkEnd w:id="3185"/>
      <w:bookmarkEnd w:id="3188"/>
      <w:bookmarkEnd w:id="3189"/>
      <w:bookmarkEnd w:id="3190"/>
      <w:bookmarkEnd w:id="3191"/>
      <w:r w:rsidRPr="00A239E0">
        <w:t xml:space="preserve"> </w:t>
      </w:r>
    </w:p>
    <w:p w14:paraId="23031C99" w14:textId="77777777" w:rsidR="00795C3E" w:rsidRPr="00F91BDD" w:rsidRDefault="00795C3E" w:rsidP="00795C3E">
      <w:pPr>
        <w:spacing w:before="120"/>
      </w:pPr>
      <w:r w:rsidRPr="00F91BDD">
        <w:t>Taxe directe</w:t>
      </w:r>
      <w:bookmarkEnd w:id="3186"/>
      <w:bookmarkEnd w:id="3187"/>
      <w:r>
        <w:t>.</w:t>
      </w:r>
    </w:p>
    <w:p w14:paraId="496CDE37" w14:textId="3A688AAC" w:rsidR="00795C3E" w:rsidRPr="00F91BDD" w:rsidRDefault="00795C3E" w:rsidP="00795C3E">
      <w:pPr>
        <w:spacing w:before="120"/>
        <w:textAlignment w:val="baseline"/>
        <w:rPr>
          <w:rFonts w:cs="Calibri Light"/>
        </w:rPr>
      </w:pPr>
      <w:r w:rsidRPr="00F91BDD">
        <w:rPr>
          <w:rFonts w:cs="Calibri Light"/>
        </w:rPr>
        <w:t>Taux maximum recommandé : 1.050,00 euros /mois, à moduler selon le chiffre d'affaires de l'activité dancing et le caractère accessoire ou non de celle-ci.</w:t>
      </w:r>
    </w:p>
    <w:p w14:paraId="7095CC81" w14:textId="77777777" w:rsidR="00795C3E" w:rsidRPr="00F91BDD" w:rsidRDefault="00795C3E" w:rsidP="00795C3E">
      <w:pPr>
        <w:spacing w:before="120"/>
        <w:textAlignment w:val="baseline"/>
        <w:rPr>
          <w:rFonts w:cs="Calibri Light"/>
        </w:rPr>
      </w:pPr>
      <w:r w:rsidRPr="00F91BDD">
        <w:rPr>
          <w:rFonts w:cs="Calibri Light"/>
        </w:rPr>
        <w:t>Pour les méga-dancings, il convient de moduler le taux de la taxe en fonction de la capacité d'accueil telle qu'elle est reprise dans le permis d'exploiter. C'est ainsi que le taux maximum recommandé est de</w:t>
      </w:r>
    </w:p>
    <w:p w14:paraId="3DD3599D" w14:textId="5C15F678"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 xml:space="preserve">4.000,00 </w:t>
      </w:r>
      <w:r w:rsidR="00BC63E9" w:rsidRPr="00F91BDD">
        <w:rPr>
          <w:rFonts w:cs="Calibri Light"/>
        </w:rPr>
        <w:t>euros /</w:t>
      </w:r>
      <w:r w:rsidRPr="00F91BDD">
        <w:rPr>
          <w:rFonts w:cs="Calibri Light"/>
        </w:rPr>
        <w:t>mois pour le dancing dont la capacité d'accueil varie entre 1.500 et 3.000 personnes ;</w:t>
      </w:r>
    </w:p>
    <w:p w14:paraId="7021B379" w14:textId="19ADB9C3"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 xml:space="preserve">6.800,00 </w:t>
      </w:r>
      <w:r w:rsidR="00BC63E9" w:rsidRPr="00F91BDD">
        <w:rPr>
          <w:rFonts w:cs="Calibri Light"/>
        </w:rPr>
        <w:t>euros /</w:t>
      </w:r>
      <w:r w:rsidRPr="00F91BDD">
        <w:rPr>
          <w:rFonts w:cs="Calibri Light"/>
        </w:rPr>
        <w:t>mois pour le dancing dont la capacité d'accueil varie entre 3.001 et 5.000 personnes ;</w:t>
      </w:r>
    </w:p>
    <w:p w14:paraId="57EF282F" w14:textId="268778E2"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 xml:space="preserve">10.800,00 </w:t>
      </w:r>
      <w:r w:rsidR="00BC63E9" w:rsidRPr="00F91BDD">
        <w:rPr>
          <w:rFonts w:cs="Calibri Light"/>
        </w:rPr>
        <w:t>euros /</w:t>
      </w:r>
      <w:r w:rsidRPr="00F91BDD">
        <w:rPr>
          <w:rFonts w:cs="Calibri Light"/>
        </w:rPr>
        <w:t xml:space="preserve">mois pour le dancing dont la capacité d'accueil est de 5.001 personnes et plus. </w:t>
      </w:r>
    </w:p>
    <w:p w14:paraId="0CE57D67" w14:textId="77777777" w:rsidR="00795C3E" w:rsidRPr="00E5652E" w:rsidRDefault="00795C3E" w:rsidP="00795C3E">
      <w:pPr>
        <w:tabs>
          <w:tab w:val="left" w:pos="567"/>
          <w:tab w:val="left" w:pos="720"/>
        </w:tabs>
        <w:spacing w:before="120"/>
        <w:textAlignment w:val="baseline"/>
        <w:rPr>
          <w:rFonts w:cs="Calibri Light"/>
        </w:rPr>
      </w:pPr>
      <w:r w:rsidRPr="00F91BDD">
        <w:rPr>
          <w:rFonts w:cs="Calibri Light"/>
        </w:rPr>
        <w:t>Je vous invite à allouer les recettes de la taxe sur les méga-dancings à l'amélioration des mesures de sécurité aux abords de ceux-ci.</w:t>
      </w:r>
      <w:bookmarkStart w:id="3192" w:name="_Toc512525527"/>
      <w:bookmarkStart w:id="3193" w:name="_Toc515896841"/>
      <w:bookmarkStart w:id="3194" w:name="_Toc143779222"/>
    </w:p>
    <w:p w14:paraId="5B08823A" w14:textId="02251C88" w:rsidR="00795C3E" w:rsidRPr="00A239E0" w:rsidRDefault="00795C3E" w:rsidP="35BD9115">
      <w:pPr>
        <w:pStyle w:val="Titre3"/>
        <w:rPr>
          <w:caps/>
        </w:rPr>
      </w:pPr>
      <w:bookmarkStart w:id="3195" w:name="_Toc208420132"/>
      <w:bookmarkStart w:id="3196" w:name="_Toc225504362"/>
      <w:bookmarkStart w:id="3197" w:name="_Toc225772451"/>
      <w:bookmarkStart w:id="3198" w:name="_Toc233626318"/>
      <w:r w:rsidRPr="00A239E0">
        <w:lastRenderedPageBreak/>
        <w:t>040/365-08 : Mise à l'eau d'embarcations dans un but commercial</w:t>
      </w:r>
      <w:bookmarkEnd w:id="3192"/>
      <w:bookmarkEnd w:id="3193"/>
      <w:bookmarkEnd w:id="3194"/>
      <w:bookmarkEnd w:id="3195"/>
      <w:bookmarkEnd w:id="3196"/>
      <w:bookmarkEnd w:id="3197"/>
      <w:bookmarkEnd w:id="3198"/>
    </w:p>
    <w:p w14:paraId="7078D28B" w14:textId="77777777" w:rsidR="00795C3E" w:rsidRPr="00F91BDD" w:rsidRDefault="00795C3E" w:rsidP="00795C3E">
      <w:pPr>
        <w:spacing w:before="120"/>
        <w:textAlignment w:val="baseline"/>
        <w:rPr>
          <w:rFonts w:cs="Calibri Light"/>
          <w:spacing w:val="-1"/>
        </w:rPr>
      </w:pPr>
      <w:r w:rsidRPr="00F91BDD">
        <w:rPr>
          <w:rFonts w:cs="Calibri Light"/>
          <w:spacing w:val="-1"/>
        </w:rPr>
        <w:t>Taux maxima recommandés :</w:t>
      </w:r>
    </w:p>
    <w:p w14:paraId="663218C7" w14:textId="30C541B9"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 xml:space="preserve">130,00 </w:t>
      </w:r>
      <w:r w:rsidR="00BC63E9" w:rsidRPr="00F91BDD">
        <w:rPr>
          <w:rFonts w:cs="Calibri Light"/>
        </w:rPr>
        <w:t>euros /</w:t>
      </w:r>
      <w:r w:rsidRPr="00F91BDD">
        <w:rPr>
          <w:rFonts w:cs="Calibri Light"/>
        </w:rPr>
        <w:t>an par embarcation ;</w:t>
      </w:r>
    </w:p>
    <w:p w14:paraId="2AED74EB" w14:textId="67F13FBF"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 xml:space="preserve">4,50 </w:t>
      </w:r>
      <w:r w:rsidR="00BC63E9" w:rsidRPr="00F91BDD">
        <w:rPr>
          <w:rFonts w:cs="Calibri Light"/>
        </w:rPr>
        <w:t>euros /</w:t>
      </w:r>
      <w:r w:rsidRPr="00F91BDD">
        <w:rPr>
          <w:rFonts w:cs="Calibri Light"/>
        </w:rPr>
        <w:t>jour par embarcation.</w:t>
      </w:r>
    </w:p>
    <w:p w14:paraId="72AB210D" w14:textId="77777777" w:rsidR="00795C3E" w:rsidRPr="00F91BDD" w:rsidRDefault="00795C3E" w:rsidP="00795C3E">
      <w:pPr>
        <w:spacing w:before="120"/>
        <w:textAlignment w:val="baseline"/>
        <w:rPr>
          <w:rFonts w:cs="Calibri Light"/>
          <w:spacing w:val="-1"/>
        </w:rPr>
      </w:pPr>
      <w:r w:rsidRPr="00F91BDD">
        <w:rPr>
          <w:rFonts w:cs="Calibri Light"/>
          <w:spacing w:val="-1"/>
        </w:rPr>
        <w:t>S’agissant de taux maxima, il est précisé qu’il y aurait lieu :</w:t>
      </w:r>
    </w:p>
    <w:p w14:paraId="2A1FED14" w14:textId="77777777" w:rsidR="00795C3E" w:rsidRPr="00F91BDD" w:rsidRDefault="00795C3E" w:rsidP="00795C3E">
      <w:pPr>
        <w:spacing w:before="120"/>
        <w:textAlignment w:val="baseline"/>
        <w:rPr>
          <w:rFonts w:cs="Calibri Light"/>
          <w:spacing w:val="-1"/>
        </w:rPr>
      </w:pPr>
      <w:r w:rsidRPr="00F91BDD">
        <w:rPr>
          <w:rFonts w:cs="Calibri Light"/>
          <w:spacing w:val="-1"/>
        </w:rPr>
        <w:t>-</w:t>
      </w:r>
      <w:r w:rsidRPr="00F91BDD">
        <w:rPr>
          <w:rFonts w:cs="Calibri Light"/>
          <w:spacing w:val="-1"/>
        </w:rPr>
        <w:tab/>
        <w:t>De tenir compte de la capacité contributive de l’exploitant ;</w:t>
      </w:r>
    </w:p>
    <w:p w14:paraId="25D6EDC3" w14:textId="77777777" w:rsidR="00795C3E" w:rsidRPr="00F91BDD" w:rsidRDefault="00795C3E" w:rsidP="00795C3E">
      <w:pPr>
        <w:spacing w:before="120"/>
        <w:textAlignment w:val="baseline"/>
        <w:rPr>
          <w:rFonts w:cs="Calibri Light"/>
          <w:spacing w:val="-1"/>
        </w:rPr>
      </w:pPr>
      <w:r w:rsidRPr="00F91BDD">
        <w:rPr>
          <w:rFonts w:cs="Calibri Light"/>
          <w:spacing w:val="-1"/>
        </w:rPr>
        <w:t>-</w:t>
      </w:r>
      <w:r w:rsidRPr="00F91BDD">
        <w:rPr>
          <w:rFonts w:cs="Calibri Light"/>
          <w:spacing w:val="-1"/>
        </w:rPr>
        <w:tab/>
        <w:t>De prévoir une tarification progressive en fonction du nombre d’embarcations ;</w:t>
      </w:r>
    </w:p>
    <w:p w14:paraId="416C0EFB" w14:textId="77777777" w:rsidR="00795C3E" w:rsidRPr="00F91BDD" w:rsidRDefault="00795C3E" w:rsidP="00795C3E">
      <w:pPr>
        <w:spacing w:before="120"/>
        <w:ind w:left="709" w:hanging="709"/>
        <w:textAlignment w:val="baseline"/>
        <w:rPr>
          <w:rFonts w:cs="Calibri Light"/>
          <w:spacing w:val="-1"/>
        </w:rPr>
      </w:pPr>
      <w:r w:rsidRPr="00F91BDD">
        <w:rPr>
          <w:rFonts w:cs="Calibri Light"/>
          <w:spacing w:val="-1"/>
        </w:rPr>
        <w:t>-</w:t>
      </w:r>
      <w:r w:rsidRPr="00F91BDD">
        <w:rPr>
          <w:rFonts w:cs="Calibri Light"/>
          <w:spacing w:val="-1"/>
        </w:rPr>
        <w:tab/>
        <w:t>De prévoir une procédure de restitution au prorata des jours d’interdiction de mise à l’eau au cours de la saison.</w:t>
      </w:r>
    </w:p>
    <w:p w14:paraId="6987956A" w14:textId="77777777" w:rsidR="00795C3E" w:rsidRPr="00F91BDD" w:rsidRDefault="00795C3E" w:rsidP="00795C3E">
      <w:pPr>
        <w:spacing w:before="120"/>
        <w:textAlignment w:val="baseline"/>
        <w:rPr>
          <w:rFonts w:cs="Calibri Light"/>
          <w:b/>
          <w:bCs/>
          <w:spacing w:val="-1"/>
        </w:rPr>
      </w:pPr>
      <w:r w:rsidRPr="00F91BDD">
        <w:rPr>
          <w:rFonts w:cs="Calibri Light"/>
          <w:b/>
          <w:bCs/>
          <w:spacing w:val="-1"/>
        </w:rPr>
        <w:t>Ces montants devraient ainsi être modulés en fonction du site ou de l'importance de l'exploitation.</w:t>
      </w:r>
    </w:p>
    <w:p w14:paraId="117BE25F" w14:textId="77777777" w:rsidR="00795C3E" w:rsidRPr="00F91BDD" w:rsidRDefault="00795C3E" w:rsidP="00795C3E">
      <w:pPr>
        <w:spacing w:before="120"/>
        <w:textAlignment w:val="baseline"/>
        <w:rPr>
          <w:rFonts w:cs="Calibri Light"/>
          <w:spacing w:val="-1"/>
        </w:rPr>
      </w:pPr>
      <w:r w:rsidRPr="00F91BDD">
        <w:rPr>
          <w:rFonts w:cs="Calibri Light"/>
          <w:spacing w:val="-1"/>
        </w:rPr>
        <w:t>Il est également recommandé d’adapter ces tarifs en fonction de la présence ou non d’une motorisation, afin de prendre en compte la nuisance sonore.</w:t>
      </w:r>
    </w:p>
    <w:p w14:paraId="58A80856" w14:textId="77777777" w:rsidR="00795C3E" w:rsidRPr="00F91BDD" w:rsidRDefault="00795C3E" w:rsidP="00795C3E">
      <w:pPr>
        <w:spacing w:before="120"/>
        <w:textAlignment w:val="baseline"/>
        <w:rPr>
          <w:rFonts w:cs="Calibri Light"/>
          <w:spacing w:val="-1"/>
        </w:rPr>
      </w:pPr>
      <w:r w:rsidRPr="00F91BDD">
        <w:rPr>
          <w:rFonts w:cs="Calibri Light"/>
          <w:spacing w:val="-1"/>
        </w:rPr>
        <w:t>Le terme embarcation doit s’entendre de tout moyen matériel permettant de se mouvoir sur et dans l’eau ainsi qu’au-dessus de l’eau.</w:t>
      </w:r>
    </w:p>
    <w:p w14:paraId="4154C36D" w14:textId="77777777" w:rsidR="00795C3E" w:rsidRDefault="00795C3E" w:rsidP="00795C3E">
      <w:pPr>
        <w:spacing w:before="120"/>
        <w:textAlignment w:val="baseline"/>
        <w:rPr>
          <w:rFonts w:cs="Calibri Light"/>
          <w:spacing w:val="-1"/>
        </w:rPr>
      </w:pPr>
      <w:r w:rsidRPr="00F91BDD">
        <w:rPr>
          <w:rFonts w:cs="Calibri Light"/>
          <w:spacing w:val="-1"/>
        </w:rPr>
        <w:t>Il est important de préciser quelles embarcations sont à prendre en compte par le redevable pour sa déclaration sachant que le fait générateur de la taxe est donc la mise à l’eau de l’embarcation.</w:t>
      </w:r>
    </w:p>
    <w:p w14:paraId="6BDA13EC" w14:textId="77777777" w:rsidR="00795C3E" w:rsidRPr="00D80117" w:rsidRDefault="00795C3E" w:rsidP="00795C3E">
      <w:pPr>
        <w:spacing w:before="120"/>
        <w:textAlignment w:val="baseline"/>
        <w:rPr>
          <w:rFonts w:cs="Calibri Light"/>
          <w:spacing w:val="-1"/>
        </w:rPr>
      </w:pPr>
    </w:p>
    <w:p w14:paraId="283B3115" w14:textId="7F94E184" w:rsidR="00795C3E" w:rsidRPr="00A239E0" w:rsidRDefault="00795C3E" w:rsidP="002958D4">
      <w:pPr>
        <w:pStyle w:val="Titre2"/>
        <w:rPr>
          <w:caps/>
        </w:rPr>
      </w:pPr>
      <w:bookmarkStart w:id="3199" w:name="_Toc40185598"/>
      <w:bookmarkStart w:id="3200" w:name="_Toc40186333"/>
      <w:bookmarkStart w:id="3201" w:name="_Toc143779223"/>
      <w:bookmarkStart w:id="3202" w:name="_Toc208420133"/>
      <w:bookmarkStart w:id="3203" w:name="_Toc225504363"/>
      <w:bookmarkStart w:id="3204" w:name="_Toc225772452"/>
      <w:bookmarkStart w:id="3205" w:name="_Toc233626319"/>
      <w:bookmarkEnd w:id="3199"/>
      <w:bookmarkEnd w:id="3200"/>
      <w:r w:rsidRPr="00A239E0">
        <w:t>Taxes ou redevances pour l’occupation du domaine public</w:t>
      </w:r>
      <w:bookmarkEnd w:id="3201"/>
      <w:bookmarkEnd w:id="3202"/>
      <w:bookmarkEnd w:id="3203"/>
      <w:bookmarkEnd w:id="3204"/>
      <w:bookmarkEnd w:id="3205"/>
    </w:p>
    <w:p w14:paraId="01D6BF49" w14:textId="3E7D1AEF" w:rsidR="00795C3E" w:rsidRPr="006C4C03" w:rsidRDefault="00795C3E">
      <w:pPr>
        <w:pStyle w:val="Titre3"/>
        <w:numPr>
          <w:ilvl w:val="0"/>
          <w:numId w:val="122"/>
        </w:numPr>
        <w:rPr>
          <w:caps/>
        </w:rPr>
      </w:pPr>
      <w:bookmarkStart w:id="3206" w:name="_Toc516229761"/>
      <w:bookmarkStart w:id="3207" w:name="_Toc516230056"/>
      <w:bookmarkStart w:id="3208" w:name="_Toc516230351"/>
      <w:bookmarkStart w:id="3209" w:name="_Toc516230645"/>
      <w:bookmarkStart w:id="3210" w:name="_Toc516230939"/>
      <w:bookmarkStart w:id="3211" w:name="_Toc516231234"/>
      <w:bookmarkStart w:id="3212" w:name="_Toc516231529"/>
      <w:bookmarkStart w:id="3213" w:name="_Toc516231826"/>
      <w:bookmarkStart w:id="3214" w:name="_Toc516242921"/>
      <w:bookmarkStart w:id="3215" w:name="_Toc516243225"/>
      <w:bookmarkStart w:id="3216" w:name="_Toc516245162"/>
      <w:bookmarkStart w:id="3217" w:name="_Toc516473733"/>
      <w:bookmarkStart w:id="3218" w:name="_Toc516474043"/>
      <w:bookmarkStart w:id="3219" w:name="_Toc516474353"/>
      <w:bookmarkStart w:id="3220" w:name="_Toc516474661"/>
      <w:bookmarkStart w:id="3221" w:name="_Toc516474993"/>
      <w:bookmarkStart w:id="3222" w:name="_Toc516479072"/>
      <w:bookmarkStart w:id="3223" w:name="_Toc516479490"/>
      <w:bookmarkStart w:id="3224" w:name="_Toc516479807"/>
      <w:bookmarkStart w:id="3225" w:name="_Toc516480129"/>
      <w:bookmarkStart w:id="3226" w:name="_Toc516480443"/>
      <w:bookmarkStart w:id="3227" w:name="_Toc516480757"/>
      <w:bookmarkStart w:id="3228" w:name="_Toc516481071"/>
      <w:bookmarkStart w:id="3229" w:name="_Toc516481385"/>
      <w:bookmarkStart w:id="3230" w:name="_Toc516481699"/>
      <w:bookmarkStart w:id="3231" w:name="_Toc516482013"/>
      <w:bookmarkStart w:id="3232" w:name="_Toc516482327"/>
      <w:bookmarkStart w:id="3233" w:name="_Toc516482641"/>
      <w:bookmarkStart w:id="3234" w:name="_Toc516739898"/>
      <w:bookmarkStart w:id="3235" w:name="_Toc516751807"/>
      <w:bookmarkStart w:id="3236" w:name="_Toc516825895"/>
      <w:bookmarkStart w:id="3237" w:name="_Toc516826453"/>
      <w:bookmarkStart w:id="3238" w:name="_Toc516837773"/>
      <w:bookmarkStart w:id="3239" w:name="_Toc516838332"/>
      <w:bookmarkStart w:id="3240" w:name="_Toc516838891"/>
      <w:bookmarkStart w:id="3241" w:name="_Toc516839451"/>
      <w:bookmarkStart w:id="3242" w:name="_Toc517173547"/>
      <w:bookmarkStart w:id="3243" w:name="_Toc517175221"/>
      <w:bookmarkStart w:id="3244" w:name="_Toc517175808"/>
      <w:bookmarkStart w:id="3245" w:name="_Toc517176396"/>
      <w:bookmarkStart w:id="3246" w:name="_Toc517337721"/>
      <w:bookmarkStart w:id="3247" w:name="_Toc517360517"/>
      <w:bookmarkStart w:id="3248" w:name="_Toc516245163"/>
      <w:bookmarkStart w:id="3249" w:name="_Toc516473734"/>
      <w:bookmarkStart w:id="3250" w:name="_Toc516474044"/>
      <w:bookmarkStart w:id="3251" w:name="_Toc516474354"/>
      <w:bookmarkStart w:id="3252" w:name="_Toc516474662"/>
      <w:bookmarkStart w:id="3253" w:name="_Toc516474994"/>
      <w:bookmarkStart w:id="3254" w:name="_Toc516479073"/>
      <w:bookmarkStart w:id="3255" w:name="_Toc516479491"/>
      <w:bookmarkStart w:id="3256" w:name="_Toc516479808"/>
      <w:bookmarkStart w:id="3257" w:name="_Toc516480130"/>
      <w:bookmarkStart w:id="3258" w:name="_Toc516480444"/>
      <w:bookmarkStart w:id="3259" w:name="_Toc516480758"/>
      <w:bookmarkStart w:id="3260" w:name="_Toc516481072"/>
      <w:bookmarkStart w:id="3261" w:name="_Toc516481386"/>
      <w:bookmarkStart w:id="3262" w:name="_Toc516481700"/>
      <w:bookmarkStart w:id="3263" w:name="_Toc516482014"/>
      <w:bookmarkStart w:id="3264" w:name="_Toc516482328"/>
      <w:bookmarkStart w:id="3265" w:name="_Toc516482642"/>
      <w:bookmarkStart w:id="3266" w:name="_Toc516739899"/>
      <w:bookmarkStart w:id="3267" w:name="_Toc516751808"/>
      <w:bookmarkStart w:id="3268" w:name="_Toc516825896"/>
      <w:bookmarkStart w:id="3269" w:name="_Toc516826454"/>
      <w:bookmarkStart w:id="3270" w:name="_Toc516837774"/>
      <w:bookmarkStart w:id="3271" w:name="_Toc516838333"/>
      <w:bookmarkStart w:id="3272" w:name="_Toc516838892"/>
      <w:bookmarkStart w:id="3273" w:name="_Toc516839452"/>
      <w:bookmarkStart w:id="3274" w:name="_Toc517173548"/>
      <w:bookmarkStart w:id="3275" w:name="_Toc517175222"/>
      <w:bookmarkStart w:id="3276" w:name="_Toc517175809"/>
      <w:bookmarkStart w:id="3277" w:name="_Toc517176397"/>
      <w:bookmarkStart w:id="3278" w:name="_Toc517337722"/>
      <w:bookmarkStart w:id="3279" w:name="_Toc517360518"/>
      <w:bookmarkStart w:id="3280" w:name="_Toc516245164"/>
      <w:bookmarkStart w:id="3281" w:name="_Toc516473735"/>
      <w:bookmarkStart w:id="3282" w:name="_Toc516474045"/>
      <w:bookmarkStart w:id="3283" w:name="_Toc516474355"/>
      <w:bookmarkStart w:id="3284" w:name="_Toc516474663"/>
      <w:bookmarkStart w:id="3285" w:name="_Toc516474995"/>
      <w:bookmarkStart w:id="3286" w:name="_Toc516479074"/>
      <w:bookmarkStart w:id="3287" w:name="_Toc516479492"/>
      <w:bookmarkStart w:id="3288" w:name="_Toc516479809"/>
      <w:bookmarkStart w:id="3289" w:name="_Toc516480131"/>
      <w:bookmarkStart w:id="3290" w:name="_Toc516480445"/>
      <w:bookmarkStart w:id="3291" w:name="_Toc516480759"/>
      <w:bookmarkStart w:id="3292" w:name="_Toc516481073"/>
      <w:bookmarkStart w:id="3293" w:name="_Toc516481387"/>
      <w:bookmarkStart w:id="3294" w:name="_Toc516481701"/>
      <w:bookmarkStart w:id="3295" w:name="_Toc516482015"/>
      <w:bookmarkStart w:id="3296" w:name="_Toc516482329"/>
      <w:bookmarkStart w:id="3297" w:name="_Toc516482643"/>
      <w:bookmarkStart w:id="3298" w:name="_Toc516739900"/>
      <w:bookmarkStart w:id="3299" w:name="_Toc516751809"/>
      <w:bookmarkStart w:id="3300" w:name="_Toc516825897"/>
      <w:bookmarkStart w:id="3301" w:name="_Toc516826455"/>
      <w:bookmarkStart w:id="3302" w:name="_Toc516837775"/>
      <w:bookmarkStart w:id="3303" w:name="_Toc516838334"/>
      <w:bookmarkStart w:id="3304" w:name="_Toc516838893"/>
      <w:bookmarkStart w:id="3305" w:name="_Toc516839453"/>
      <w:bookmarkStart w:id="3306" w:name="_Toc517173549"/>
      <w:bookmarkStart w:id="3307" w:name="_Toc517175223"/>
      <w:bookmarkStart w:id="3308" w:name="_Toc517175810"/>
      <w:bookmarkStart w:id="3309" w:name="_Toc517176398"/>
      <w:bookmarkStart w:id="3310" w:name="_Toc517337723"/>
      <w:bookmarkStart w:id="3311" w:name="_Toc517360519"/>
      <w:bookmarkStart w:id="3312" w:name="_Toc512525529"/>
      <w:bookmarkStart w:id="3313" w:name="_Toc515896843"/>
      <w:bookmarkStart w:id="3314" w:name="_Toc143779224"/>
      <w:bookmarkStart w:id="3315" w:name="_Toc208420134"/>
      <w:bookmarkStart w:id="3316" w:name="_Toc225504364"/>
      <w:bookmarkStart w:id="3317" w:name="_Toc225772453"/>
      <w:bookmarkStart w:id="3318" w:name="_Toc233626320"/>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r w:rsidRPr="00A239E0">
        <w:t>040/366-01 : Droits d'emplacement sur les marchés</w:t>
      </w:r>
      <w:bookmarkStart w:id="3319" w:name="_Hlk39072274"/>
      <w:bookmarkEnd w:id="3312"/>
      <w:bookmarkEnd w:id="3313"/>
      <w:bookmarkEnd w:id="3314"/>
      <w:bookmarkEnd w:id="3315"/>
      <w:bookmarkEnd w:id="3316"/>
      <w:bookmarkEnd w:id="3317"/>
      <w:bookmarkEnd w:id="3318"/>
    </w:p>
    <w:bookmarkEnd w:id="3319"/>
    <w:p w14:paraId="26750007" w14:textId="77777777" w:rsidR="00795C3E" w:rsidRPr="00F91BDD" w:rsidRDefault="00795C3E" w:rsidP="00795C3E">
      <w:pPr>
        <w:spacing w:before="120"/>
        <w:textAlignment w:val="baseline"/>
        <w:rPr>
          <w:rFonts w:cs="Calibri Light"/>
        </w:rPr>
      </w:pPr>
      <w:r w:rsidRPr="00F91BDD">
        <w:rPr>
          <w:rFonts w:cs="Calibri Light"/>
        </w:rPr>
        <w:t>Le droit perçu par la commune pour l'occupation d'un emplacement sur un marché public constitue une redevance</w:t>
      </w:r>
      <w:r w:rsidRPr="00F91BDD">
        <w:rPr>
          <w:rStyle w:val="Appelnotedebasdep"/>
          <w:rFonts w:cs="Calibri Light"/>
        </w:rPr>
        <w:footnoteReference w:id="118"/>
      </w:r>
      <w:r w:rsidRPr="00F91BDD">
        <w:rPr>
          <w:rFonts w:cs="Calibri Light"/>
        </w:rPr>
        <w:t>.</w:t>
      </w:r>
    </w:p>
    <w:p w14:paraId="718EE256" w14:textId="5E17A00E" w:rsidR="00795C3E" w:rsidRPr="00F91BDD" w:rsidRDefault="00795C3E" w:rsidP="00795C3E">
      <w:pPr>
        <w:spacing w:before="120"/>
        <w:textAlignment w:val="baseline"/>
        <w:rPr>
          <w:rFonts w:cs="Calibri Light"/>
        </w:rPr>
      </w:pPr>
      <w:r w:rsidRPr="00F91BDD">
        <w:rPr>
          <w:rFonts w:cs="Calibri Light"/>
        </w:rPr>
        <w:t>Si l’on peut concevoir que le prix du m² occupé varie d’un quartier à l’autre de la commune, il n’est pas pensable</w:t>
      </w:r>
      <w:r w:rsidR="162B3DD5" w:rsidRPr="1C6C0DED">
        <w:rPr>
          <w:rFonts w:cs="Calibri Light"/>
        </w:rPr>
        <w:t>, selon le principe 1m² = 1m²,</w:t>
      </w:r>
      <w:r w:rsidRPr="00F91BDD">
        <w:rPr>
          <w:rFonts w:cs="Calibri Light"/>
        </w:rPr>
        <w:t xml:space="preserve"> de fixer un tarif différent en fonction de la personne qui </w:t>
      </w:r>
      <w:r w:rsidR="00BC63E9" w:rsidRPr="00F91BDD">
        <w:rPr>
          <w:rFonts w:cs="Calibri Light"/>
        </w:rPr>
        <w:t>l’occupe.</w:t>
      </w:r>
    </w:p>
    <w:p w14:paraId="118DED43" w14:textId="77777777" w:rsidR="00795C3E" w:rsidRPr="00F91BDD" w:rsidRDefault="00795C3E" w:rsidP="00795C3E">
      <w:pPr>
        <w:spacing w:before="120"/>
        <w:textAlignment w:val="baseline"/>
        <w:rPr>
          <w:rFonts w:cs="Calibri Light"/>
        </w:rPr>
      </w:pPr>
      <w:r w:rsidRPr="00F91BDD">
        <w:rPr>
          <w:rFonts w:cs="Calibri Light"/>
        </w:rPr>
        <w:t>Les communes veilleront donc à ne pas voter ce droit sous forme de taxe.</w:t>
      </w:r>
    </w:p>
    <w:p w14:paraId="0CD3EC19" w14:textId="77777777" w:rsidR="00795C3E" w:rsidRPr="00F91BDD" w:rsidRDefault="00795C3E" w:rsidP="00795C3E">
      <w:pPr>
        <w:spacing w:before="120"/>
        <w:textAlignment w:val="baseline"/>
        <w:rPr>
          <w:rFonts w:cs="Calibri Light"/>
        </w:rPr>
      </w:pPr>
      <w:r w:rsidRPr="00F91BDD">
        <w:rPr>
          <w:rFonts w:cs="Calibri Light"/>
        </w:rPr>
        <w:lastRenderedPageBreak/>
        <w:t>La notion d'emplacement faisant par nature référence à l'occupation d'une surface, le montant de la redevance demandée doit être calculé par référence au m</w:t>
      </w:r>
      <w:r w:rsidRPr="00F91BDD">
        <w:rPr>
          <w:rFonts w:cs="Calibri Light"/>
          <w:vertAlign w:val="superscript"/>
        </w:rPr>
        <w:t>2</w:t>
      </w:r>
      <w:r w:rsidRPr="00F91BDD">
        <w:rPr>
          <w:rFonts w:cs="Calibri Light"/>
        </w:rPr>
        <w:t xml:space="preserve"> (et non au mètre courant).</w:t>
      </w:r>
    </w:p>
    <w:p w14:paraId="39153CDF" w14:textId="77777777" w:rsidR="00795C3E" w:rsidRPr="00F91BDD" w:rsidRDefault="00795C3E" w:rsidP="00795C3E">
      <w:pPr>
        <w:spacing w:before="120"/>
        <w:textAlignment w:val="baseline"/>
        <w:rPr>
          <w:rFonts w:cs="Calibri Light"/>
        </w:rPr>
      </w:pPr>
      <w:r w:rsidRPr="00F91BDD">
        <w:rPr>
          <w:rFonts w:cs="Calibri Light"/>
        </w:rPr>
        <w:t>Par ailleurs, le nombre d'emplacements pouvant faire l'objet d'une attribution au jour le jour ne peut être inférieur à 5% du nombre total d'emplacements</w:t>
      </w:r>
      <w:r w:rsidRPr="00F91BDD">
        <w:rPr>
          <w:rStyle w:val="Appelnotedebasdep"/>
          <w:rFonts w:cs="Calibri Light"/>
        </w:rPr>
        <w:footnoteReference w:id="119"/>
      </w:r>
      <w:r w:rsidRPr="00F91BDD">
        <w:rPr>
          <w:rFonts w:cs="Calibri Light"/>
        </w:rPr>
        <w:t xml:space="preserve">. </w:t>
      </w:r>
    </w:p>
    <w:p w14:paraId="7ECCFCEB" w14:textId="77777777" w:rsidR="00795C3E" w:rsidRPr="00F91BDD" w:rsidRDefault="00795C3E" w:rsidP="00795C3E">
      <w:pPr>
        <w:spacing w:before="120"/>
        <w:textAlignment w:val="baseline"/>
        <w:rPr>
          <w:rFonts w:cs="Calibri Light"/>
        </w:rPr>
      </w:pPr>
      <w:r w:rsidRPr="00F91BDD">
        <w:rPr>
          <w:rFonts w:cs="Calibri Light"/>
        </w:rPr>
        <w:t xml:space="preserve">Lorsque le règlement communal prévoit les deux modes d'attribution d'un emplacement que sont celui avec abonnement et celui au jour le jour, le choix de la formule d'abonnement doit être garanti au redevable sans être rendu obligatoire. </w:t>
      </w:r>
    </w:p>
    <w:p w14:paraId="190FAF45" w14:textId="77777777" w:rsidR="00795C3E" w:rsidRDefault="00795C3E" w:rsidP="00795C3E">
      <w:pPr>
        <w:spacing w:before="120"/>
        <w:textAlignment w:val="baseline"/>
        <w:rPr>
          <w:rFonts w:cs="Calibri Light"/>
        </w:rPr>
      </w:pPr>
      <w:r w:rsidRPr="00F91BDD">
        <w:rPr>
          <w:rFonts w:cs="Calibri Light"/>
        </w:rPr>
        <w:t>Par ailleurs, une modulation du taux suivant le type d’activités n’est pas concevable vu que le service rendu par la commune (la mise à disposition du domaine public) est le même pour tous les occupants.</w:t>
      </w:r>
    </w:p>
    <w:p w14:paraId="09C3B320" w14:textId="161987DD" w:rsidR="00795C3E" w:rsidRPr="00A239E0" w:rsidRDefault="00795C3E" w:rsidP="00795C3E">
      <w:pPr>
        <w:spacing w:before="120"/>
        <w:textAlignment w:val="baseline"/>
        <w:rPr>
          <w:rFonts w:cs="Calibri Light"/>
        </w:rPr>
      </w:pPr>
      <w:r w:rsidRPr="00F91BDD">
        <w:rPr>
          <w:rFonts w:cs="Calibri Light"/>
        </w:rPr>
        <w:t xml:space="preserve">En cas de fourniture de services tels que </w:t>
      </w:r>
      <w:r w:rsidR="2A9E7ED4" w:rsidRPr="1C6C0DED">
        <w:rPr>
          <w:rFonts w:cs="Calibri Light"/>
        </w:rPr>
        <w:t xml:space="preserve">la </w:t>
      </w:r>
      <w:r w:rsidRPr="00F91BDD">
        <w:rPr>
          <w:rFonts w:cs="Calibri Light"/>
        </w:rPr>
        <w:t>mise à disposition d'eau ou d'électricité, la redevance demandée peut être majorée par rapport à la simple mise à disposition d'un emplacement.</w:t>
      </w:r>
      <w:bookmarkStart w:id="3320" w:name="_Toc512525530"/>
      <w:bookmarkStart w:id="3321" w:name="_Toc515896844"/>
      <w:bookmarkStart w:id="3322" w:name="_Toc143779225"/>
      <w:bookmarkStart w:id="3323" w:name="_Hlk39039667"/>
    </w:p>
    <w:p w14:paraId="33BB89EC" w14:textId="7ED96C7D" w:rsidR="00795C3E" w:rsidRPr="00A239E0" w:rsidRDefault="00795C3E" w:rsidP="35BD9115">
      <w:pPr>
        <w:pStyle w:val="Titre3"/>
        <w:rPr>
          <w:caps/>
        </w:rPr>
      </w:pPr>
      <w:bookmarkStart w:id="3324" w:name="_Toc208302370"/>
      <w:bookmarkStart w:id="3325" w:name="_Toc208321586"/>
      <w:bookmarkStart w:id="3326" w:name="_Toc208420135"/>
      <w:bookmarkStart w:id="3327" w:name="_Toc225504365"/>
      <w:bookmarkStart w:id="3328" w:name="_Toc225772454"/>
      <w:bookmarkStart w:id="3329" w:name="_Toc233626321"/>
      <w:r w:rsidRPr="00A239E0">
        <w:t>040/366-03 : Loges foraines, loges mobiles et loges servant au logement sur la voie publique</w:t>
      </w:r>
      <w:bookmarkEnd w:id="3320"/>
      <w:bookmarkEnd w:id="3321"/>
      <w:bookmarkEnd w:id="3322"/>
      <w:bookmarkEnd w:id="3324"/>
      <w:bookmarkEnd w:id="3325"/>
      <w:bookmarkEnd w:id="3326"/>
      <w:bookmarkEnd w:id="3327"/>
      <w:bookmarkEnd w:id="3328"/>
      <w:bookmarkEnd w:id="3329"/>
      <w:r w:rsidRPr="00A239E0">
        <w:t xml:space="preserve"> </w:t>
      </w:r>
    </w:p>
    <w:bookmarkEnd w:id="3323"/>
    <w:p w14:paraId="3CA6FE86" w14:textId="77777777" w:rsidR="00795C3E" w:rsidRPr="00F91BDD" w:rsidRDefault="00795C3E" w:rsidP="00795C3E">
      <w:pPr>
        <w:spacing w:before="120"/>
        <w:textAlignment w:val="baseline"/>
      </w:pPr>
      <w:r w:rsidRPr="00F91BDD">
        <w:rPr>
          <w:rFonts w:cs="Calibri Light"/>
        </w:rPr>
        <w:t>Redevance</w:t>
      </w:r>
      <w:r>
        <w:rPr>
          <w:rFonts w:cs="Calibri Light"/>
        </w:rPr>
        <w:t>.</w:t>
      </w:r>
    </w:p>
    <w:p w14:paraId="6D7F21B6" w14:textId="77777777" w:rsidR="00795C3E" w:rsidRPr="00F91BDD" w:rsidRDefault="00795C3E" w:rsidP="00795C3E">
      <w:pPr>
        <w:spacing w:before="120"/>
        <w:textAlignment w:val="baseline"/>
        <w:rPr>
          <w:rFonts w:cs="Calibri Light"/>
        </w:rPr>
      </w:pPr>
      <w:r w:rsidRPr="00F91BDD">
        <w:rPr>
          <w:rFonts w:cs="Calibri Light"/>
        </w:rPr>
        <w:t>L’attribution des emplacements doit se faire conformément à l'arrêté royal du 24 septembre 2006 relatif à l'exercice et l'organisation des activités foraines et des activités ambulantes de gastronomie foraine.</w:t>
      </w:r>
    </w:p>
    <w:p w14:paraId="413D2473" w14:textId="77777777" w:rsidR="00795C3E" w:rsidRPr="00F91BDD" w:rsidRDefault="00795C3E" w:rsidP="00795C3E">
      <w:pPr>
        <w:spacing w:before="120"/>
        <w:textAlignment w:val="baseline"/>
        <w:rPr>
          <w:rFonts w:cs="Calibri Light"/>
        </w:rPr>
      </w:pPr>
      <w:r w:rsidRPr="00F91BDD">
        <w:rPr>
          <w:rFonts w:cs="Calibri Light"/>
        </w:rPr>
        <w:t>La notion d'emplacement faisant par nature référence à l'occupation d'une surface, il est recommandé de calculer le montant de la redevance par référence au m</w:t>
      </w:r>
      <w:r w:rsidRPr="00F91BDD">
        <w:rPr>
          <w:rFonts w:cs="Calibri Light"/>
          <w:vertAlign w:val="superscript"/>
        </w:rPr>
        <w:t>2</w:t>
      </w:r>
      <w:r w:rsidRPr="00F91BDD">
        <w:rPr>
          <w:rFonts w:cs="Calibri Light"/>
        </w:rPr>
        <w:t xml:space="preserve"> (et non au mètre courant) et idéalement par jour d’occupation. </w:t>
      </w:r>
    </w:p>
    <w:p w14:paraId="61AC27D1" w14:textId="77777777" w:rsidR="00795C3E" w:rsidRPr="00F91BDD" w:rsidRDefault="00795C3E" w:rsidP="00795C3E">
      <w:pPr>
        <w:spacing w:before="120"/>
        <w:textAlignment w:val="baseline"/>
        <w:rPr>
          <w:rFonts w:cs="Calibri Light"/>
        </w:rPr>
      </w:pPr>
      <w:r w:rsidRPr="00F91BDD">
        <w:rPr>
          <w:rFonts w:cs="Calibri Light"/>
        </w:rPr>
        <w:t>Si d’autres critères sont utilisés (ex : semaine, mois, trimestre, semestre, période déterminée, la durée d’une foire, …) il y a lieu de veiller à ce que les redevables soient traités de la même manière et d’éviter d’éventuelles discriminations.</w:t>
      </w:r>
    </w:p>
    <w:p w14:paraId="2480672D" w14:textId="77777777" w:rsidR="00795C3E" w:rsidRPr="00F91BDD" w:rsidRDefault="00795C3E" w:rsidP="00795C3E">
      <w:pPr>
        <w:spacing w:before="120"/>
        <w:textAlignment w:val="baseline"/>
        <w:rPr>
          <w:rFonts w:cs="Calibri Light"/>
        </w:rPr>
      </w:pPr>
      <w:r w:rsidRPr="00F91BDD">
        <w:rPr>
          <w:rFonts w:cs="Calibri Light"/>
        </w:rPr>
        <w:t>Dans le même ordre d’idée, il peut être prévu des montants minimum et/ou maximum.</w:t>
      </w:r>
    </w:p>
    <w:p w14:paraId="6D02F28D" w14:textId="77777777" w:rsidR="00795C3E" w:rsidRPr="00F91BDD" w:rsidRDefault="00795C3E" w:rsidP="00795C3E">
      <w:pPr>
        <w:spacing w:before="120"/>
        <w:textAlignment w:val="baseline"/>
        <w:rPr>
          <w:rFonts w:cs="Calibri Light"/>
        </w:rPr>
      </w:pPr>
      <w:r w:rsidRPr="00F91BDD">
        <w:rPr>
          <w:rFonts w:cs="Calibri Light"/>
        </w:rPr>
        <w:t>Toutefois, eu égard aux charges liées et inhérentes à la mise à disposition du domaine public plus importantes lors de l’installation, il peut paraître cohérent d’appliquer une dégressivité de la redevance en fonction de la durée, voire de l’espace mis à disposition.</w:t>
      </w:r>
    </w:p>
    <w:p w14:paraId="251FF6D2" w14:textId="77777777" w:rsidR="00795C3E" w:rsidRPr="00F91BDD" w:rsidRDefault="00795C3E" w:rsidP="00795C3E">
      <w:pPr>
        <w:spacing w:before="120"/>
        <w:textAlignment w:val="baseline"/>
        <w:rPr>
          <w:rFonts w:cs="Calibri Light"/>
        </w:rPr>
      </w:pPr>
      <w:bookmarkStart w:id="3330" w:name="_Hlk39072146"/>
      <w:r w:rsidRPr="00F91BDD">
        <w:rPr>
          <w:rFonts w:cs="Calibri Light"/>
        </w:rPr>
        <w:t>Par ailleurs, sauf motivation adéquate et pertinente dans le préambule, et sous réserve des critères d’adaptation repris ci-dessus, une modulation du taux suivant le type d’activités n’est en principe pas envisageable.</w:t>
      </w:r>
    </w:p>
    <w:bookmarkEnd w:id="3330"/>
    <w:p w14:paraId="564CA9D5" w14:textId="77777777" w:rsidR="00795C3E" w:rsidRPr="00F91BDD" w:rsidRDefault="00795C3E" w:rsidP="00795C3E">
      <w:pPr>
        <w:spacing w:before="120"/>
        <w:textAlignment w:val="baseline"/>
        <w:rPr>
          <w:rFonts w:cs="Calibri Light"/>
          <w:spacing w:val="-2"/>
        </w:rPr>
      </w:pPr>
      <w:r w:rsidRPr="00F91BDD">
        <w:rPr>
          <w:rFonts w:cs="Calibri Light"/>
          <w:spacing w:val="-2"/>
        </w:rPr>
        <w:lastRenderedPageBreak/>
        <w:t>En cas de fourniture de services tels que mise à disposition d'eau ou d'électricité, la redevance demandée peut être majorée par rapport à la simple mise à disposition d'un emplacement.</w:t>
      </w:r>
    </w:p>
    <w:p w14:paraId="561C3E86" w14:textId="77777777" w:rsidR="00795C3E" w:rsidRPr="009E3799" w:rsidRDefault="00795C3E" w:rsidP="009E3799">
      <w:pPr>
        <w:pStyle w:val="Sam3"/>
      </w:pPr>
      <w:bookmarkStart w:id="3331" w:name="_Toc74557804"/>
      <w:bookmarkStart w:id="3332" w:name="_Toc127881926"/>
      <w:bookmarkStart w:id="3333" w:name="_Toc143779226"/>
      <w:r w:rsidRPr="009E3799">
        <w:t>Cette redevance ne s’oppose pas à l’application d’une taxe sur l’exploitation (cf. 04003/364-48 : Loges foraines et loges mobiles).</w:t>
      </w:r>
      <w:bookmarkEnd w:id="3331"/>
      <w:bookmarkEnd w:id="3332"/>
      <w:bookmarkEnd w:id="3333"/>
    </w:p>
    <w:p w14:paraId="149774F9" w14:textId="1DDA37A6" w:rsidR="00795C3E" w:rsidRPr="00A239E0" w:rsidRDefault="00795C3E" w:rsidP="35BD9115">
      <w:pPr>
        <w:pStyle w:val="Titre3"/>
        <w:rPr>
          <w:caps/>
        </w:rPr>
      </w:pPr>
      <w:bookmarkStart w:id="3334" w:name="_Toc512525531"/>
      <w:bookmarkStart w:id="3335" w:name="_Toc515896845"/>
      <w:bookmarkStart w:id="3336" w:name="_Toc143779227"/>
      <w:bookmarkStart w:id="3337" w:name="_Toc208302371"/>
      <w:bookmarkStart w:id="3338" w:name="_Toc208321587"/>
      <w:bookmarkStart w:id="3339" w:name="_Toc208420136"/>
      <w:bookmarkStart w:id="3340" w:name="_Toc225504366"/>
      <w:bookmarkStart w:id="3341" w:name="_Toc225772455"/>
      <w:bookmarkStart w:id="3342" w:name="_Toc233626322"/>
      <w:r w:rsidRPr="00A239E0">
        <w:t>040/366-05 : Droit de quai</w:t>
      </w:r>
      <w:bookmarkEnd w:id="3334"/>
      <w:bookmarkEnd w:id="3335"/>
      <w:bookmarkEnd w:id="3336"/>
      <w:bookmarkEnd w:id="3337"/>
      <w:bookmarkEnd w:id="3338"/>
      <w:bookmarkEnd w:id="3339"/>
      <w:bookmarkEnd w:id="3340"/>
      <w:bookmarkEnd w:id="3341"/>
      <w:bookmarkEnd w:id="3342"/>
      <w:r w:rsidRPr="00A239E0">
        <w:t xml:space="preserve"> </w:t>
      </w:r>
    </w:p>
    <w:p w14:paraId="116F2337" w14:textId="77777777" w:rsidR="00795C3E" w:rsidRPr="00F91BDD" w:rsidRDefault="00795C3E" w:rsidP="00795C3E">
      <w:pPr>
        <w:spacing w:before="120"/>
        <w:textAlignment w:val="baseline"/>
      </w:pPr>
      <w:r w:rsidRPr="00F91BDD">
        <w:rPr>
          <w:rFonts w:cs="Calibri Light"/>
        </w:rPr>
        <w:t>Redevance</w:t>
      </w:r>
      <w:r>
        <w:rPr>
          <w:rFonts w:cs="Calibri Light"/>
        </w:rPr>
        <w:t>.</w:t>
      </w:r>
    </w:p>
    <w:p w14:paraId="6FA6B5A4" w14:textId="77777777" w:rsidR="00795C3E" w:rsidRPr="00F91BDD" w:rsidRDefault="00795C3E" w:rsidP="00795C3E">
      <w:pPr>
        <w:spacing w:before="120"/>
        <w:textAlignment w:val="baseline"/>
        <w:rPr>
          <w:rFonts w:cs="Calibri Light"/>
        </w:rPr>
      </w:pPr>
      <w:r w:rsidRPr="00F91BDD">
        <w:rPr>
          <w:rFonts w:cs="Calibri Light"/>
        </w:rPr>
        <w:t>Le droit de quai se calcule par mètre courant et par jour d’occupation.</w:t>
      </w:r>
    </w:p>
    <w:p w14:paraId="69934B6A" w14:textId="0E558137" w:rsidR="00795C3E" w:rsidRPr="00A239E0" w:rsidRDefault="00795C3E" w:rsidP="35BD9115">
      <w:pPr>
        <w:pStyle w:val="Titre3"/>
        <w:rPr>
          <w:caps/>
        </w:rPr>
      </w:pPr>
      <w:bookmarkStart w:id="3343" w:name="_Toc512525532"/>
      <w:bookmarkStart w:id="3344" w:name="_Toc515896846"/>
      <w:bookmarkStart w:id="3345" w:name="_Toc143779228"/>
      <w:bookmarkStart w:id="3346" w:name="_Toc208302372"/>
      <w:bookmarkStart w:id="3347" w:name="_Toc208321588"/>
      <w:bookmarkStart w:id="3348" w:name="_Toc208420137"/>
      <w:bookmarkStart w:id="3349" w:name="_Toc225504367"/>
      <w:bookmarkStart w:id="3350" w:name="_Toc225772456"/>
      <w:bookmarkStart w:id="3351" w:name="_Toc233626323"/>
      <w:r w:rsidRPr="00A239E0">
        <w:t>040/366-06 : Placement de terrasses, de tables et de chaises</w:t>
      </w:r>
      <w:bookmarkEnd w:id="3343"/>
      <w:bookmarkEnd w:id="3344"/>
      <w:bookmarkEnd w:id="3345"/>
      <w:bookmarkEnd w:id="3346"/>
      <w:bookmarkEnd w:id="3347"/>
      <w:bookmarkEnd w:id="3348"/>
      <w:bookmarkEnd w:id="3349"/>
      <w:bookmarkEnd w:id="3350"/>
      <w:bookmarkEnd w:id="3351"/>
      <w:r w:rsidRPr="00A239E0">
        <w:t xml:space="preserve"> </w:t>
      </w:r>
    </w:p>
    <w:p w14:paraId="52C0FEA5" w14:textId="77777777" w:rsidR="00795C3E" w:rsidRPr="00F91BDD" w:rsidRDefault="00795C3E" w:rsidP="00795C3E">
      <w:pPr>
        <w:spacing w:before="120"/>
        <w:textAlignment w:val="baseline"/>
      </w:pPr>
      <w:bookmarkStart w:id="3352" w:name="_Hlk39039365"/>
      <w:r w:rsidRPr="00F91BDD">
        <w:rPr>
          <w:rFonts w:cs="Calibri Light"/>
        </w:rPr>
        <w:t>Redevance</w:t>
      </w:r>
      <w:r>
        <w:rPr>
          <w:rFonts w:cs="Calibri Light"/>
        </w:rPr>
        <w:t>.</w:t>
      </w:r>
    </w:p>
    <w:p w14:paraId="50F5D150" w14:textId="77777777" w:rsidR="00795C3E" w:rsidRPr="00F91BDD" w:rsidRDefault="00795C3E" w:rsidP="00795C3E">
      <w:pPr>
        <w:spacing w:before="120"/>
        <w:textAlignment w:val="baseline"/>
        <w:rPr>
          <w:rFonts w:cs="Calibri Light"/>
        </w:rPr>
      </w:pPr>
      <w:r w:rsidRPr="00F91BDD">
        <w:rPr>
          <w:rFonts w:cs="Calibri Light"/>
        </w:rPr>
        <w:t>La notion d'emplacement faisant par nature référence à l'occupation d'une surface, le montant de la redevance demandée doit être calculé par référence au m</w:t>
      </w:r>
      <w:r w:rsidRPr="00F91BDD">
        <w:rPr>
          <w:rFonts w:cs="Calibri Light"/>
          <w:vertAlign w:val="superscript"/>
        </w:rPr>
        <w:t>2</w:t>
      </w:r>
      <w:r w:rsidRPr="00F91BDD">
        <w:rPr>
          <w:rFonts w:cs="Calibri Light"/>
        </w:rPr>
        <w:t xml:space="preserve"> (et non au mètre courant) et idéalement par jour d’occupation.</w:t>
      </w:r>
      <w:bookmarkStart w:id="3353" w:name="_Toc512525533"/>
      <w:r w:rsidRPr="00F91BDD">
        <w:rPr>
          <w:rFonts w:cs="Calibri Light"/>
        </w:rPr>
        <w:t xml:space="preserve"> </w:t>
      </w:r>
    </w:p>
    <w:p w14:paraId="016BCDF2" w14:textId="77777777" w:rsidR="00795C3E" w:rsidRPr="00F91BDD" w:rsidRDefault="00795C3E" w:rsidP="00795C3E">
      <w:pPr>
        <w:spacing w:before="120"/>
        <w:textAlignment w:val="baseline"/>
        <w:rPr>
          <w:rFonts w:cs="Calibri Light"/>
        </w:rPr>
      </w:pPr>
      <w:r w:rsidRPr="00F91BDD">
        <w:rPr>
          <w:rFonts w:cs="Calibri Light"/>
        </w:rPr>
        <w:t>Si l’on choisit un autre critère (semaine, mois, trimestre, semestre, période déterminée, la durée d’une foire, …) il faut veiller à ce que tout le monde soit traité de la même manière et qu’il n’y ait pas de discrimination entre les catégories de redevable.</w:t>
      </w:r>
    </w:p>
    <w:p w14:paraId="1FC87543" w14:textId="340893C2" w:rsidR="00795C3E" w:rsidRPr="00A239E0" w:rsidRDefault="00795C3E" w:rsidP="35BD9115">
      <w:pPr>
        <w:pStyle w:val="Titre3"/>
        <w:rPr>
          <w:caps/>
        </w:rPr>
      </w:pPr>
      <w:bookmarkStart w:id="3354" w:name="_Toc208420138"/>
      <w:bookmarkStart w:id="3355" w:name="_Toc225504368"/>
      <w:bookmarkStart w:id="3356" w:name="_Toc225772457"/>
      <w:bookmarkStart w:id="3357" w:name="_Toc233626324"/>
      <w:bookmarkEnd w:id="3352"/>
      <w:r w:rsidRPr="00A239E0">
        <w:t>040/366-07 : Parking</w:t>
      </w:r>
      <w:bookmarkStart w:id="3358" w:name="_Toc515896847"/>
      <w:bookmarkEnd w:id="3353"/>
      <w:bookmarkEnd w:id="3354"/>
      <w:bookmarkEnd w:id="3355"/>
      <w:bookmarkEnd w:id="3356"/>
      <w:bookmarkEnd w:id="3357"/>
      <w:r w:rsidRPr="00A239E0">
        <w:t xml:space="preserve"> </w:t>
      </w:r>
    </w:p>
    <w:p w14:paraId="68475598" w14:textId="77777777" w:rsidR="00795C3E" w:rsidRPr="00F91BDD" w:rsidRDefault="00795C3E" w:rsidP="00795C3E">
      <w:pPr>
        <w:spacing w:before="120"/>
      </w:pPr>
      <w:r w:rsidRPr="00F91BDD">
        <w:t>Taxe indirecte ou redevance</w:t>
      </w:r>
      <w:bookmarkEnd w:id="3358"/>
      <w:r>
        <w:t xml:space="preserve">. </w:t>
      </w:r>
    </w:p>
    <w:p w14:paraId="13AB8DC9" w14:textId="77777777" w:rsidR="00795C3E" w:rsidRPr="00F91BDD" w:rsidRDefault="00795C3E" w:rsidP="00795C3E">
      <w:pPr>
        <w:spacing w:before="120"/>
        <w:textAlignment w:val="baseline"/>
        <w:rPr>
          <w:rFonts w:cs="Calibri Light"/>
        </w:rPr>
      </w:pPr>
      <w:r w:rsidRPr="00F91BDD">
        <w:rPr>
          <w:rFonts w:cs="Calibri Light"/>
        </w:rPr>
        <w:t>La problématique du stationnement sur les voiries publiques, qu'elles soient communales ou régionales</w:t>
      </w:r>
      <w:r w:rsidRPr="00F91BDD">
        <w:rPr>
          <w:rStyle w:val="Appelnotedebasdep"/>
          <w:rFonts w:cs="Calibri Light"/>
        </w:rPr>
        <w:footnoteReference w:id="120"/>
      </w:r>
      <w:r w:rsidRPr="00F91BDD">
        <w:rPr>
          <w:rFonts w:cs="Calibri Light"/>
        </w:rPr>
        <w:t>, est actuellement gérée par les communes, dans le cadre des compétences que leur reconnaissent, notamment le décret du 19 décembre 2007 relatif à la tutelle d’approbation de la Région wallonne sur les règlements complémentaires relatifs aux voies publiques et à la circulation des transports en commun et à la loi relative à la police de la circulation routière, coordonnée le 16 mars 1968. Via cette habilitation légale expresse, les communes peuvent percevoir des redevances de stationnement y compris sur le domaine régional et ce, sans nécessité d’avoir un accord domanial de la Région wallonne.</w:t>
      </w:r>
    </w:p>
    <w:p w14:paraId="376B26D8" w14:textId="77777777" w:rsidR="00795C3E" w:rsidRPr="00F91BDD" w:rsidRDefault="00795C3E" w:rsidP="00795C3E">
      <w:pPr>
        <w:spacing w:before="120"/>
        <w:textAlignment w:val="baseline"/>
        <w:rPr>
          <w:rFonts w:cs="Calibri Light"/>
        </w:rPr>
      </w:pPr>
      <w:r w:rsidRPr="00F91BDD">
        <w:rPr>
          <w:rFonts w:cs="Calibri Light"/>
        </w:rPr>
        <w:t>Aucune disposition légale ne s'oppose à ce qu'une commune utilise un double tarif laissant le choix à l'utilisateur entre le stationnement limité et le stationnement de longue durée (généralement une demi-journée) pour lequel sont réputés opter les utilisateurs qui n'alimentent pas l'horodateur.</w:t>
      </w:r>
    </w:p>
    <w:p w14:paraId="24BE099B" w14:textId="2F12DE13" w:rsidR="00795C3E" w:rsidRPr="00F91BDD" w:rsidRDefault="00795C3E" w:rsidP="00795C3E">
      <w:pPr>
        <w:spacing w:before="120"/>
        <w:textAlignment w:val="baseline"/>
        <w:rPr>
          <w:rFonts w:cs="Calibri Light"/>
        </w:rPr>
      </w:pPr>
      <w:r w:rsidRPr="00F91BDD">
        <w:rPr>
          <w:rFonts w:cs="Calibri Light"/>
        </w:rPr>
        <w:t xml:space="preserve">Il semblerait qu'en cas de non-respect des règles de stationnement (horodateur - à durée limitée - réservé aux riverains), un taux de 20,00 </w:t>
      </w:r>
      <w:r w:rsidR="00F93CA7" w:rsidRPr="00F91BDD">
        <w:rPr>
          <w:rFonts w:cs="Calibri Light"/>
        </w:rPr>
        <w:t>euros par</w:t>
      </w:r>
      <w:r w:rsidRPr="00F91BDD">
        <w:rPr>
          <w:rFonts w:cs="Calibri Light"/>
        </w:rPr>
        <w:t xml:space="preserve"> demi-journée soit considéré par la jurisprudence comme admissible.</w:t>
      </w:r>
    </w:p>
    <w:p w14:paraId="298350AF" w14:textId="77777777" w:rsidR="00795C3E" w:rsidRPr="00F91BDD" w:rsidRDefault="00795C3E" w:rsidP="00795C3E">
      <w:pPr>
        <w:spacing w:before="120"/>
        <w:textAlignment w:val="baseline"/>
        <w:rPr>
          <w:rFonts w:cs="Calibri Light"/>
        </w:rPr>
      </w:pPr>
      <w:r w:rsidRPr="00F91BDD">
        <w:rPr>
          <w:rFonts w:cs="Calibri Light"/>
        </w:rPr>
        <w:lastRenderedPageBreak/>
        <w:t>Les horodateurs étant parfois difficilement accessibles aux personnes à mobilité réduite, j'invite particulièrement les communes à être attentives à cette problématique. Ainsi, bien qu'il leur appartienne d'apprécier en toute autonomie les hypothèses d'exonération qu'elles souhaitent accorder, je recommande de prévoir une exonération de paiement aux titulaires d'une carte de stationnement pour personnes à mobilité réduite.</w:t>
      </w:r>
    </w:p>
    <w:p w14:paraId="2DBB0717" w14:textId="77777777" w:rsidR="00795C3E" w:rsidRPr="00F91BDD" w:rsidRDefault="00795C3E" w:rsidP="00795C3E">
      <w:pPr>
        <w:spacing w:before="120"/>
        <w:textAlignment w:val="baseline"/>
        <w:rPr>
          <w:rFonts w:cs="Calibri Light"/>
        </w:rPr>
      </w:pPr>
      <w:r w:rsidRPr="00F91BDD">
        <w:rPr>
          <w:rFonts w:cs="Calibri Light"/>
        </w:rPr>
        <w:t>Cette matière a subi ces dernières années différentes modifications normatives. Vous en trouverez un aperçu ci-dessous.</w:t>
      </w:r>
    </w:p>
    <w:p w14:paraId="7B0BDC10" w14:textId="77777777" w:rsidR="00795C3E" w:rsidRPr="00F91BDD" w:rsidRDefault="00795C3E" w:rsidP="00795C3E">
      <w:pPr>
        <w:spacing w:before="120"/>
        <w:textAlignment w:val="baseline"/>
        <w:rPr>
          <w:rFonts w:cs="Calibri Light"/>
        </w:rPr>
      </w:pPr>
      <w:r w:rsidRPr="00F91BDD">
        <w:rPr>
          <w:rFonts w:cs="Calibri Light"/>
        </w:rPr>
        <w:t>Les dates clés sont les suivantes :</w:t>
      </w:r>
    </w:p>
    <w:p w14:paraId="44ACD3DE" w14:textId="77777777" w:rsidR="00374D3E" w:rsidRDefault="00795C3E">
      <w:pPr>
        <w:numPr>
          <w:ilvl w:val="0"/>
          <w:numId w:val="35"/>
        </w:numPr>
        <w:tabs>
          <w:tab w:val="left" w:pos="504"/>
        </w:tabs>
        <w:spacing w:before="120" w:after="120" w:line="240" w:lineRule="auto"/>
        <w:ind w:left="504"/>
        <w:textAlignment w:val="baseline"/>
        <w:rPr>
          <w:rFonts w:cs="Calibri Light"/>
        </w:rPr>
      </w:pPr>
      <w:r w:rsidRPr="00F93CA7">
        <w:rPr>
          <w:rFonts w:cs="Calibri Light"/>
        </w:rPr>
        <w:t>Le 1</w:t>
      </w:r>
      <w:r w:rsidRPr="00FD76E6">
        <w:rPr>
          <w:rFonts w:cs="Calibri Light"/>
        </w:rPr>
        <w:t>er</w:t>
      </w:r>
      <w:r w:rsidRPr="00F93CA7">
        <w:rPr>
          <w:rFonts w:cs="Calibri Light"/>
        </w:rPr>
        <w:t xml:space="preserve"> mars 2004, sont dépénalisées les infractions relatives au stationnement payant, stationnement sur les emplacements réservés aux riverains et stationnement à durée limitée. Par contre, ne sont pas dépénalisées les infractions relatives au stationnement alterné semi-mensuel et à la limitation du stationnement de longue durée.</w:t>
      </w:r>
    </w:p>
    <w:p w14:paraId="13077AFC" w14:textId="25BC5244" w:rsidR="00374D3E" w:rsidRPr="00374D3E" w:rsidRDefault="00795C3E">
      <w:pPr>
        <w:numPr>
          <w:ilvl w:val="0"/>
          <w:numId w:val="35"/>
        </w:numPr>
        <w:tabs>
          <w:tab w:val="left" w:pos="504"/>
        </w:tabs>
        <w:spacing w:before="120" w:after="120" w:line="240" w:lineRule="auto"/>
        <w:ind w:left="504"/>
        <w:textAlignment w:val="baseline"/>
        <w:rPr>
          <w:rFonts w:cs="Calibri Light"/>
        </w:rPr>
      </w:pPr>
      <w:r w:rsidRPr="00374D3E">
        <w:rPr>
          <w:rFonts w:cs="Calibri Light"/>
        </w:rPr>
        <w:t>Le 31 mars 2006, la loi donne la possibilité aux communes de prélever, outre des redevances, des taxes de stationnement pour les véhicules à moteur, leurs remorques ou éléments.</w:t>
      </w:r>
    </w:p>
    <w:p w14:paraId="28CA90F9" w14:textId="77777777" w:rsidR="00374D3E" w:rsidRDefault="00795C3E">
      <w:pPr>
        <w:numPr>
          <w:ilvl w:val="0"/>
          <w:numId w:val="35"/>
        </w:numPr>
        <w:tabs>
          <w:tab w:val="left" w:pos="504"/>
        </w:tabs>
        <w:spacing w:before="120" w:after="120" w:line="240" w:lineRule="auto"/>
        <w:ind w:left="504"/>
        <w:textAlignment w:val="baseline"/>
        <w:rPr>
          <w:rFonts w:cs="Calibri Light"/>
        </w:rPr>
      </w:pPr>
      <w:r w:rsidRPr="00374D3E">
        <w:rPr>
          <w:rFonts w:cs="Calibri Light"/>
        </w:rPr>
        <w:t xml:space="preserve">Le 1er février 2007, il est également </w:t>
      </w:r>
      <w:r w:rsidR="598B743B" w:rsidRPr="00374D3E">
        <w:rPr>
          <w:rFonts w:cs="Calibri Light"/>
        </w:rPr>
        <w:t>rendu</w:t>
      </w:r>
      <w:r w:rsidRPr="00374D3E">
        <w:rPr>
          <w:rFonts w:cs="Calibri Light"/>
        </w:rPr>
        <w:t xml:space="preserve"> possible aux communes de délivrer des cartes de stationnement à d'autres catégories d'usagers (que les riverains). Les communes peuvent décider que les personnes détentrices de cette carte sont dispensées soit du paiement du stationnement soit de l'utilisation du disque en zone bleue soit des deux. Ainsi, les communes qui souhaitent accorder à d'autres usagers les facilités de paiement qu'elles accordaient jusqu'alors aux riverains doivent le prévoir dans leurs règlements-taxes ou redevances en matière de stationnement. L’arrêté ministériel du 9 janvier 2007</w:t>
      </w:r>
      <w:r w:rsidRPr="00FD76E6">
        <w:rPr>
          <w:rFonts w:cs="Calibri Light"/>
        </w:rPr>
        <w:footnoteReference w:id="121"/>
      </w:r>
      <w:r w:rsidRPr="00374D3E">
        <w:rPr>
          <w:rFonts w:cs="Calibri Light"/>
        </w:rPr>
        <w:t xml:space="preserve"> détermine les conditions de délivrance de la carte de stationnement.</w:t>
      </w:r>
    </w:p>
    <w:p w14:paraId="24F13565" w14:textId="01C2C9F6" w:rsidR="00795C3E" w:rsidRPr="00374D3E" w:rsidRDefault="00795C3E">
      <w:pPr>
        <w:numPr>
          <w:ilvl w:val="0"/>
          <w:numId w:val="35"/>
        </w:numPr>
        <w:tabs>
          <w:tab w:val="left" w:pos="504"/>
        </w:tabs>
        <w:spacing w:before="120" w:after="120" w:line="240" w:lineRule="auto"/>
        <w:ind w:left="504"/>
        <w:textAlignment w:val="baseline"/>
        <w:rPr>
          <w:rFonts w:cs="Calibri Light"/>
        </w:rPr>
      </w:pPr>
      <w:r w:rsidRPr="00374D3E">
        <w:rPr>
          <w:rFonts w:cs="Calibri Light"/>
        </w:rPr>
        <w:t>La Cour de cassation, dans deux arrêts du 29 mai 2009 a jugé que :</w:t>
      </w:r>
    </w:p>
    <w:p w14:paraId="549A336A" w14:textId="77777777" w:rsidR="00795C3E" w:rsidRPr="00F91BDD" w:rsidRDefault="00795C3E" w:rsidP="00795C3E">
      <w:pPr>
        <w:tabs>
          <w:tab w:val="left" w:pos="504"/>
          <w:tab w:val="left" w:pos="720"/>
        </w:tabs>
        <w:spacing w:before="120"/>
        <w:ind w:left="504"/>
        <w:textAlignment w:val="baseline"/>
        <w:rPr>
          <w:rFonts w:cs="Calibri Light"/>
        </w:rPr>
      </w:pPr>
      <w:r w:rsidRPr="00F91BDD">
        <w:rPr>
          <w:rFonts w:cs="Calibri Light"/>
        </w:rPr>
        <w:t>«</w:t>
      </w:r>
      <w:r w:rsidRPr="007E7952">
        <w:rPr>
          <w:rFonts w:cs="Calibri Light"/>
          <w:i/>
        </w:rPr>
        <w:t xml:space="preserve"> En accordant à un particulier une concession pour l'organisation matérielle du stationnement payant et en lui confiant le contrôle du respect du règlement de stationnement, la commune ne délègue pas sa compétence à un tiers mais gère un service public de la manière qui lui paraît la plus appropriée</w:t>
      </w:r>
      <w:r w:rsidRPr="00F91BDD">
        <w:rPr>
          <w:rFonts w:cs="Calibri Light"/>
        </w:rPr>
        <w:t xml:space="preserve"> ».</w:t>
      </w:r>
    </w:p>
    <w:p w14:paraId="3AB34D8A" w14:textId="77777777" w:rsidR="00795C3E" w:rsidRPr="00F91BDD" w:rsidRDefault="00795C3E" w:rsidP="00795C3E">
      <w:pPr>
        <w:tabs>
          <w:tab w:val="left" w:pos="504"/>
          <w:tab w:val="left" w:pos="720"/>
        </w:tabs>
        <w:spacing w:before="120"/>
        <w:ind w:left="504"/>
        <w:textAlignment w:val="baseline"/>
        <w:rPr>
          <w:rFonts w:cs="Calibri Light"/>
        </w:rPr>
      </w:pPr>
      <w:r w:rsidRPr="00F91BDD">
        <w:rPr>
          <w:rFonts w:cs="Calibri Light"/>
        </w:rPr>
        <w:t xml:space="preserve">« </w:t>
      </w:r>
      <w:r w:rsidRPr="007E7952">
        <w:rPr>
          <w:rFonts w:cs="Calibri Light"/>
          <w:i/>
        </w:rPr>
        <w:t>Le fait qu'en vertu de la loi du 22 février 1965 précitée, les Conseils communaux sont autorisés à exécuter les prélèvements de stationnement et que des concessions sont requises pour l'exécution concrète de ces prélèvements lorsque la commune ne dispose pas des ressources administratives nécessaires à cet effet, a pour conséquence que le concessionnaire doit pouvoir être susceptible de percevoir des redevances de stationnement et d'en encaisser les revenus pour le compte de la commune</w:t>
      </w:r>
      <w:r w:rsidRPr="00F91BDD">
        <w:rPr>
          <w:rFonts w:cs="Calibri Light"/>
        </w:rPr>
        <w:t xml:space="preserve"> ».</w:t>
      </w:r>
    </w:p>
    <w:p w14:paraId="0BB26D6B" w14:textId="77777777" w:rsidR="00795C3E" w:rsidRPr="00F91BDD" w:rsidRDefault="00795C3E" w:rsidP="00795C3E">
      <w:pPr>
        <w:tabs>
          <w:tab w:val="left" w:pos="504"/>
          <w:tab w:val="left" w:pos="720"/>
        </w:tabs>
        <w:spacing w:before="120"/>
        <w:ind w:left="504"/>
        <w:textAlignment w:val="baseline"/>
        <w:rPr>
          <w:rFonts w:cs="Calibri Light"/>
        </w:rPr>
      </w:pPr>
      <w:r w:rsidRPr="00F91BDD">
        <w:rPr>
          <w:rFonts w:cs="Calibri Light"/>
        </w:rPr>
        <w:t>«</w:t>
      </w:r>
      <w:r w:rsidRPr="007E7952">
        <w:rPr>
          <w:rFonts w:cs="Calibri Light"/>
          <w:i/>
        </w:rPr>
        <w:t xml:space="preserve"> L'article 10 de la loi du 11 avril 1994 relative à la publicité de l'administration, telle qu'il était d'application avant son abrogation par la loi du 7 mars 2007 n'empêche pas qu'une commune mette des documents administratifs à la disposition d'une société dans la mesure </w:t>
      </w:r>
      <w:r w:rsidRPr="007E7952">
        <w:rPr>
          <w:rFonts w:cs="Calibri Light"/>
          <w:i/>
        </w:rPr>
        <w:lastRenderedPageBreak/>
        <w:t>où cela est nécessaire afin de permettre à cette société de prester le service public auquel elle s'est engagée dans le cadre d'une concession de service public</w:t>
      </w:r>
      <w:r w:rsidRPr="00F91BDD">
        <w:rPr>
          <w:rFonts w:cs="Calibri Light"/>
        </w:rPr>
        <w:t xml:space="preserve"> ».</w:t>
      </w:r>
    </w:p>
    <w:p w14:paraId="571C63E2" w14:textId="171DEA57" w:rsidR="00795C3E" w:rsidRPr="007E7952" w:rsidRDefault="00795C3E" w:rsidP="00795C3E">
      <w:pPr>
        <w:spacing w:before="120"/>
        <w:ind w:left="504" w:hanging="504"/>
        <w:textAlignment w:val="baseline"/>
        <w:rPr>
          <w:rFonts w:cs="Calibri Light"/>
          <w:i/>
        </w:rPr>
      </w:pPr>
      <w:r w:rsidRPr="00F91BDD">
        <w:rPr>
          <w:rFonts w:cs="Calibri Light"/>
        </w:rPr>
        <w:t>e)</w:t>
      </w:r>
      <w:r>
        <w:tab/>
      </w:r>
      <w:r w:rsidRPr="00F91BDD">
        <w:rPr>
          <w:rFonts w:cs="Calibri Light"/>
        </w:rPr>
        <w:t xml:space="preserve">Le décret du 27 octobre 2011 a modifié, via ses articles 103 et 104 le décret du 19 décembre 2007.  Les articles 103 et 104 du décret du 27 octobre 2011 sont libellés comme suit : « </w:t>
      </w:r>
      <w:r w:rsidRPr="007E7952">
        <w:rPr>
          <w:rFonts w:cs="Calibri Light"/>
          <w:i/>
        </w:rPr>
        <w:t>Art. 103. Dans le décret du 19 décembre 2007 relatif à la tutelle d'approbation de la Région wallonne sur les règlements complémentaires relatifs aux voies publiques et à la circulation des transports en commun, il est inséré des articles 2bis, 2ter et 2quater rédigés comme suit :</w:t>
      </w:r>
    </w:p>
    <w:p w14:paraId="7730AFE9" w14:textId="77777777" w:rsidR="00795C3E" w:rsidRPr="007E7952" w:rsidRDefault="00795C3E" w:rsidP="00795C3E">
      <w:pPr>
        <w:spacing w:before="120"/>
        <w:ind w:left="504"/>
        <w:textAlignment w:val="baseline"/>
        <w:rPr>
          <w:rFonts w:cs="Calibri Light"/>
          <w:i/>
        </w:rPr>
      </w:pPr>
      <w:r w:rsidRPr="007E7952">
        <w:rPr>
          <w:rFonts w:cs="Calibri Light"/>
          <w:i/>
        </w:rPr>
        <w:t>Art. 2bis. Lorsque le Gouvernement ou un Conseil communal arrête un ou des règlements en matière de stationnement relatifs aux stationnements à durée limitée, aux stationnements payants et aux stationnements sur les emplacements réservés aux titulaires d'une carte de stationnement communale, il peut établir des rétributions ou taxes de stationnement ou déterminer les redevances de stationnement dans le cadre des concessions ou contrats de gestion concernant le stationnement sur la voie publique, applicables aux véhicules à moteur, leurs remorques ou éléments.</w:t>
      </w:r>
    </w:p>
    <w:p w14:paraId="21D9838B" w14:textId="77777777" w:rsidR="00795C3E" w:rsidRPr="007E7952" w:rsidRDefault="00795C3E" w:rsidP="00795C3E">
      <w:pPr>
        <w:spacing w:before="120"/>
        <w:ind w:left="504"/>
        <w:textAlignment w:val="baseline"/>
        <w:rPr>
          <w:rFonts w:cs="Calibri Light"/>
          <w:i/>
        </w:rPr>
      </w:pPr>
      <w:r w:rsidRPr="007E7952">
        <w:rPr>
          <w:rFonts w:cs="Calibri Light"/>
          <w:i/>
        </w:rPr>
        <w:t>Cette disposition ne s'applique pas au stationnement alterné semi-mensuel et à la limitation du stationnement de longue durée.</w:t>
      </w:r>
    </w:p>
    <w:p w14:paraId="309835C0" w14:textId="77777777" w:rsidR="00795C3E" w:rsidRPr="007E7952" w:rsidRDefault="00795C3E" w:rsidP="00795C3E">
      <w:pPr>
        <w:spacing w:before="120"/>
        <w:ind w:left="504"/>
        <w:textAlignment w:val="baseline"/>
        <w:rPr>
          <w:rFonts w:cs="Calibri Light"/>
          <w:i/>
        </w:rPr>
      </w:pPr>
      <w:r w:rsidRPr="007E7952">
        <w:rPr>
          <w:rFonts w:cs="Calibri Light"/>
          <w:i/>
        </w:rPr>
        <w:t>Art. 2ter. En vue de l'encaissement des rétributions, des taxes ou des redevances de stationnement visées à l'article 2bis, le Gouvernement, les communes et leurs concessionnaires et les régies autonomes communales sont habilités à demander l'identité du titulaire du numéro de la plaque d'immatriculation à l'autorité chargée de l'immatriculation des véhicules et ce, conformément à la loi sur la protection de la vie privée.</w:t>
      </w:r>
    </w:p>
    <w:p w14:paraId="5A52E0D0" w14:textId="77777777" w:rsidR="00795C3E" w:rsidRPr="007E7952" w:rsidRDefault="00795C3E" w:rsidP="00795C3E">
      <w:pPr>
        <w:spacing w:before="120"/>
        <w:ind w:left="504"/>
        <w:textAlignment w:val="baseline"/>
        <w:rPr>
          <w:rFonts w:cs="Calibri Light"/>
          <w:i/>
        </w:rPr>
      </w:pPr>
      <w:r w:rsidRPr="007E7952">
        <w:rPr>
          <w:rFonts w:cs="Calibri Light"/>
          <w:i/>
        </w:rPr>
        <w:t>Art. 2quater. Les rétributions, les taxes ou les redevances de stationnement prévues à l'article 2bis sont mises à charge du titulaire du numéro de la plaque d'immatriculation.</w:t>
      </w:r>
    </w:p>
    <w:p w14:paraId="38877224" w14:textId="77777777" w:rsidR="00795C3E" w:rsidRPr="00F91BDD" w:rsidRDefault="00795C3E" w:rsidP="00795C3E">
      <w:pPr>
        <w:spacing w:before="120"/>
        <w:ind w:left="504"/>
        <w:textAlignment w:val="baseline"/>
        <w:rPr>
          <w:rFonts w:cs="Calibri Light"/>
        </w:rPr>
      </w:pPr>
      <w:r w:rsidRPr="00F91BDD">
        <w:rPr>
          <w:rFonts w:cs="Calibri Light"/>
        </w:rPr>
        <w:t>Art. 104.</w:t>
      </w:r>
      <w:r w:rsidRPr="1C6C0DED">
        <w:rPr>
          <w:rFonts w:cs="Calibri Light"/>
          <w:i/>
        </w:rPr>
        <w:t xml:space="preserve"> La loi du 22 février 1965 permettant aux communes d'établir des redevances de stationnement applicables aux véhicules à moteur, est abrogée en ce qui concerne la Région wallonne. </w:t>
      </w:r>
      <w:r w:rsidRPr="00F91BDD">
        <w:rPr>
          <w:rFonts w:cs="Calibri Light"/>
        </w:rPr>
        <w:t>»</w:t>
      </w:r>
    </w:p>
    <w:p w14:paraId="3F329C1B" w14:textId="77777777" w:rsidR="00795C3E" w:rsidRPr="00F91BDD" w:rsidRDefault="00795C3E" w:rsidP="00795C3E">
      <w:pPr>
        <w:spacing w:before="120"/>
        <w:ind w:left="504" w:hanging="504"/>
        <w:textAlignment w:val="baseline"/>
        <w:rPr>
          <w:rFonts w:cs="Calibri Light"/>
        </w:rPr>
      </w:pPr>
      <w:r w:rsidRPr="00F91BDD">
        <w:rPr>
          <w:rFonts w:cs="Calibri Light"/>
        </w:rPr>
        <w:t>f)</w:t>
      </w:r>
      <w:r w:rsidRPr="00F91BDD">
        <w:rPr>
          <w:rFonts w:cs="Calibri Light"/>
        </w:rPr>
        <w:tab/>
        <w:t>Depuis le décret programme du 17 juillet 2018 portant des mesures diverses en matière d'emploi, de formation, d'économie, d'industrie, de recherche, d'innovation, de numérique, d'environnement, de transition écologique, d'aménagement du territoire, de travaux publics, de mobilité et de transports, d'énergie, de climat, de politique aéroportuaire, de tourisme, d'agriculture, de nature, de forêt, des pouvoirs locaux et de logement. M.B. 8.10.2018) les art 2 bis, ter quater susvisés du décret du 19 décembre 2007 sont devenus les articles 6 à 8 de ce décret.</w:t>
      </w:r>
    </w:p>
    <w:p w14:paraId="139B8729" w14:textId="77777777" w:rsidR="00795C3E" w:rsidRPr="00F91BDD" w:rsidRDefault="00795C3E" w:rsidP="00795C3E">
      <w:pPr>
        <w:spacing w:before="120"/>
        <w:textAlignment w:val="baseline"/>
        <w:rPr>
          <w:rFonts w:cs="Calibri Light"/>
        </w:rPr>
      </w:pPr>
      <w:r w:rsidRPr="00F91BDD">
        <w:rPr>
          <w:rFonts w:cs="Calibri Light"/>
        </w:rPr>
        <w:t>En raison du contentieux que suscite l'application d'un règlement-redevance, les autorités communales tiendront compte des éléments suivants :</w:t>
      </w:r>
    </w:p>
    <w:p w14:paraId="509CF115" w14:textId="77777777" w:rsidR="00795C3E" w:rsidRPr="00F91BDD" w:rsidRDefault="00795C3E" w:rsidP="00795C3E">
      <w:pPr>
        <w:spacing w:before="120"/>
        <w:textAlignment w:val="baseline"/>
        <w:rPr>
          <w:rFonts w:cs="Calibri Light"/>
          <w:spacing w:val="1"/>
        </w:rPr>
      </w:pPr>
      <w:r w:rsidRPr="00F91BDD">
        <w:rPr>
          <w:rFonts w:cs="Calibri Light"/>
          <w:spacing w:val="1"/>
        </w:rPr>
        <w:lastRenderedPageBreak/>
        <w:t>La nature d'un règlement-redevance sur le stationnement est celle d'une disposition édictant les conditions, notamment financières, selon lesquelles s'organise, sur le territoire concerné, le service de stationnement payant fourni par la ville. Les relations qui se nouent entre l'autorité dispensatrice du service et les personnes qui recourent à celui-ci sont régies par le droit civil. Le règlement-redevance constitue, dans chaque cas d'espèce où il trouve application vis-à-vis d'un redevable, un ensemble de dispositions contractuelles auxquelles le particulier a marqué son accord par le fait de recourir au service. Le contentieux lié à l'application du règlement redevance relève donc des tribunaux ordinaires.</w:t>
      </w:r>
    </w:p>
    <w:p w14:paraId="2FD98D85" w14:textId="71B3B8DC" w:rsidR="00795C3E" w:rsidRPr="00F91BDD" w:rsidRDefault="00795C3E" w:rsidP="00795C3E">
      <w:pPr>
        <w:spacing w:before="120"/>
        <w:textAlignment w:val="baseline"/>
        <w:rPr>
          <w:rFonts w:cs="Calibri Light"/>
        </w:rPr>
      </w:pPr>
      <w:r w:rsidRPr="00F91BDD">
        <w:rPr>
          <w:rFonts w:cs="Calibri Light"/>
        </w:rPr>
        <w:t>Étant donné la nature civile du règlement, le non-respect par le redevable de son obligation de s'acquitter de la somme due sur invitation à payer lorsqu'il a omis d'alimenter l'horodateur, peut être assorti d'une clause pénale (au sens de l’article 5.88 du Code civil) mais il n'est pas admissible que le montant de celle-ci s'éloigne d'une évaluation correcte du dommage subi par la commune suite au non-paiement par le particulier. Les dispositions prévoyant une indemnité forfaitaire de plusieurs centaines d'euros en cas de non-paiement de la somme due après envoi de l'invitation à payer sont donc illégales car elles constituent de véritables peines privées interdites par l'article 5.62 du Code civil.</w:t>
      </w:r>
    </w:p>
    <w:p w14:paraId="4816E774" w14:textId="77777777" w:rsidR="00795C3E" w:rsidRPr="003B1B32" w:rsidRDefault="00795C3E" w:rsidP="00795C3E">
      <w:pPr>
        <w:tabs>
          <w:tab w:val="left" w:pos="567"/>
          <w:tab w:val="left" w:pos="720"/>
        </w:tabs>
        <w:spacing w:before="120"/>
        <w:textAlignment w:val="baseline"/>
        <w:rPr>
          <w:rFonts w:cs="Calibri Light"/>
        </w:rPr>
      </w:pPr>
      <w:r w:rsidRPr="00F91BDD">
        <w:rPr>
          <w:rFonts w:cs="Calibri Light"/>
        </w:rPr>
        <w:t>Il n'est pas admissible qu'une redevance soit prélevée sur toute contravention (toutes les infractions de stationnement n'ont pas été dépénalisées) dressée par la police communale afin de couvrir les frais administratifs exposés pour la rédaction du procès-verbal de constat car le service rendu par les agents de la police communale n'est pas presté dans l'intérêt direct et immédiat du redevable mais dans l'intérêt de la collectivité, seule bénéficiaire d'une application correcte des lois. Dès lors qu'un tel prélèvement ne peut s'analyser comme une redevance, il revêt une nature pénale et échappe aux compétences de la commune.</w:t>
      </w:r>
      <w:bookmarkStart w:id="3359" w:name="_Toc516739906"/>
      <w:bookmarkStart w:id="3360" w:name="_Toc516751815"/>
      <w:bookmarkStart w:id="3361" w:name="_Toc516825903"/>
      <w:bookmarkStart w:id="3362" w:name="_Toc516826461"/>
      <w:bookmarkStart w:id="3363" w:name="_Toc516837781"/>
      <w:bookmarkStart w:id="3364" w:name="_Toc516838340"/>
      <w:bookmarkStart w:id="3365" w:name="_Toc516838899"/>
      <w:bookmarkStart w:id="3366" w:name="_Toc516839459"/>
      <w:bookmarkStart w:id="3367" w:name="_Toc517173555"/>
      <w:bookmarkStart w:id="3368" w:name="_Toc517175229"/>
      <w:bookmarkStart w:id="3369" w:name="_Toc517175816"/>
      <w:bookmarkStart w:id="3370" w:name="_Toc517176404"/>
      <w:bookmarkStart w:id="3371" w:name="_Toc517337729"/>
      <w:bookmarkStart w:id="3372" w:name="_Toc517360525"/>
      <w:bookmarkStart w:id="3373" w:name="_Toc516739907"/>
      <w:bookmarkStart w:id="3374" w:name="_Toc516751816"/>
      <w:bookmarkStart w:id="3375" w:name="_Toc516825904"/>
      <w:bookmarkStart w:id="3376" w:name="_Toc516826462"/>
      <w:bookmarkStart w:id="3377" w:name="_Toc516837782"/>
      <w:bookmarkStart w:id="3378" w:name="_Toc516838341"/>
      <w:bookmarkStart w:id="3379" w:name="_Toc516838900"/>
      <w:bookmarkStart w:id="3380" w:name="_Toc516839460"/>
      <w:bookmarkStart w:id="3381" w:name="_Toc517173556"/>
      <w:bookmarkStart w:id="3382" w:name="_Toc517175230"/>
      <w:bookmarkStart w:id="3383" w:name="_Toc517175817"/>
      <w:bookmarkStart w:id="3384" w:name="_Toc517176405"/>
      <w:bookmarkStart w:id="3385" w:name="_Toc517337730"/>
      <w:bookmarkStart w:id="3386" w:name="_Toc517360526"/>
      <w:bookmarkStart w:id="3387" w:name="_Toc516739908"/>
      <w:bookmarkStart w:id="3388" w:name="_Toc516751817"/>
      <w:bookmarkStart w:id="3389" w:name="_Toc516825905"/>
      <w:bookmarkStart w:id="3390" w:name="_Toc516826463"/>
      <w:bookmarkStart w:id="3391" w:name="_Toc516837783"/>
      <w:bookmarkStart w:id="3392" w:name="_Toc516838342"/>
      <w:bookmarkStart w:id="3393" w:name="_Toc516838901"/>
      <w:bookmarkStart w:id="3394" w:name="_Toc516839461"/>
      <w:bookmarkStart w:id="3395" w:name="_Toc517173557"/>
      <w:bookmarkStart w:id="3396" w:name="_Toc517175231"/>
      <w:bookmarkStart w:id="3397" w:name="_Toc517175818"/>
      <w:bookmarkStart w:id="3398" w:name="_Toc517176406"/>
      <w:bookmarkStart w:id="3399" w:name="_Toc517337731"/>
      <w:bookmarkStart w:id="3400" w:name="_Toc517360527"/>
      <w:bookmarkStart w:id="3401" w:name="_Toc516739909"/>
      <w:bookmarkStart w:id="3402" w:name="_Toc516751818"/>
      <w:bookmarkStart w:id="3403" w:name="_Toc516825906"/>
      <w:bookmarkStart w:id="3404" w:name="_Toc516826464"/>
      <w:bookmarkStart w:id="3405" w:name="_Toc516837784"/>
      <w:bookmarkStart w:id="3406" w:name="_Toc516838343"/>
      <w:bookmarkStart w:id="3407" w:name="_Toc516838902"/>
      <w:bookmarkStart w:id="3408" w:name="_Toc516839462"/>
      <w:bookmarkStart w:id="3409" w:name="_Toc517173558"/>
      <w:bookmarkStart w:id="3410" w:name="_Toc517175232"/>
      <w:bookmarkStart w:id="3411" w:name="_Toc517175819"/>
      <w:bookmarkStart w:id="3412" w:name="_Toc517176407"/>
      <w:bookmarkStart w:id="3413" w:name="_Toc517337732"/>
      <w:bookmarkStart w:id="3414" w:name="_Toc517360528"/>
      <w:bookmarkStart w:id="3415" w:name="_Toc516739910"/>
      <w:bookmarkStart w:id="3416" w:name="_Toc516751819"/>
      <w:bookmarkStart w:id="3417" w:name="_Toc516825907"/>
      <w:bookmarkStart w:id="3418" w:name="_Toc516826465"/>
      <w:bookmarkStart w:id="3419" w:name="_Toc516837785"/>
      <w:bookmarkStart w:id="3420" w:name="_Toc516838344"/>
      <w:bookmarkStart w:id="3421" w:name="_Toc516838903"/>
      <w:bookmarkStart w:id="3422" w:name="_Toc516839463"/>
      <w:bookmarkStart w:id="3423" w:name="_Toc517173559"/>
      <w:bookmarkStart w:id="3424" w:name="_Toc517175233"/>
      <w:bookmarkStart w:id="3425" w:name="_Toc517175820"/>
      <w:bookmarkStart w:id="3426" w:name="_Toc517176408"/>
      <w:bookmarkStart w:id="3427" w:name="_Toc517337733"/>
      <w:bookmarkStart w:id="3428" w:name="_Toc517360529"/>
      <w:bookmarkStart w:id="3429" w:name="_Toc516739911"/>
      <w:bookmarkStart w:id="3430" w:name="_Toc516751820"/>
      <w:bookmarkStart w:id="3431" w:name="_Toc516825908"/>
      <w:bookmarkStart w:id="3432" w:name="_Toc516826466"/>
      <w:bookmarkStart w:id="3433" w:name="_Toc516837786"/>
      <w:bookmarkStart w:id="3434" w:name="_Toc516838345"/>
      <w:bookmarkStart w:id="3435" w:name="_Toc516838904"/>
      <w:bookmarkStart w:id="3436" w:name="_Toc516839464"/>
      <w:bookmarkStart w:id="3437" w:name="_Toc517173560"/>
      <w:bookmarkStart w:id="3438" w:name="_Toc517175234"/>
      <w:bookmarkStart w:id="3439" w:name="_Toc517175821"/>
      <w:bookmarkStart w:id="3440" w:name="_Toc517176409"/>
      <w:bookmarkStart w:id="3441" w:name="_Toc517337734"/>
      <w:bookmarkStart w:id="3442" w:name="_Toc517360530"/>
      <w:bookmarkStart w:id="3443" w:name="_Toc516739912"/>
      <w:bookmarkStart w:id="3444" w:name="_Toc516751821"/>
      <w:bookmarkStart w:id="3445" w:name="_Toc516825909"/>
      <w:bookmarkStart w:id="3446" w:name="_Toc516826467"/>
      <w:bookmarkStart w:id="3447" w:name="_Toc516837787"/>
      <w:bookmarkStart w:id="3448" w:name="_Toc516838346"/>
      <w:bookmarkStart w:id="3449" w:name="_Toc516838905"/>
      <w:bookmarkStart w:id="3450" w:name="_Toc516839465"/>
      <w:bookmarkStart w:id="3451" w:name="_Toc517173561"/>
      <w:bookmarkStart w:id="3452" w:name="_Toc517175235"/>
      <w:bookmarkStart w:id="3453" w:name="_Toc517175822"/>
      <w:bookmarkStart w:id="3454" w:name="_Toc517176410"/>
      <w:bookmarkStart w:id="3455" w:name="_Toc517337735"/>
      <w:bookmarkStart w:id="3456" w:name="_Toc517360531"/>
      <w:bookmarkStart w:id="3457" w:name="_Toc516739913"/>
      <w:bookmarkStart w:id="3458" w:name="_Toc516751822"/>
      <w:bookmarkStart w:id="3459" w:name="_Toc516825910"/>
      <w:bookmarkStart w:id="3460" w:name="_Toc516826468"/>
      <w:bookmarkStart w:id="3461" w:name="_Toc516837788"/>
      <w:bookmarkStart w:id="3462" w:name="_Toc516838347"/>
      <w:bookmarkStart w:id="3463" w:name="_Toc516838906"/>
      <w:bookmarkStart w:id="3464" w:name="_Toc516839466"/>
      <w:bookmarkStart w:id="3465" w:name="_Toc517173562"/>
      <w:bookmarkStart w:id="3466" w:name="_Toc517175236"/>
      <w:bookmarkStart w:id="3467" w:name="_Toc517175823"/>
      <w:bookmarkStart w:id="3468" w:name="_Toc517176411"/>
      <w:bookmarkStart w:id="3469" w:name="_Toc517337736"/>
      <w:bookmarkStart w:id="3470" w:name="_Toc517360532"/>
      <w:bookmarkStart w:id="3471" w:name="_Toc516739914"/>
      <w:bookmarkStart w:id="3472" w:name="_Toc516751823"/>
      <w:bookmarkStart w:id="3473" w:name="_Toc516825911"/>
      <w:bookmarkStart w:id="3474" w:name="_Toc516826469"/>
      <w:bookmarkStart w:id="3475" w:name="_Toc516837789"/>
      <w:bookmarkStart w:id="3476" w:name="_Toc516838348"/>
      <w:bookmarkStart w:id="3477" w:name="_Toc516838907"/>
      <w:bookmarkStart w:id="3478" w:name="_Toc516839467"/>
      <w:bookmarkStart w:id="3479" w:name="_Toc517173563"/>
      <w:bookmarkStart w:id="3480" w:name="_Toc517175237"/>
      <w:bookmarkStart w:id="3481" w:name="_Toc517175824"/>
      <w:bookmarkStart w:id="3482" w:name="_Toc517176412"/>
      <w:bookmarkStart w:id="3483" w:name="_Toc517337737"/>
      <w:bookmarkStart w:id="3484" w:name="_Toc517360533"/>
      <w:bookmarkStart w:id="3485" w:name="_Toc516739915"/>
      <w:bookmarkStart w:id="3486" w:name="_Toc516751824"/>
      <w:bookmarkStart w:id="3487" w:name="_Toc516825912"/>
      <w:bookmarkStart w:id="3488" w:name="_Toc516826470"/>
      <w:bookmarkStart w:id="3489" w:name="_Toc516837790"/>
      <w:bookmarkStart w:id="3490" w:name="_Toc516838349"/>
      <w:bookmarkStart w:id="3491" w:name="_Toc516838908"/>
      <w:bookmarkStart w:id="3492" w:name="_Toc516839468"/>
      <w:bookmarkStart w:id="3493" w:name="_Toc517173564"/>
      <w:bookmarkStart w:id="3494" w:name="_Toc517175238"/>
      <w:bookmarkStart w:id="3495" w:name="_Toc517175825"/>
      <w:bookmarkStart w:id="3496" w:name="_Toc517176413"/>
      <w:bookmarkStart w:id="3497" w:name="_Toc517337738"/>
      <w:bookmarkStart w:id="3498" w:name="_Toc517360534"/>
      <w:bookmarkStart w:id="3499" w:name="_Toc516739916"/>
      <w:bookmarkStart w:id="3500" w:name="_Toc516751825"/>
      <w:bookmarkStart w:id="3501" w:name="_Toc516825913"/>
      <w:bookmarkStart w:id="3502" w:name="_Toc516826471"/>
      <w:bookmarkStart w:id="3503" w:name="_Toc516837791"/>
      <w:bookmarkStart w:id="3504" w:name="_Toc516838350"/>
      <w:bookmarkStart w:id="3505" w:name="_Toc516838909"/>
      <w:bookmarkStart w:id="3506" w:name="_Toc516839469"/>
      <w:bookmarkStart w:id="3507" w:name="_Toc517173565"/>
      <w:bookmarkStart w:id="3508" w:name="_Toc517175239"/>
      <w:bookmarkStart w:id="3509" w:name="_Toc517175826"/>
      <w:bookmarkStart w:id="3510" w:name="_Toc517176414"/>
      <w:bookmarkStart w:id="3511" w:name="_Toc517337739"/>
      <w:bookmarkStart w:id="3512" w:name="_Toc517360535"/>
      <w:bookmarkStart w:id="3513" w:name="_Toc516739917"/>
      <w:bookmarkStart w:id="3514" w:name="_Toc516751826"/>
      <w:bookmarkStart w:id="3515" w:name="_Toc516825914"/>
      <w:bookmarkStart w:id="3516" w:name="_Toc516826472"/>
      <w:bookmarkStart w:id="3517" w:name="_Toc516837792"/>
      <w:bookmarkStart w:id="3518" w:name="_Toc516838351"/>
      <w:bookmarkStart w:id="3519" w:name="_Toc516838910"/>
      <w:bookmarkStart w:id="3520" w:name="_Toc516839470"/>
      <w:bookmarkStart w:id="3521" w:name="_Toc517173566"/>
      <w:bookmarkStart w:id="3522" w:name="_Toc517175240"/>
      <w:bookmarkStart w:id="3523" w:name="_Toc517175827"/>
      <w:bookmarkStart w:id="3524" w:name="_Toc517176415"/>
      <w:bookmarkStart w:id="3525" w:name="_Toc517337740"/>
      <w:bookmarkStart w:id="3526" w:name="_Toc517360536"/>
      <w:bookmarkStart w:id="3527" w:name="_Toc516739918"/>
      <w:bookmarkStart w:id="3528" w:name="_Toc516751827"/>
      <w:bookmarkStart w:id="3529" w:name="_Toc516825915"/>
      <w:bookmarkStart w:id="3530" w:name="_Toc516826473"/>
      <w:bookmarkStart w:id="3531" w:name="_Toc516837793"/>
      <w:bookmarkStart w:id="3532" w:name="_Toc516838352"/>
      <w:bookmarkStart w:id="3533" w:name="_Toc516838911"/>
      <w:bookmarkStart w:id="3534" w:name="_Toc516839471"/>
      <w:bookmarkStart w:id="3535" w:name="_Toc517173567"/>
      <w:bookmarkStart w:id="3536" w:name="_Toc517175241"/>
      <w:bookmarkStart w:id="3537" w:name="_Toc517175828"/>
      <w:bookmarkStart w:id="3538" w:name="_Toc517176416"/>
      <w:bookmarkStart w:id="3539" w:name="_Toc517337741"/>
      <w:bookmarkStart w:id="3540" w:name="_Toc517360537"/>
      <w:bookmarkStart w:id="3541" w:name="_Toc516739919"/>
      <w:bookmarkStart w:id="3542" w:name="_Toc516751828"/>
      <w:bookmarkStart w:id="3543" w:name="_Toc516825916"/>
      <w:bookmarkStart w:id="3544" w:name="_Toc516826474"/>
      <w:bookmarkStart w:id="3545" w:name="_Toc516837794"/>
      <w:bookmarkStart w:id="3546" w:name="_Toc516838353"/>
      <w:bookmarkStart w:id="3547" w:name="_Toc516838912"/>
      <w:bookmarkStart w:id="3548" w:name="_Toc516839472"/>
      <w:bookmarkStart w:id="3549" w:name="_Toc517173568"/>
      <w:bookmarkStart w:id="3550" w:name="_Toc517175242"/>
      <w:bookmarkStart w:id="3551" w:name="_Toc517175829"/>
      <w:bookmarkStart w:id="3552" w:name="_Toc517176417"/>
      <w:bookmarkStart w:id="3553" w:name="_Toc517337742"/>
      <w:bookmarkStart w:id="3554" w:name="_Toc517360538"/>
      <w:bookmarkStart w:id="3555" w:name="_Toc516739920"/>
      <w:bookmarkStart w:id="3556" w:name="_Toc516751829"/>
      <w:bookmarkStart w:id="3557" w:name="_Toc516825917"/>
      <w:bookmarkStart w:id="3558" w:name="_Toc516826475"/>
      <w:bookmarkStart w:id="3559" w:name="_Toc516837795"/>
      <w:bookmarkStart w:id="3560" w:name="_Toc516838354"/>
      <w:bookmarkStart w:id="3561" w:name="_Toc516838913"/>
      <w:bookmarkStart w:id="3562" w:name="_Toc516839473"/>
      <w:bookmarkStart w:id="3563" w:name="_Toc517173569"/>
      <w:bookmarkStart w:id="3564" w:name="_Toc517175243"/>
      <w:bookmarkStart w:id="3565" w:name="_Toc517175830"/>
      <w:bookmarkStart w:id="3566" w:name="_Toc517176418"/>
      <w:bookmarkStart w:id="3567" w:name="_Toc517337743"/>
      <w:bookmarkStart w:id="3568" w:name="_Toc517360539"/>
      <w:bookmarkStart w:id="3569" w:name="_Toc516739921"/>
      <w:bookmarkStart w:id="3570" w:name="_Toc516751830"/>
      <w:bookmarkStart w:id="3571" w:name="_Toc516825918"/>
      <w:bookmarkStart w:id="3572" w:name="_Toc516826476"/>
      <w:bookmarkStart w:id="3573" w:name="_Toc516837796"/>
      <w:bookmarkStart w:id="3574" w:name="_Toc516838355"/>
      <w:bookmarkStart w:id="3575" w:name="_Toc516838914"/>
      <w:bookmarkStart w:id="3576" w:name="_Toc516839474"/>
      <w:bookmarkStart w:id="3577" w:name="_Toc517173570"/>
      <w:bookmarkStart w:id="3578" w:name="_Toc517175244"/>
      <w:bookmarkStart w:id="3579" w:name="_Toc517175831"/>
      <w:bookmarkStart w:id="3580" w:name="_Toc517176419"/>
      <w:bookmarkStart w:id="3581" w:name="_Toc517337744"/>
      <w:bookmarkStart w:id="3582" w:name="_Toc517360540"/>
      <w:bookmarkStart w:id="3583" w:name="_Toc516739922"/>
      <w:bookmarkStart w:id="3584" w:name="_Toc516751831"/>
      <w:bookmarkStart w:id="3585" w:name="_Toc516825919"/>
      <w:bookmarkStart w:id="3586" w:name="_Toc516826477"/>
      <w:bookmarkStart w:id="3587" w:name="_Toc516837797"/>
      <w:bookmarkStart w:id="3588" w:name="_Toc516838356"/>
      <w:bookmarkStart w:id="3589" w:name="_Toc516838915"/>
      <w:bookmarkStart w:id="3590" w:name="_Toc516839475"/>
      <w:bookmarkStart w:id="3591" w:name="_Toc517173571"/>
      <w:bookmarkStart w:id="3592" w:name="_Toc517175245"/>
      <w:bookmarkStart w:id="3593" w:name="_Toc517175832"/>
      <w:bookmarkStart w:id="3594" w:name="_Toc517176420"/>
      <w:bookmarkStart w:id="3595" w:name="_Toc517337745"/>
      <w:bookmarkStart w:id="3596" w:name="_Toc517360541"/>
      <w:bookmarkStart w:id="3597" w:name="_Toc516739923"/>
      <w:bookmarkStart w:id="3598" w:name="_Toc516751832"/>
      <w:bookmarkStart w:id="3599" w:name="_Toc516825920"/>
      <w:bookmarkStart w:id="3600" w:name="_Toc516826478"/>
      <w:bookmarkStart w:id="3601" w:name="_Toc516837798"/>
      <w:bookmarkStart w:id="3602" w:name="_Toc516838357"/>
      <w:bookmarkStart w:id="3603" w:name="_Toc516838916"/>
      <w:bookmarkStart w:id="3604" w:name="_Toc516839476"/>
      <w:bookmarkStart w:id="3605" w:name="_Toc517173572"/>
      <w:bookmarkStart w:id="3606" w:name="_Toc517175246"/>
      <w:bookmarkStart w:id="3607" w:name="_Toc517175833"/>
      <w:bookmarkStart w:id="3608" w:name="_Toc517176421"/>
      <w:bookmarkStart w:id="3609" w:name="_Toc517337746"/>
      <w:bookmarkStart w:id="3610" w:name="_Toc517360542"/>
      <w:bookmarkStart w:id="3611" w:name="_Toc516739924"/>
      <w:bookmarkStart w:id="3612" w:name="_Toc516751833"/>
      <w:bookmarkStart w:id="3613" w:name="_Toc516825921"/>
      <w:bookmarkStart w:id="3614" w:name="_Toc516826479"/>
      <w:bookmarkStart w:id="3615" w:name="_Toc516837799"/>
      <w:bookmarkStart w:id="3616" w:name="_Toc516838358"/>
      <w:bookmarkStart w:id="3617" w:name="_Toc516838917"/>
      <w:bookmarkStart w:id="3618" w:name="_Toc516839477"/>
      <w:bookmarkStart w:id="3619" w:name="_Toc517173573"/>
      <w:bookmarkStart w:id="3620" w:name="_Toc517175247"/>
      <w:bookmarkStart w:id="3621" w:name="_Toc517175834"/>
      <w:bookmarkStart w:id="3622" w:name="_Toc517176422"/>
      <w:bookmarkStart w:id="3623" w:name="_Toc517337747"/>
      <w:bookmarkStart w:id="3624" w:name="_Toc517360543"/>
      <w:bookmarkStart w:id="3625" w:name="_Toc516739925"/>
      <w:bookmarkStart w:id="3626" w:name="_Toc516751834"/>
      <w:bookmarkStart w:id="3627" w:name="_Toc516825922"/>
      <w:bookmarkStart w:id="3628" w:name="_Toc516826480"/>
      <w:bookmarkStart w:id="3629" w:name="_Toc516837800"/>
      <w:bookmarkStart w:id="3630" w:name="_Toc516838359"/>
      <w:bookmarkStart w:id="3631" w:name="_Toc516838918"/>
      <w:bookmarkStart w:id="3632" w:name="_Toc516839478"/>
      <w:bookmarkStart w:id="3633" w:name="_Toc517173574"/>
      <w:bookmarkStart w:id="3634" w:name="_Toc517175248"/>
      <w:bookmarkStart w:id="3635" w:name="_Toc517175835"/>
      <w:bookmarkStart w:id="3636" w:name="_Toc517176423"/>
      <w:bookmarkStart w:id="3637" w:name="_Toc517337748"/>
      <w:bookmarkStart w:id="3638" w:name="_Toc517360544"/>
      <w:bookmarkStart w:id="3639" w:name="_Toc516739926"/>
      <w:bookmarkStart w:id="3640" w:name="_Toc516751835"/>
      <w:bookmarkStart w:id="3641" w:name="_Toc516825923"/>
      <w:bookmarkStart w:id="3642" w:name="_Toc516826481"/>
      <w:bookmarkStart w:id="3643" w:name="_Toc516837801"/>
      <w:bookmarkStart w:id="3644" w:name="_Toc516838360"/>
      <w:bookmarkStart w:id="3645" w:name="_Toc516838919"/>
      <w:bookmarkStart w:id="3646" w:name="_Toc516839479"/>
      <w:bookmarkStart w:id="3647" w:name="_Toc517173575"/>
      <w:bookmarkStart w:id="3648" w:name="_Toc517175249"/>
      <w:bookmarkStart w:id="3649" w:name="_Toc517175836"/>
      <w:bookmarkStart w:id="3650" w:name="_Toc517176424"/>
      <w:bookmarkStart w:id="3651" w:name="_Toc517337749"/>
      <w:bookmarkStart w:id="3652" w:name="_Toc517360545"/>
      <w:bookmarkStart w:id="3653" w:name="_Toc516739927"/>
      <w:bookmarkStart w:id="3654" w:name="_Toc516751836"/>
      <w:bookmarkStart w:id="3655" w:name="_Toc516825924"/>
      <w:bookmarkStart w:id="3656" w:name="_Toc516826482"/>
      <w:bookmarkStart w:id="3657" w:name="_Toc516837802"/>
      <w:bookmarkStart w:id="3658" w:name="_Toc516838361"/>
      <w:bookmarkStart w:id="3659" w:name="_Toc516838920"/>
      <w:bookmarkStart w:id="3660" w:name="_Toc516839480"/>
      <w:bookmarkStart w:id="3661" w:name="_Toc517173576"/>
      <w:bookmarkStart w:id="3662" w:name="_Toc517175250"/>
      <w:bookmarkStart w:id="3663" w:name="_Toc517175837"/>
      <w:bookmarkStart w:id="3664" w:name="_Toc517176425"/>
      <w:bookmarkStart w:id="3665" w:name="_Toc517337750"/>
      <w:bookmarkStart w:id="3666" w:name="_Toc517360546"/>
      <w:bookmarkStart w:id="3667" w:name="_Toc516739928"/>
      <w:bookmarkStart w:id="3668" w:name="_Toc516751837"/>
      <w:bookmarkStart w:id="3669" w:name="_Toc516825925"/>
      <w:bookmarkStart w:id="3670" w:name="_Toc516826483"/>
      <w:bookmarkStart w:id="3671" w:name="_Toc516837803"/>
      <w:bookmarkStart w:id="3672" w:name="_Toc516838362"/>
      <w:bookmarkStart w:id="3673" w:name="_Toc516838921"/>
      <w:bookmarkStart w:id="3674" w:name="_Toc516839481"/>
      <w:bookmarkStart w:id="3675" w:name="_Toc517173577"/>
      <w:bookmarkStart w:id="3676" w:name="_Toc517175251"/>
      <w:bookmarkStart w:id="3677" w:name="_Toc517175838"/>
      <w:bookmarkStart w:id="3678" w:name="_Toc517176426"/>
      <w:bookmarkStart w:id="3679" w:name="_Toc517337751"/>
      <w:bookmarkStart w:id="3680" w:name="_Toc517360547"/>
      <w:bookmarkStart w:id="3681" w:name="_Toc516739929"/>
      <w:bookmarkStart w:id="3682" w:name="_Toc516751838"/>
      <w:bookmarkStart w:id="3683" w:name="_Toc516825926"/>
      <w:bookmarkStart w:id="3684" w:name="_Toc516826484"/>
      <w:bookmarkStart w:id="3685" w:name="_Toc516837804"/>
      <w:bookmarkStart w:id="3686" w:name="_Toc516838363"/>
      <w:bookmarkStart w:id="3687" w:name="_Toc516838922"/>
      <w:bookmarkStart w:id="3688" w:name="_Toc516839482"/>
      <w:bookmarkStart w:id="3689" w:name="_Toc517173578"/>
      <w:bookmarkStart w:id="3690" w:name="_Toc517175252"/>
      <w:bookmarkStart w:id="3691" w:name="_Toc517175839"/>
      <w:bookmarkStart w:id="3692" w:name="_Toc517176427"/>
      <w:bookmarkStart w:id="3693" w:name="_Toc517337752"/>
      <w:bookmarkStart w:id="3694" w:name="_Toc517360548"/>
      <w:bookmarkStart w:id="3695" w:name="_Toc516739930"/>
      <w:bookmarkStart w:id="3696" w:name="_Toc516751839"/>
      <w:bookmarkStart w:id="3697" w:name="_Toc516825927"/>
      <w:bookmarkStart w:id="3698" w:name="_Toc516826485"/>
      <w:bookmarkStart w:id="3699" w:name="_Toc516837805"/>
      <w:bookmarkStart w:id="3700" w:name="_Toc516838364"/>
      <w:bookmarkStart w:id="3701" w:name="_Toc516838923"/>
      <w:bookmarkStart w:id="3702" w:name="_Toc516839483"/>
      <w:bookmarkStart w:id="3703" w:name="_Toc517173579"/>
      <w:bookmarkStart w:id="3704" w:name="_Toc517175253"/>
      <w:bookmarkStart w:id="3705" w:name="_Toc517175840"/>
      <w:bookmarkStart w:id="3706" w:name="_Toc517176428"/>
      <w:bookmarkStart w:id="3707" w:name="_Toc517337753"/>
      <w:bookmarkStart w:id="3708" w:name="_Toc517360549"/>
      <w:bookmarkStart w:id="3709" w:name="_Toc516739931"/>
      <w:bookmarkStart w:id="3710" w:name="_Toc516751840"/>
      <w:bookmarkStart w:id="3711" w:name="_Toc516825928"/>
      <w:bookmarkStart w:id="3712" w:name="_Toc516826486"/>
      <w:bookmarkStart w:id="3713" w:name="_Toc516837806"/>
      <w:bookmarkStart w:id="3714" w:name="_Toc516838365"/>
      <w:bookmarkStart w:id="3715" w:name="_Toc516838924"/>
      <w:bookmarkStart w:id="3716" w:name="_Toc516839484"/>
      <w:bookmarkStart w:id="3717" w:name="_Toc517173580"/>
      <w:bookmarkStart w:id="3718" w:name="_Toc517175254"/>
      <w:bookmarkStart w:id="3719" w:name="_Toc517175841"/>
      <w:bookmarkStart w:id="3720" w:name="_Toc517176429"/>
      <w:bookmarkStart w:id="3721" w:name="_Toc517337754"/>
      <w:bookmarkStart w:id="3722" w:name="_Toc517360550"/>
      <w:bookmarkStart w:id="3723" w:name="_Toc516739932"/>
      <w:bookmarkStart w:id="3724" w:name="_Toc516751841"/>
      <w:bookmarkStart w:id="3725" w:name="_Toc516825929"/>
      <w:bookmarkStart w:id="3726" w:name="_Toc516826487"/>
      <w:bookmarkStart w:id="3727" w:name="_Toc516837807"/>
      <w:bookmarkStart w:id="3728" w:name="_Toc516838366"/>
      <w:bookmarkStart w:id="3729" w:name="_Toc516838925"/>
      <w:bookmarkStart w:id="3730" w:name="_Toc516839485"/>
      <w:bookmarkStart w:id="3731" w:name="_Toc517173581"/>
      <w:bookmarkStart w:id="3732" w:name="_Toc517175255"/>
      <w:bookmarkStart w:id="3733" w:name="_Toc517175842"/>
      <w:bookmarkStart w:id="3734" w:name="_Toc517176430"/>
      <w:bookmarkStart w:id="3735" w:name="_Toc517337755"/>
      <w:bookmarkStart w:id="3736" w:name="_Toc517360551"/>
      <w:bookmarkStart w:id="3737" w:name="_Toc516739933"/>
      <w:bookmarkStart w:id="3738" w:name="_Toc516751842"/>
      <w:bookmarkStart w:id="3739" w:name="_Toc516825930"/>
      <w:bookmarkStart w:id="3740" w:name="_Toc516826488"/>
      <w:bookmarkStart w:id="3741" w:name="_Toc516837808"/>
      <w:bookmarkStart w:id="3742" w:name="_Toc516838367"/>
      <w:bookmarkStart w:id="3743" w:name="_Toc516838926"/>
      <w:bookmarkStart w:id="3744" w:name="_Toc516839486"/>
      <w:bookmarkStart w:id="3745" w:name="_Toc517173582"/>
      <w:bookmarkStart w:id="3746" w:name="_Toc517175256"/>
      <w:bookmarkStart w:id="3747" w:name="_Toc517175843"/>
      <w:bookmarkStart w:id="3748" w:name="_Toc517176431"/>
      <w:bookmarkStart w:id="3749" w:name="_Toc517337756"/>
      <w:bookmarkStart w:id="3750" w:name="_Toc517360552"/>
      <w:bookmarkStart w:id="3751" w:name="_Toc516739934"/>
      <w:bookmarkStart w:id="3752" w:name="_Toc516751843"/>
      <w:bookmarkStart w:id="3753" w:name="_Toc516825931"/>
      <w:bookmarkStart w:id="3754" w:name="_Toc516826489"/>
      <w:bookmarkStart w:id="3755" w:name="_Toc516837809"/>
      <w:bookmarkStart w:id="3756" w:name="_Toc516838368"/>
      <w:bookmarkStart w:id="3757" w:name="_Toc516838927"/>
      <w:bookmarkStart w:id="3758" w:name="_Toc516839487"/>
      <w:bookmarkStart w:id="3759" w:name="_Toc517173583"/>
      <w:bookmarkStart w:id="3760" w:name="_Toc517175257"/>
      <w:bookmarkStart w:id="3761" w:name="_Toc517175844"/>
      <w:bookmarkStart w:id="3762" w:name="_Toc517176432"/>
      <w:bookmarkStart w:id="3763" w:name="_Toc517337757"/>
      <w:bookmarkStart w:id="3764" w:name="_Toc517360553"/>
      <w:bookmarkStart w:id="3765" w:name="_Toc516739935"/>
      <w:bookmarkStart w:id="3766" w:name="_Toc516751844"/>
      <w:bookmarkStart w:id="3767" w:name="_Toc516825932"/>
      <w:bookmarkStart w:id="3768" w:name="_Toc516826490"/>
      <w:bookmarkStart w:id="3769" w:name="_Toc516837810"/>
      <w:bookmarkStart w:id="3770" w:name="_Toc516838369"/>
      <w:bookmarkStart w:id="3771" w:name="_Toc516838928"/>
      <w:bookmarkStart w:id="3772" w:name="_Toc516839488"/>
      <w:bookmarkStart w:id="3773" w:name="_Toc517173584"/>
      <w:bookmarkStart w:id="3774" w:name="_Toc517175258"/>
      <w:bookmarkStart w:id="3775" w:name="_Toc517175845"/>
      <w:bookmarkStart w:id="3776" w:name="_Toc517176433"/>
      <w:bookmarkStart w:id="3777" w:name="_Toc517337758"/>
      <w:bookmarkStart w:id="3778" w:name="_Toc517360554"/>
      <w:bookmarkStart w:id="3779" w:name="_Toc516479084"/>
      <w:bookmarkStart w:id="3780" w:name="_Toc516479498"/>
      <w:bookmarkStart w:id="3781" w:name="_Toc516479815"/>
      <w:bookmarkStart w:id="3782" w:name="_Toc516480137"/>
      <w:bookmarkStart w:id="3783" w:name="_Toc516480451"/>
      <w:bookmarkStart w:id="3784" w:name="_Toc516480765"/>
      <w:bookmarkStart w:id="3785" w:name="_Toc516481079"/>
      <w:bookmarkStart w:id="3786" w:name="_Toc516481393"/>
      <w:bookmarkStart w:id="3787" w:name="_Toc516481707"/>
      <w:bookmarkStart w:id="3788" w:name="_Toc516482021"/>
      <w:bookmarkStart w:id="3789" w:name="_Toc516482335"/>
      <w:bookmarkStart w:id="3790" w:name="_Toc516482649"/>
      <w:bookmarkStart w:id="3791" w:name="_Toc516739936"/>
      <w:bookmarkStart w:id="3792" w:name="_Toc516751845"/>
      <w:bookmarkStart w:id="3793" w:name="_Toc516825933"/>
      <w:bookmarkStart w:id="3794" w:name="_Toc516826491"/>
      <w:bookmarkStart w:id="3795" w:name="_Toc516837811"/>
      <w:bookmarkStart w:id="3796" w:name="_Toc516838370"/>
      <w:bookmarkStart w:id="3797" w:name="_Toc516838929"/>
      <w:bookmarkStart w:id="3798" w:name="_Toc516839489"/>
      <w:bookmarkStart w:id="3799" w:name="_Toc517173585"/>
      <w:bookmarkStart w:id="3800" w:name="_Toc517175259"/>
      <w:bookmarkStart w:id="3801" w:name="_Toc517175846"/>
      <w:bookmarkStart w:id="3802" w:name="_Toc517176434"/>
      <w:bookmarkStart w:id="3803" w:name="_Toc517337759"/>
      <w:bookmarkStart w:id="3804" w:name="_Toc517360555"/>
      <w:bookmarkStart w:id="3805" w:name="_Toc143779229"/>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p>
    <w:p w14:paraId="31BA3990" w14:textId="4E3FDB0D" w:rsidR="00795C3E" w:rsidRPr="00A239E0" w:rsidRDefault="00795C3E" w:rsidP="35BD9115">
      <w:pPr>
        <w:pStyle w:val="Titre3"/>
        <w:rPr>
          <w:caps/>
        </w:rPr>
      </w:pPr>
      <w:bookmarkStart w:id="3806" w:name="_Toc208420139"/>
      <w:bookmarkStart w:id="3807" w:name="_Toc225504369"/>
      <w:bookmarkStart w:id="3808" w:name="_Toc225772458"/>
      <w:bookmarkStart w:id="3809" w:name="_Toc233626325"/>
      <w:r w:rsidRPr="00A239E0">
        <w:t>040/366-08 : Stationnement de taxis et voitures de louage</w:t>
      </w:r>
      <w:bookmarkEnd w:id="3805"/>
      <w:bookmarkEnd w:id="3806"/>
      <w:bookmarkEnd w:id="3807"/>
      <w:bookmarkEnd w:id="3808"/>
      <w:bookmarkEnd w:id="3809"/>
      <w:r w:rsidRPr="00A239E0">
        <w:t xml:space="preserve"> </w:t>
      </w:r>
    </w:p>
    <w:p w14:paraId="503F1CC8" w14:textId="77777777" w:rsidR="00795C3E" w:rsidRPr="00F91BDD" w:rsidRDefault="00795C3E" w:rsidP="00795C3E">
      <w:pPr>
        <w:spacing w:before="120"/>
        <w:rPr>
          <w:rFonts w:cs="Calibri Light"/>
          <w:spacing w:val="-2"/>
        </w:rPr>
      </w:pPr>
      <w:r w:rsidRPr="00F91BDD">
        <w:rPr>
          <w:rFonts w:cs="Calibri Light"/>
          <w:spacing w:val="-2"/>
        </w:rPr>
        <w:t>Taxe indirecte</w:t>
      </w:r>
      <w:r>
        <w:rPr>
          <w:rFonts w:cs="Calibri Light"/>
          <w:spacing w:val="-2"/>
        </w:rPr>
        <w:t>.</w:t>
      </w:r>
    </w:p>
    <w:p w14:paraId="20400BD6" w14:textId="77777777" w:rsidR="00795C3E" w:rsidRPr="00F91BDD" w:rsidRDefault="00795C3E" w:rsidP="00795C3E">
      <w:pPr>
        <w:spacing w:before="120"/>
        <w:textAlignment w:val="baseline"/>
        <w:rPr>
          <w:rFonts w:cs="Calibri Light"/>
        </w:rPr>
      </w:pPr>
      <w:r w:rsidRPr="00F91BDD">
        <w:rPr>
          <w:rFonts w:cs="Calibri Light"/>
          <w:spacing w:val="-2"/>
        </w:rPr>
        <w:t xml:space="preserve">Depuis le 8 septembre 2009, la réglementation concernant les services de taxis </w:t>
      </w:r>
      <w:r w:rsidRPr="00F91BDD">
        <w:rPr>
          <w:rFonts w:cs="Calibri Light"/>
        </w:rPr>
        <w:t>permet à tous les taxis de stationner librement aux emplacements qui leur sont réservés sur la voie publique. Par conséquent, AUCUNE taxe de stationnement NE PEUT être perçue par la commune.</w:t>
      </w:r>
    </w:p>
    <w:p w14:paraId="5412C8CA" w14:textId="77777777" w:rsidR="00795C3E" w:rsidRPr="00F91BDD" w:rsidRDefault="00795C3E" w:rsidP="00795C3E">
      <w:pPr>
        <w:spacing w:before="120"/>
        <w:textAlignment w:val="baseline"/>
        <w:rPr>
          <w:rFonts w:cs="Calibri Light"/>
        </w:rPr>
      </w:pPr>
      <w:r w:rsidRPr="00F91BDD">
        <w:rPr>
          <w:rFonts w:cs="Calibri Light"/>
        </w:rPr>
        <w:t>Il est désormais possible de lever une taxe sur l'exploitation commerciale de parkings payants ouverts au public. (Cf. supra l'article 04006/364-48 Exploitation de parkings).</w:t>
      </w:r>
    </w:p>
    <w:p w14:paraId="6FADC220" w14:textId="754D05C9" w:rsidR="00795C3E" w:rsidRPr="00A239E0" w:rsidRDefault="00795C3E" w:rsidP="35BD9115">
      <w:pPr>
        <w:pStyle w:val="Titre3"/>
        <w:rPr>
          <w:caps/>
        </w:rPr>
      </w:pPr>
      <w:bookmarkStart w:id="3810" w:name="_Toc512525535"/>
      <w:bookmarkStart w:id="3811" w:name="_Toc515896849"/>
      <w:bookmarkStart w:id="3812" w:name="_Toc143779230"/>
      <w:bookmarkStart w:id="3813" w:name="_Toc208302373"/>
      <w:bookmarkStart w:id="3814" w:name="_Toc208321589"/>
      <w:bookmarkStart w:id="3815" w:name="_Toc208420140"/>
      <w:bookmarkStart w:id="3816" w:name="_Toc225504370"/>
      <w:bookmarkStart w:id="3817" w:name="_Toc225772459"/>
      <w:bookmarkStart w:id="3818" w:name="_Toc233626326"/>
      <w:r w:rsidRPr="00A239E0">
        <w:t>040/366-09 : Commerces de frites - kiosques à journaux sur la voie publique</w:t>
      </w:r>
      <w:bookmarkStart w:id="3819" w:name="_Hlk39039780"/>
      <w:bookmarkEnd w:id="3810"/>
      <w:bookmarkEnd w:id="3811"/>
      <w:bookmarkEnd w:id="3812"/>
      <w:bookmarkEnd w:id="3813"/>
      <w:bookmarkEnd w:id="3814"/>
      <w:bookmarkEnd w:id="3815"/>
      <w:bookmarkEnd w:id="3816"/>
      <w:bookmarkEnd w:id="3817"/>
      <w:bookmarkEnd w:id="3818"/>
      <w:r w:rsidRPr="00A239E0">
        <w:t xml:space="preserve"> </w:t>
      </w:r>
    </w:p>
    <w:bookmarkEnd w:id="3819"/>
    <w:p w14:paraId="77FD302C" w14:textId="77777777" w:rsidR="00795C3E" w:rsidRPr="00F91BDD" w:rsidRDefault="00795C3E" w:rsidP="00795C3E">
      <w:pPr>
        <w:spacing w:before="120"/>
      </w:pPr>
      <w:r w:rsidRPr="00F91BDD">
        <w:t>Redevance</w:t>
      </w:r>
      <w:r>
        <w:t>.</w:t>
      </w:r>
    </w:p>
    <w:p w14:paraId="472DED36" w14:textId="77777777" w:rsidR="00795C3E" w:rsidRPr="00F91BDD" w:rsidRDefault="00795C3E" w:rsidP="00795C3E">
      <w:pPr>
        <w:spacing w:before="120"/>
        <w:textAlignment w:val="baseline"/>
        <w:rPr>
          <w:rFonts w:cs="Calibri Light"/>
        </w:rPr>
      </w:pPr>
      <w:r w:rsidRPr="00F91BDD">
        <w:rPr>
          <w:rFonts w:cs="Calibri Light"/>
        </w:rPr>
        <w:t>La notion d'emplacement faisant par nature référence à l'occupation d'une surface, le montant de la redevance demandée doit être calculé par référence au m</w:t>
      </w:r>
      <w:r w:rsidRPr="00F91BDD">
        <w:rPr>
          <w:rFonts w:cs="Calibri Light"/>
          <w:vertAlign w:val="superscript"/>
        </w:rPr>
        <w:t>2</w:t>
      </w:r>
      <w:r w:rsidRPr="00F91BDD">
        <w:rPr>
          <w:rFonts w:cs="Calibri Light"/>
        </w:rPr>
        <w:t xml:space="preserve"> (et non au mètre courant) et idéalement par jour d’occupation. Si l’on choisit un autre critère (semaine, mois, trimestre, semestre, période déterminée, la durée d’une foire, …) il faut veiller à ce que tout </w:t>
      </w:r>
      <w:r w:rsidRPr="00F91BDD">
        <w:rPr>
          <w:rFonts w:cs="Calibri Light"/>
        </w:rPr>
        <w:lastRenderedPageBreak/>
        <w:t>le monde soit traité de la même manière et qu’il n’y ait pas de discrimination entre les catégories de redevable.</w:t>
      </w:r>
    </w:p>
    <w:p w14:paraId="47F219BE" w14:textId="77777777" w:rsidR="00795C3E" w:rsidRDefault="00795C3E" w:rsidP="00795C3E">
      <w:pPr>
        <w:spacing w:before="120"/>
        <w:textAlignment w:val="baseline"/>
      </w:pPr>
      <w:r w:rsidRPr="00F91BDD">
        <w:rPr>
          <w:rFonts w:cs="Calibri Light"/>
        </w:rPr>
        <w:t>Cette</w:t>
      </w:r>
      <w:r w:rsidRPr="00F91BDD">
        <w:rPr>
          <w:rFonts w:cs="Calibri Light"/>
          <w:b/>
          <w:bCs/>
        </w:rPr>
        <w:t xml:space="preserve"> redevance ne s’oppose pas à l’application d’une taxe sur l’exploitation </w:t>
      </w:r>
      <w:r w:rsidRPr="00F91BDD">
        <w:rPr>
          <w:rFonts w:cs="Calibri Light"/>
          <w:bCs/>
        </w:rPr>
        <w:t xml:space="preserve">(cf. </w:t>
      </w:r>
      <w:r w:rsidRPr="00F91BDD">
        <w:t xml:space="preserve">04002/364-48 : Commerce de frites (hot-dogs, beignets, etc.) à emporter). </w:t>
      </w:r>
    </w:p>
    <w:p w14:paraId="2DD261CB" w14:textId="77777777" w:rsidR="00795C3E" w:rsidRPr="00F91BDD" w:rsidRDefault="00795C3E" w:rsidP="00795C3E">
      <w:pPr>
        <w:spacing w:before="120"/>
        <w:textAlignment w:val="baseline"/>
      </w:pPr>
    </w:p>
    <w:p w14:paraId="7AFE856E" w14:textId="3E1410B1" w:rsidR="00795C3E" w:rsidRPr="00EF06E6" w:rsidRDefault="00795C3E" w:rsidP="002958D4">
      <w:pPr>
        <w:pStyle w:val="Titre2"/>
        <w:rPr>
          <w:caps/>
        </w:rPr>
      </w:pPr>
      <w:bookmarkStart w:id="3820" w:name="_Toc40185608"/>
      <w:bookmarkStart w:id="3821" w:name="_Toc40186343"/>
      <w:bookmarkStart w:id="3822" w:name="_Toc40185609"/>
      <w:bookmarkStart w:id="3823" w:name="_Toc40186344"/>
      <w:bookmarkStart w:id="3824" w:name="_Toc40185610"/>
      <w:bookmarkStart w:id="3825" w:name="_Toc40186345"/>
      <w:bookmarkStart w:id="3826" w:name="_Toc143779231"/>
      <w:bookmarkStart w:id="3827" w:name="_Toc208420141"/>
      <w:bookmarkStart w:id="3828" w:name="_Toc225504371"/>
      <w:bookmarkStart w:id="3829" w:name="_Toc225772460"/>
      <w:bookmarkStart w:id="3830" w:name="_Toc233626327"/>
      <w:bookmarkEnd w:id="3820"/>
      <w:bookmarkEnd w:id="3821"/>
      <w:bookmarkEnd w:id="3822"/>
      <w:bookmarkEnd w:id="3823"/>
      <w:bookmarkEnd w:id="3824"/>
      <w:bookmarkEnd w:id="3825"/>
      <w:r w:rsidRPr="00EF06E6">
        <w:t>Taxes sur le patrimoine</w:t>
      </w:r>
      <w:bookmarkEnd w:id="3826"/>
      <w:bookmarkEnd w:id="3827"/>
      <w:bookmarkEnd w:id="3828"/>
      <w:bookmarkEnd w:id="3829"/>
      <w:bookmarkEnd w:id="3830"/>
    </w:p>
    <w:p w14:paraId="1151C141" w14:textId="6895EF70" w:rsidR="00795C3E" w:rsidRPr="00AC5591" w:rsidRDefault="00795C3E">
      <w:pPr>
        <w:pStyle w:val="Titre3"/>
        <w:numPr>
          <w:ilvl w:val="0"/>
          <w:numId w:val="123"/>
        </w:numPr>
        <w:rPr>
          <w:caps/>
        </w:rPr>
      </w:pPr>
      <w:bookmarkStart w:id="3831" w:name="_Toc143779232"/>
      <w:bookmarkStart w:id="3832" w:name="_Toc208420142"/>
      <w:bookmarkStart w:id="3833" w:name="_Toc225504372"/>
      <w:bookmarkStart w:id="3834" w:name="_Toc225772461"/>
      <w:bookmarkStart w:id="3835" w:name="_Toc233626328"/>
      <w:r w:rsidRPr="00EF06E6">
        <w:t>04001/367-09 : Parcelles non bâties dans le périmètre d’urbanisation non périmé</w:t>
      </w:r>
      <w:bookmarkEnd w:id="3831"/>
      <w:bookmarkEnd w:id="3832"/>
      <w:bookmarkEnd w:id="3833"/>
      <w:bookmarkEnd w:id="3834"/>
      <w:bookmarkEnd w:id="3835"/>
      <w:r w:rsidRPr="00EF06E6">
        <w:t xml:space="preserve"> </w:t>
      </w:r>
    </w:p>
    <w:p w14:paraId="086F8A7F" w14:textId="77777777" w:rsidR="00795C3E" w:rsidRPr="00F91BDD" w:rsidRDefault="00795C3E" w:rsidP="00795C3E">
      <w:pPr>
        <w:spacing w:before="120"/>
      </w:pPr>
      <w:r w:rsidRPr="00F91BDD">
        <w:t>Taxe directe</w:t>
      </w:r>
      <w:r>
        <w:t>.</w:t>
      </w:r>
    </w:p>
    <w:p w14:paraId="3A20E03C" w14:textId="77777777" w:rsidR="00795C3E" w:rsidRPr="00F91BDD" w:rsidRDefault="00795C3E" w:rsidP="00795C3E">
      <w:pPr>
        <w:spacing w:before="120"/>
        <w:textAlignment w:val="baseline"/>
        <w:rPr>
          <w:rFonts w:cs="Calibri Light"/>
        </w:rPr>
      </w:pPr>
      <w:bookmarkStart w:id="3836" w:name="_Toc516229771"/>
      <w:bookmarkStart w:id="3837" w:name="_Toc516230066"/>
      <w:bookmarkStart w:id="3838" w:name="_Toc516230361"/>
      <w:bookmarkStart w:id="3839" w:name="_Toc516230655"/>
      <w:bookmarkStart w:id="3840" w:name="_Toc516230949"/>
      <w:bookmarkStart w:id="3841" w:name="_Toc516231244"/>
      <w:bookmarkStart w:id="3842" w:name="_Toc516231539"/>
      <w:bookmarkStart w:id="3843" w:name="_Toc516231836"/>
      <w:bookmarkStart w:id="3844" w:name="_Toc516242931"/>
      <w:bookmarkStart w:id="3845" w:name="_Toc516243235"/>
      <w:bookmarkStart w:id="3846" w:name="_Toc516245174"/>
      <w:bookmarkStart w:id="3847" w:name="_Toc516473745"/>
      <w:bookmarkStart w:id="3848" w:name="_Toc516474055"/>
      <w:bookmarkEnd w:id="3836"/>
      <w:bookmarkEnd w:id="3837"/>
      <w:bookmarkEnd w:id="3838"/>
      <w:bookmarkEnd w:id="3839"/>
      <w:bookmarkEnd w:id="3840"/>
      <w:bookmarkEnd w:id="3841"/>
      <w:bookmarkEnd w:id="3842"/>
      <w:bookmarkEnd w:id="3843"/>
      <w:bookmarkEnd w:id="3844"/>
      <w:bookmarkEnd w:id="3845"/>
      <w:bookmarkEnd w:id="3846"/>
      <w:bookmarkEnd w:id="3847"/>
      <w:bookmarkEnd w:id="3848"/>
      <w:r w:rsidRPr="00F91BDD">
        <w:rPr>
          <w:rFonts w:cs="Calibri Light"/>
        </w:rPr>
        <w:t xml:space="preserve">C’est l’article D.VI.64 du Code de Développement Territorial (CoDT) qui s’applique en la matière.  </w:t>
      </w:r>
    </w:p>
    <w:p w14:paraId="1A473D2F" w14:textId="77777777" w:rsidR="00795C3E" w:rsidRPr="00F91BDD" w:rsidRDefault="00795C3E" w:rsidP="00795C3E">
      <w:pPr>
        <w:spacing w:before="120"/>
        <w:textAlignment w:val="baseline"/>
        <w:rPr>
          <w:rFonts w:cs="Calibri Light"/>
        </w:rPr>
      </w:pPr>
      <w:r w:rsidRPr="00F91BDD">
        <w:rPr>
          <w:rFonts w:cs="Calibri Light"/>
        </w:rPr>
        <w:t>Cette taxe s'applique aux parcelles non bâties comprises dans le périmètre d’urbanisation non périmé.</w:t>
      </w:r>
    </w:p>
    <w:p w14:paraId="3A02F051" w14:textId="77777777" w:rsidR="00795C3E" w:rsidRPr="00F91BDD" w:rsidRDefault="00795C3E" w:rsidP="00795C3E">
      <w:pPr>
        <w:spacing w:before="120"/>
        <w:textAlignment w:val="baseline"/>
        <w:rPr>
          <w:rFonts w:cs="Calibri Light"/>
        </w:rPr>
      </w:pPr>
      <w:r w:rsidRPr="00F91BDD">
        <w:rPr>
          <w:rFonts w:cs="Calibri Light"/>
        </w:rPr>
        <w:t>Au vu de la jurisprudence, je préconise une modulation du taux de la taxe en fonction du nombre de mètre courant de façade à front de voirie.</w:t>
      </w:r>
    </w:p>
    <w:p w14:paraId="1DCA2EC4" w14:textId="3FFDC190" w:rsidR="00795C3E" w:rsidRPr="003B1B32" w:rsidRDefault="00795C3E" w:rsidP="00795C3E">
      <w:pPr>
        <w:spacing w:before="120"/>
        <w:textAlignment w:val="baseline"/>
        <w:rPr>
          <w:rFonts w:cs="Calibri Light"/>
        </w:rPr>
      </w:pPr>
      <w:r w:rsidRPr="00F91BDD">
        <w:rPr>
          <w:rFonts w:cs="Calibri Light"/>
        </w:rPr>
        <w:t xml:space="preserve">Taux recommandé : je recommande pour l’article D.VI.64. § 1er, 1° un taux de 60,00 </w:t>
      </w:r>
      <w:r w:rsidR="00182EB5" w:rsidRPr="00F91BDD">
        <w:rPr>
          <w:rFonts w:cs="Calibri Light"/>
        </w:rPr>
        <w:t>euros maximum</w:t>
      </w:r>
      <w:r w:rsidRPr="00F91BDD">
        <w:rPr>
          <w:rFonts w:cs="Calibri Light"/>
        </w:rPr>
        <w:t xml:space="preserve"> par mètre courant de longueur de terrain à front de voirie avec un maximum de 900,00 </w:t>
      </w:r>
      <w:r w:rsidR="00182EB5" w:rsidRPr="00F91BDD">
        <w:rPr>
          <w:rFonts w:cs="Calibri Light"/>
        </w:rPr>
        <w:t>euros par</w:t>
      </w:r>
      <w:r w:rsidRPr="00F91BDD">
        <w:rPr>
          <w:rFonts w:cs="Calibri Light"/>
        </w:rPr>
        <w:t xml:space="preserve"> parcelle non bâtie (pour rappel, les taux pour les parcelles non bâties ne peuvent être supérieures à 50% du taux des terrains non bâti).</w:t>
      </w:r>
    </w:p>
    <w:p w14:paraId="7070D8C9" w14:textId="77777777" w:rsidR="00795C3E" w:rsidRPr="00F91BDD" w:rsidRDefault="00795C3E" w:rsidP="00795C3E">
      <w:pPr>
        <w:spacing w:before="120"/>
        <w:rPr>
          <w:rFonts w:cs="Calibri Light"/>
        </w:rPr>
      </w:pPr>
      <w:r w:rsidRPr="00F91BDD">
        <w:rPr>
          <w:rFonts w:cs="Calibri Light"/>
        </w:rPr>
        <w:t>Je vous invite également à être très attentifs aux changements d’affectation des parcelles non bâties.</w:t>
      </w:r>
    </w:p>
    <w:p w14:paraId="34399114" w14:textId="77777777" w:rsidR="00795C3E" w:rsidRPr="00F91BDD" w:rsidRDefault="00795C3E" w:rsidP="00795C3E">
      <w:pPr>
        <w:spacing w:before="120"/>
        <w:textAlignment w:val="baseline"/>
        <w:rPr>
          <w:rFonts w:cs="Calibri Light"/>
        </w:rPr>
      </w:pPr>
      <w:r w:rsidRPr="00F91BDD">
        <w:rPr>
          <w:rFonts w:cs="Calibri Light"/>
        </w:rPr>
        <w:t>Lorsqu'une parcelle jouxte la voirie de deux côtés, seul le plus grand côté est pris en considération pour le calcul de l'imposition.</w:t>
      </w:r>
    </w:p>
    <w:p w14:paraId="1F7F8210" w14:textId="77777777" w:rsidR="00795C3E" w:rsidRPr="00F91BDD" w:rsidRDefault="00795C3E" w:rsidP="00795C3E">
      <w:pPr>
        <w:spacing w:before="120"/>
        <w:textAlignment w:val="baseline"/>
        <w:rPr>
          <w:rFonts w:cs="Calibri Light"/>
        </w:rPr>
      </w:pPr>
      <w:r w:rsidRPr="00F91BDD">
        <w:rPr>
          <w:rFonts w:cs="Calibri Light"/>
        </w:rPr>
        <w:t>La taxe est due par le propriétaire.</w:t>
      </w:r>
    </w:p>
    <w:p w14:paraId="79AD5276" w14:textId="77777777" w:rsidR="00795C3E" w:rsidRPr="00F91BDD" w:rsidRDefault="00795C3E" w:rsidP="00795C3E">
      <w:pPr>
        <w:spacing w:before="120"/>
        <w:textAlignment w:val="baseline"/>
        <w:rPr>
          <w:rFonts w:cs="Calibri Light"/>
        </w:rPr>
      </w:pPr>
      <w:r w:rsidRPr="00F91BDD">
        <w:rPr>
          <w:rFonts w:cs="Calibri Light"/>
        </w:rPr>
        <w:t>Sont dispensés de la taxe :</w:t>
      </w:r>
    </w:p>
    <w:p w14:paraId="094170FB" w14:textId="77777777"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Les propriétaires d’une seule parcelle non bâtie à l’exclusion de tout autre bien immobilier ;</w:t>
      </w:r>
    </w:p>
    <w:p w14:paraId="2E980741" w14:textId="77777777"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Les sociétés de logement de service public.</w:t>
      </w:r>
    </w:p>
    <w:p w14:paraId="195B19B0" w14:textId="77777777" w:rsidR="00795C3E" w:rsidRPr="00F91BDD" w:rsidRDefault="00795C3E" w:rsidP="00795C3E">
      <w:pPr>
        <w:spacing w:before="120"/>
        <w:textAlignment w:val="baseline"/>
        <w:rPr>
          <w:rFonts w:cs="Calibri Light"/>
          <w:spacing w:val="-1"/>
        </w:rPr>
      </w:pPr>
      <w:r w:rsidRPr="00F91BDD">
        <w:rPr>
          <w:rFonts w:cs="Calibri Light"/>
          <w:spacing w:val="-1"/>
        </w:rPr>
        <w:t xml:space="preserve">La dispense ne vaut que durant les cinq exercices qui suivent l’acquisition du bien. Elle vaut durant les cinq exercices qui suivent l’entrée en vigueur du règlement-taxe, lorsque le bien est déjà acquis à ce moment. Ces délais sont suspendus durant tout le temps de la procédure lorsqu’un recours en annulation a été introduit à l’encontre d’un permis relatif audit bien </w:t>
      </w:r>
      <w:r w:rsidRPr="00F91BDD">
        <w:rPr>
          <w:rFonts w:cs="Calibri Light"/>
          <w:spacing w:val="-1"/>
        </w:rPr>
        <w:lastRenderedPageBreak/>
        <w:t>devant le Conseil d’État ou qu’une demande d’interruption des travaux autorisés par le permis est pendante devant une juridiction de l’ordre judiciaire.</w:t>
      </w:r>
    </w:p>
    <w:p w14:paraId="56F53CF1" w14:textId="77777777" w:rsidR="00795C3E" w:rsidRPr="00F91BDD" w:rsidRDefault="00795C3E" w:rsidP="00795C3E">
      <w:pPr>
        <w:spacing w:before="120"/>
        <w:textAlignment w:val="baseline"/>
        <w:rPr>
          <w:rFonts w:cs="Calibri Light"/>
          <w:spacing w:val="-1"/>
        </w:rPr>
      </w:pPr>
      <w:r w:rsidRPr="00F91BDD">
        <w:rPr>
          <w:rFonts w:cs="Calibri Light"/>
          <w:spacing w:val="-1"/>
        </w:rPr>
        <w:t>La taxe n’est pas applicable aux parcelles qui, en raison des dispositions de la loi sur le bail à ferme, ne peuvent être affectées actuellement à la bâtisse.</w:t>
      </w:r>
    </w:p>
    <w:p w14:paraId="192FD8BF" w14:textId="77777777" w:rsidR="00795C3E" w:rsidRPr="00F91BDD" w:rsidRDefault="00795C3E" w:rsidP="00795C3E">
      <w:pPr>
        <w:spacing w:before="120"/>
        <w:textAlignment w:val="baseline"/>
        <w:rPr>
          <w:rFonts w:cs="Calibri Light"/>
          <w:spacing w:val="-1"/>
        </w:rPr>
      </w:pPr>
      <w:r w:rsidRPr="00F91BDD">
        <w:rPr>
          <w:rFonts w:cs="Calibri Light"/>
          <w:spacing w:val="-1"/>
        </w:rPr>
        <w:t>La taxe est due dans le chef du propriétaire lotisseur à partir du 1</w:t>
      </w:r>
      <w:r w:rsidRPr="00F91BDD">
        <w:rPr>
          <w:rFonts w:cs="Calibri Light"/>
          <w:spacing w:val="-1"/>
          <w:vertAlign w:val="superscript"/>
        </w:rPr>
        <w:t>er</w:t>
      </w:r>
      <w:r w:rsidRPr="00F91BDD">
        <w:rPr>
          <w:rFonts w:cs="Calibri Light"/>
          <w:spacing w:val="-1"/>
        </w:rPr>
        <w:t xml:space="preserve"> janvier de la deuxième année qui suit celle de la délivrance du permis d'urbanisation et elle frappe les parcelles non bâties qui n'ont pas encore trouvé acquéreur à cette date. La taxe est due dans le chef de l'acquéreur des parcelles à partir du 1</w:t>
      </w:r>
      <w:r w:rsidRPr="00F91BDD">
        <w:rPr>
          <w:rFonts w:cs="Calibri Light"/>
          <w:spacing w:val="-1"/>
          <w:vertAlign w:val="superscript"/>
        </w:rPr>
        <w:t>er</w:t>
      </w:r>
      <w:r w:rsidRPr="00F91BDD">
        <w:rPr>
          <w:rFonts w:cs="Calibri Light"/>
          <w:spacing w:val="-1"/>
        </w:rPr>
        <w:t xml:space="preserve"> janvier de la deuxième année qui suit celle de leur acquisition à la condition que les parcelles acquises soient toujours non bâties à cette date.</w:t>
      </w:r>
    </w:p>
    <w:p w14:paraId="5B9AE024" w14:textId="77777777" w:rsidR="00795C3E" w:rsidRPr="00F91BDD" w:rsidRDefault="00795C3E" w:rsidP="00795C3E">
      <w:pPr>
        <w:spacing w:before="120"/>
        <w:textAlignment w:val="baseline"/>
        <w:rPr>
          <w:rFonts w:cs="Calibri Light"/>
        </w:rPr>
      </w:pPr>
      <w:r w:rsidRPr="00F91BDD">
        <w:rPr>
          <w:rFonts w:cs="Calibri Light"/>
        </w:rPr>
        <w:t>Les communes sont priées de se référer à l’article D.VI.64 du CoDT pour plus de précisions sur les conditions légales dans lesquelles cette imposition peut être levée.</w:t>
      </w:r>
    </w:p>
    <w:p w14:paraId="5F95AD3A" w14:textId="77777777" w:rsidR="00795C3E" w:rsidRPr="00F91BDD" w:rsidRDefault="00795C3E" w:rsidP="00795C3E">
      <w:pPr>
        <w:spacing w:before="120"/>
        <w:textAlignment w:val="baseline"/>
        <w:rPr>
          <w:rFonts w:cs="Calibri Light"/>
        </w:rPr>
      </w:pPr>
      <w:r w:rsidRPr="00F91BDD">
        <w:rPr>
          <w:rFonts w:cs="Calibri Light"/>
        </w:rPr>
        <w:t>De plus, au vu de la jurisprudence du Conseil d'État</w:t>
      </w:r>
      <w:r w:rsidRPr="00F91BDD">
        <w:rPr>
          <w:rFonts w:cs="Calibri Light"/>
          <w:vertAlign w:val="superscript"/>
        </w:rPr>
        <w:footnoteReference w:id="122"/>
      </w:r>
      <w:r w:rsidRPr="00F91BDD">
        <w:rPr>
          <w:rFonts w:cs="Calibri Light"/>
        </w:rPr>
        <w:t xml:space="preserve">, la taxe sur les parcelles non bâties comprises dans un lotissement non périmé et sur les terrains non bâtis situés (hors lotissement) dans une zone d'habitat, d'habitat à caractère rural ou de constructions prévues par un plan d'aménagement en vigueur et en bordure d'une voie publique suffisamment équipée, en eau et électricité, pourvue d'un revêtement solide et d'une largeur suffisante, compte tenu de la situation des lieux sont deux taxes différentes qui peuvent être votées individuellement. </w:t>
      </w:r>
    </w:p>
    <w:p w14:paraId="0C237658" w14:textId="77777777" w:rsidR="00795C3E" w:rsidRPr="003B1B32" w:rsidRDefault="00795C3E" w:rsidP="00795C3E">
      <w:pPr>
        <w:spacing w:before="120"/>
        <w:textAlignment w:val="baseline"/>
        <w:rPr>
          <w:rFonts w:cs="Calibri Light"/>
        </w:rPr>
      </w:pPr>
      <w:r w:rsidRPr="00F91BDD">
        <w:rPr>
          <w:rFonts w:cs="Calibri Light"/>
        </w:rPr>
        <w:t>Je recommande aux communes de voter un règlement spécifique à chaque objet et d'inscrire les recettes provenant de la taxe sur les parcelles non bâties à l'article budgétaire 04001/367-09 ; celles provenant de la taxe sur les terrains non bâtis au 04002/367-09, ainsi que celles provenant de la taxe sur les parcelles situées dans les centralités au 04003/367-09.</w:t>
      </w:r>
    </w:p>
    <w:p w14:paraId="477FD381" w14:textId="1355DD83" w:rsidR="00795C3E" w:rsidRPr="00EF06E6" w:rsidRDefault="00795C3E" w:rsidP="35BD9115">
      <w:pPr>
        <w:pStyle w:val="Titre3"/>
        <w:rPr>
          <w:caps/>
        </w:rPr>
      </w:pPr>
      <w:bookmarkStart w:id="3849" w:name="_Toc516739941"/>
      <w:bookmarkStart w:id="3850" w:name="_Toc516751850"/>
      <w:bookmarkStart w:id="3851" w:name="_Toc516825938"/>
      <w:bookmarkStart w:id="3852" w:name="_Toc516826496"/>
      <w:bookmarkStart w:id="3853" w:name="_Toc516837816"/>
      <w:bookmarkStart w:id="3854" w:name="_Toc516838375"/>
      <w:bookmarkStart w:id="3855" w:name="_Toc516838934"/>
      <w:bookmarkStart w:id="3856" w:name="_Toc516839494"/>
      <w:bookmarkStart w:id="3857" w:name="_Toc517173590"/>
      <w:bookmarkStart w:id="3858" w:name="_Toc517175264"/>
      <w:bookmarkStart w:id="3859" w:name="_Toc517175851"/>
      <w:bookmarkStart w:id="3860" w:name="_Toc517176439"/>
      <w:bookmarkStart w:id="3861" w:name="_Toc517337764"/>
      <w:bookmarkStart w:id="3862" w:name="_Toc517360560"/>
      <w:bookmarkStart w:id="3863" w:name="_Toc143779233"/>
      <w:bookmarkStart w:id="3864" w:name="_Toc208420143"/>
      <w:bookmarkStart w:id="3865" w:name="_Toc225504373"/>
      <w:bookmarkStart w:id="3866" w:name="_Toc225772462"/>
      <w:bookmarkStart w:id="3867" w:name="_Toc233626329"/>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r w:rsidRPr="00EF06E6">
        <w:t>04002/367-09 : Parcelles non bâties en bordure d’une voie publique suffisamment équipée</w:t>
      </w:r>
      <w:bookmarkEnd w:id="3863"/>
      <w:bookmarkEnd w:id="3864"/>
      <w:bookmarkEnd w:id="3865"/>
      <w:bookmarkEnd w:id="3866"/>
      <w:bookmarkEnd w:id="3867"/>
      <w:r w:rsidRPr="00EF06E6">
        <w:t xml:space="preserve"> </w:t>
      </w:r>
    </w:p>
    <w:p w14:paraId="0DE1C4EC" w14:textId="77777777" w:rsidR="00795C3E" w:rsidRPr="00F91BDD" w:rsidRDefault="00795C3E" w:rsidP="00795C3E">
      <w:pPr>
        <w:spacing w:before="120"/>
      </w:pPr>
      <w:r w:rsidRPr="00F91BDD">
        <w:t>Taxe directe</w:t>
      </w:r>
      <w:r>
        <w:t>.</w:t>
      </w:r>
    </w:p>
    <w:p w14:paraId="294C4908" w14:textId="77777777" w:rsidR="00795C3E" w:rsidRPr="00F91BDD" w:rsidRDefault="00795C3E" w:rsidP="00795C3E">
      <w:pPr>
        <w:spacing w:before="120"/>
        <w:textAlignment w:val="baseline"/>
      </w:pPr>
      <w:r w:rsidRPr="00F91BDD">
        <w:t>Cette taxe est régie par l’article D.VI.64, §1</w:t>
      </w:r>
      <w:r w:rsidRPr="00F91BDD">
        <w:rPr>
          <w:vertAlign w:val="superscript"/>
        </w:rPr>
        <w:t>er</w:t>
      </w:r>
      <w:r w:rsidRPr="00F91BDD">
        <w:t>, 2° et 4 du Code de Développement Territorial (CoDT).</w:t>
      </w:r>
    </w:p>
    <w:p w14:paraId="6E9A93B1" w14:textId="77777777" w:rsidR="00795C3E" w:rsidRPr="00F91BDD" w:rsidRDefault="00795C3E" w:rsidP="00795C3E">
      <w:pPr>
        <w:shd w:val="clear" w:color="auto" w:fill="FCFCFC"/>
        <w:spacing w:before="120"/>
      </w:pPr>
      <w:r w:rsidRPr="00F91BDD">
        <w:t>Cette taxe s’applique aux terrains non bâtis situés en bordure d’une voie publique suffisamment équipée en eau et électricité, pourvue d’un revêtement solide et d’une largeur suffisante, compte tenu de la situation des lieux et :</w:t>
      </w:r>
    </w:p>
    <w:p w14:paraId="3B20DAB2" w14:textId="77777777" w:rsidR="00795C3E" w:rsidRPr="00F91BDD" w:rsidRDefault="00795C3E" w:rsidP="00795C3E">
      <w:pPr>
        <w:shd w:val="clear" w:color="auto" w:fill="FCFCFC"/>
        <w:spacing w:before="120"/>
        <w:ind w:left="568" w:hanging="284"/>
      </w:pPr>
      <w:r w:rsidRPr="00F91BDD">
        <w:t>a) Soit dans une zone d’enjeu communal</w:t>
      </w:r>
      <w:r w:rsidRPr="00F91BDD">
        <w:rPr>
          <w:rStyle w:val="Appelnotedebasdep"/>
        </w:rPr>
        <w:footnoteReference w:id="123"/>
      </w:r>
      <w:r w:rsidRPr="00F91BDD">
        <w:t xml:space="preserve"> ;</w:t>
      </w:r>
    </w:p>
    <w:p w14:paraId="7672BFFE" w14:textId="77777777" w:rsidR="00795C3E" w:rsidRPr="00F91BDD" w:rsidRDefault="00795C3E" w:rsidP="00795C3E">
      <w:pPr>
        <w:shd w:val="clear" w:color="auto" w:fill="FCFCFC"/>
        <w:spacing w:before="120"/>
        <w:ind w:left="568" w:hanging="284"/>
      </w:pPr>
      <w:r w:rsidRPr="00F91BDD">
        <w:lastRenderedPageBreak/>
        <w:t>b) Soit dans une zone d’habitat ou d’habitat à caractère rural inscrite au plan de secteur ou dans le périmètre des plans visés à l’article D.II.66, §3, alinéas 1er et 2 et affectées à l’habitat ou à l’habitat à caractère rural</w:t>
      </w:r>
      <w:r w:rsidRPr="00F91BDD">
        <w:rPr>
          <w:rStyle w:val="Appelnotedebasdep"/>
        </w:rPr>
        <w:footnoteReference w:id="124"/>
      </w:r>
      <w:r w:rsidRPr="00F91BDD">
        <w:t xml:space="preserve"> ;</w:t>
      </w:r>
    </w:p>
    <w:p w14:paraId="2B3C719B" w14:textId="77777777" w:rsidR="00795C3E" w:rsidRPr="00F91BDD" w:rsidRDefault="00795C3E" w:rsidP="00795C3E">
      <w:pPr>
        <w:shd w:val="clear" w:color="auto" w:fill="FCFCFC"/>
        <w:spacing w:before="120"/>
        <w:ind w:left="568" w:hanging="284"/>
      </w:pPr>
      <w:r w:rsidRPr="00F91BDD">
        <w:t>c) Soit dans une zone d’aménagement communal concerté mise en œuvre au sens de l’article D.II.42 et affectées à l’habitat ou à l’habitat à caractère rural</w:t>
      </w:r>
      <w:r w:rsidRPr="00F91BDD">
        <w:rPr>
          <w:rStyle w:val="Appelnotedebasdep"/>
        </w:rPr>
        <w:footnoteReference w:id="125"/>
      </w:r>
      <w:r w:rsidRPr="00F91BDD">
        <w:t>.</w:t>
      </w:r>
    </w:p>
    <w:p w14:paraId="48DF0460" w14:textId="77777777" w:rsidR="00795C3E" w:rsidRPr="00F91BDD" w:rsidRDefault="00795C3E" w:rsidP="00795C3E">
      <w:pPr>
        <w:spacing w:before="120"/>
        <w:textAlignment w:val="baseline"/>
      </w:pPr>
      <w:r w:rsidRPr="00F91BDD">
        <w:t>Comme pour la taxe précédente, au vu de la jurisprudence</w:t>
      </w:r>
      <w:r w:rsidRPr="00F91BDD">
        <w:rPr>
          <w:vertAlign w:val="superscript"/>
        </w:rPr>
        <w:footnoteReference w:id="126"/>
      </w:r>
      <w:r w:rsidRPr="00F91BDD">
        <w:t>, je préconise une modulation du taux de la taxe en fonction du nombre de mètre courant de façade à front de voirie. Lorsqu'un terrain jouxte la voirie de deux côtés, seul le plus grand côté est pris en considération pour le calcul de l'imposition.</w:t>
      </w:r>
    </w:p>
    <w:p w14:paraId="2EB7B224" w14:textId="44491993" w:rsidR="00795C3E" w:rsidRPr="00F91BDD" w:rsidRDefault="00795C3E" w:rsidP="00795C3E">
      <w:pPr>
        <w:spacing w:before="120"/>
        <w:textAlignment w:val="baseline"/>
      </w:pPr>
      <w:r w:rsidRPr="00F91BDD">
        <w:t>Taux recommandé : l’alinéa 3 du §1</w:t>
      </w:r>
      <w:r w:rsidRPr="00F91BDD">
        <w:rPr>
          <w:vertAlign w:val="superscript"/>
        </w:rPr>
        <w:t>er</w:t>
      </w:r>
      <w:r w:rsidRPr="00F91BDD">
        <w:t xml:space="preserve"> de l’article D.VI.64 dispose que « Le montant de la taxe annuelle visée à l’alinéa 1</w:t>
      </w:r>
      <w:r w:rsidRPr="00F91BDD">
        <w:rPr>
          <w:vertAlign w:val="superscript"/>
        </w:rPr>
        <w:t>er</w:t>
      </w:r>
      <w:r w:rsidRPr="00F91BDD">
        <w:t xml:space="preserve">, 4° ne peut dépasser la moitié de celui fixé en application du 2° ». Aussi je recommande pour l’article D.VI.64. § 1er, 2° un taux de 120,00 </w:t>
      </w:r>
      <w:r w:rsidR="00182EB5" w:rsidRPr="00F91BDD">
        <w:t>euros)</w:t>
      </w:r>
      <w:r w:rsidRPr="00F91BDD">
        <w:t xml:space="preserve"> maximum par mètre courant de longueur de terrain à front de voirie avec un maximum de 1.800,00 </w:t>
      </w:r>
      <w:r w:rsidR="00182EB5" w:rsidRPr="00F91BDD">
        <w:t>euros par</w:t>
      </w:r>
      <w:r w:rsidRPr="00F91BDD">
        <w:t xml:space="preserve"> terrain non bâti.</w:t>
      </w:r>
    </w:p>
    <w:p w14:paraId="5839CBB2" w14:textId="77777777" w:rsidR="00795C3E" w:rsidRPr="00F91BDD" w:rsidRDefault="00795C3E" w:rsidP="00795C3E">
      <w:pPr>
        <w:spacing w:before="120"/>
        <w:textAlignment w:val="baseline"/>
      </w:pPr>
      <w:r w:rsidRPr="00F91BDD">
        <w:t>La taxe est due par le propriétaire.</w:t>
      </w:r>
    </w:p>
    <w:p w14:paraId="3C48437B" w14:textId="77777777" w:rsidR="00795C3E" w:rsidRPr="00F91BDD" w:rsidRDefault="00795C3E" w:rsidP="00795C3E">
      <w:pPr>
        <w:spacing w:before="120"/>
        <w:textAlignment w:val="baseline"/>
      </w:pPr>
      <w:r w:rsidRPr="00F91BDD">
        <w:t>Conformément au §2, 1° et 3° de l’article D.VI.64 susvisé : Sont dispensés de la taxe :</w:t>
      </w:r>
    </w:p>
    <w:p w14:paraId="3B519B07" w14:textId="77777777" w:rsidR="00795C3E" w:rsidRPr="00F91BDD" w:rsidRDefault="00795C3E">
      <w:pPr>
        <w:numPr>
          <w:ilvl w:val="0"/>
          <w:numId w:val="19"/>
        </w:numPr>
        <w:spacing w:before="120" w:after="120" w:line="240" w:lineRule="auto"/>
        <w:textAlignment w:val="baseline"/>
      </w:pPr>
      <w:r w:rsidRPr="00F91BDD">
        <w:t xml:space="preserve"> 1° Les propriétaires d’un seul terrain non bâti à l’exclusion de tout autre bien immobilier ;</w:t>
      </w:r>
    </w:p>
    <w:p w14:paraId="44B5311C" w14:textId="77777777" w:rsidR="00795C3E" w:rsidRPr="00F91BDD" w:rsidRDefault="00795C3E">
      <w:pPr>
        <w:numPr>
          <w:ilvl w:val="0"/>
          <w:numId w:val="19"/>
        </w:numPr>
        <w:spacing w:before="120" w:after="120" w:line="240" w:lineRule="auto"/>
        <w:textAlignment w:val="baseline"/>
      </w:pPr>
      <w:r w:rsidRPr="00F91BDD">
        <w:t xml:space="preserve"> 3°  Les sociétés de logement de service public.</w:t>
      </w:r>
    </w:p>
    <w:p w14:paraId="7629E9A4" w14:textId="77777777" w:rsidR="00795C3E" w:rsidRPr="00F91BDD" w:rsidRDefault="00795C3E" w:rsidP="00795C3E">
      <w:pPr>
        <w:spacing w:before="120"/>
        <w:textAlignment w:val="baseline"/>
      </w:pPr>
      <w:r w:rsidRPr="00F91BDD">
        <w:t>La dispense prévue au point 1° ne vaut que durant les cinq exercices qui suivent l’acquisition du bien. Elle vaut durant les cinq exercices qui suivent l’entrée en vigueur du règlement-taxe, lorsque le bien est déjà acquis à ce moment. Ces délais sont suspendus durant tout le temps de la procédure lorsqu’un recours en annulation a été introduit à l’encontre d’un permis relatif audit bien devant le Conseil d’État ou qu’une demande d’interruption des travaux autorisés par le permis est pendante devant une juridiction de l’ordre judiciaire.</w:t>
      </w:r>
    </w:p>
    <w:p w14:paraId="40F53D0D" w14:textId="77777777" w:rsidR="00795C3E" w:rsidRPr="00F91BDD" w:rsidRDefault="00795C3E" w:rsidP="00795C3E">
      <w:pPr>
        <w:spacing w:before="120"/>
        <w:textAlignment w:val="baseline"/>
      </w:pPr>
      <w:r w:rsidRPr="00F91BDD">
        <w:t>Suivant le §3, alinéa 2 de l’article dont objet, la taxe n’est pas applicable aux terrains sur lesquels il n’est pas permis de bâtir en vertu d’une décision de l’autorité ou lorsqu’il n’est pas possible de le faire ou lorsque le ou les terrains sont effectivement utilisés professionnellement à des fins agricoles ou horticoles.</w:t>
      </w:r>
    </w:p>
    <w:p w14:paraId="1B33FAF6" w14:textId="77777777" w:rsidR="00795C3E" w:rsidRPr="00F91BDD" w:rsidRDefault="00795C3E" w:rsidP="00795C3E">
      <w:pPr>
        <w:spacing w:before="120"/>
        <w:textAlignment w:val="baseline"/>
      </w:pPr>
      <w:r w:rsidRPr="00F91BDD">
        <w:t>Au vu de la jurisprudence du Conseil d'Etat,</w:t>
      </w:r>
      <w:r w:rsidRPr="00F91BDD">
        <w:rPr>
          <w:rStyle w:val="Appelnotedebasdep"/>
        </w:rPr>
        <w:footnoteReference w:id="127"/>
      </w:r>
      <w:r w:rsidRPr="00F91BDD">
        <w:t xml:space="preserve"> la taxe sur les parcelles non bâties comprises dans un lotissement non périmé et sur les terrains non bâtis situés (hors lotissement) dans une zone d'habitat, d'habitat à caractère rural ou de constructions prévues par un plan d'aménagement en vigueur et en bordure d'une voie publique suffisamment équipée, en eau </w:t>
      </w:r>
      <w:r w:rsidRPr="00F91BDD">
        <w:lastRenderedPageBreak/>
        <w:t xml:space="preserve">et électricité, pourvue d'un revêtement solide et d'une largeur suffisante, compte tenu de la situation des lieux sont deux taxes différentes qui peuvent être votées individuellement. </w:t>
      </w:r>
    </w:p>
    <w:p w14:paraId="342F5DAD" w14:textId="77777777" w:rsidR="00795C3E" w:rsidRPr="00F91BDD" w:rsidRDefault="00795C3E" w:rsidP="00795C3E">
      <w:pPr>
        <w:spacing w:before="120"/>
        <w:textAlignment w:val="baseline"/>
      </w:pPr>
      <w:r w:rsidRPr="00F91BDD">
        <w:t>Je recommande aux communes de voter un règlement spécifique à chaque objet et d'inscrire les recettes provenant de la taxe sur les parcelles non bâties à l'article budgétaire 04001/367-09</w:t>
      </w:r>
      <w:r w:rsidRPr="00F91BDD">
        <w:rPr>
          <w:rFonts w:cs="Calibri Light"/>
        </w:rPr>
        <w:t> ; celles provenant de la taxe sur les terrains non bâtis au 04002/367-09, ainsi que celles provenant de la taxe sur les parcelles situées dans les centralités au 04003/367-09.</w:t>
      </w:r>
    </w:p>
    <w:p w14:paraId="18297311" w14:textId="77777777" w:rsidR="00795C3E" w:rsidRPr="00F91BDD" w:rsidRDefault="00795C3E" w:rsidP="00795C3E">
      <w:pPr>
        <w:spacing w:before="120"/>
        <w:textAlignment w:val="baseline"/>
      </w:pPr>
      <w:r w:rsidRPr="00F91BDD">
        <w:t>Les communes sont priées de se référer à l’article D.VI.64 du CoDT pour plus de précisions sur les conditions légales dans lesquelles cette imposition peut être levée.</w:t>
      </w:r>
    </w:p>
    <w:p w14:paraId="09301604" w14:textId="6AD1B2BC" w:rsidR="00795C3E" w:rsidRPr="00EF06E6" w:rsidRDefault="00795C3E" w:rsidP="35BD9115">
      <w:pPr>
        <w:pStyle w:val="Titre3"/>
        <w:rPr>
          <w:caps/>
        </w:rPr>
      </w:pPr>
      <w:bookmarkStart w:id="3868" w:name="_Toc208420144"/>
      <w:bookmarkStart w:id="3869" w:name="_Toc225504374"/>
      <w:bookmarkStart w:id="3870" w:name="_Toc225772463"/>
      <w:bookmarkStart w:id="3871" w:name="_Toc233626330"/>
      <w:r w:rsidRPr="00EF06E6">
        <w:t>04003/367-09 : Terrains non bâtis dans les centralités</w:t>
      </w:r>
      <w:bookmarkStart w:id="3872" w:name="_Hlk128466155"/>
      <w:bookmarkEnd w:id="3868"/>
      <w:bookmarkEnd w:id="3869"/>
      <w:bookmarkEnd w:id="3870"/>
      <w:bookmarkEnd w:id="3871"/>
      <w:r w:rsidRPr="00EF06E6">
        <w:t xml:space="preserve"> </w:t>
      </w:r>
    </w:p>
    <w:p w14:paraId="14C94BD5" w14:textId="77777777" w:rsidR="00795C3E" w:rsidRPr="00F91BDD" w:rsidRDefault="00795C3E" w:rsidP="00795C3E">
      <w:pPr>
        <w:spacing w:before="120"/>
        <w:textAlignment w:val="baseline"/>
        <w:rPr>
          <w:rFonts w:cs="Calibri Light"/>
        </w:rPr>
      </w:pPr>
      <w:r w:rsidRPr="00F91BDD">
        <w:rPr>
          <w:rFonts w:cs="Calibri Light"/>
        </w:rPr>
        <w:t>Taxe directe</w:t>
      </w:r>
      <w:r>
        <w:rPr>
          <w:rFonts w:cs="Calibri Light"/>
        </w:rPr>
        <w:t>.</w:t>
      </w:r>
    </w:p>
    <w:p w14:paraId="096EDC96" w14:textId="77777777" w:rsidR="00795C3E" w:rsidRPr="00F91BDD" w:rsidRDefault="00795C3E" w:rsidP="00795C3E">
      <w:pPr>
        <w:spacing w:before="120"/>
        <w:textAlignment w:val="baseline"/>
        <w:rPr>
          <w:rFonts w:cs="Calibri Light"/>
        </w:rPr>
      </w:pPr>
      <w:r w:rsidRPr="00F91BDD">
        <w:rPr>
          <w:rFonts w:cs="Calibri Light"/>
        </w:rPr>
        <w:t>Cette taxe est régie par l’article D.VI.64, §1er, 5 du Code de Développement Territorial (CoDT).</w:t>
      </w:r>
    </w:p>
    <w:p w14:paraId="7D110E6D" w14:textId="77777777" w:rsidR="00795C3E" w:rsidRPr="00F91BDD" w:rsidRDefault="00795C3E" w:rsidP="00795C3E">
      <w:pPr>
        <w:spacing w:before="120"/>
        <w:textAlignment w:val="baseline"/>
      </w:pPr>
      <w:r w:rsidRPr="00F91BDD">
        <w:rPr>
          <w:rFonts w:cs="Calibri Light"/>
        </w:rPr>
        <w:t>Cette taxe s’applique aux terrains non bâtis situés « </w:t>
      </w:r>
      <w:r w:rsidRPr="00F91BDD">
        <w:t xml:space="preserve">dans une centralité établie suite à l'adoption d'un schéma pluricommunal ou d'un schéma communal, en ce compris dans des hypothèses non visées au 4° ». </w:t>
      </w:r>
    </w:p>
    <w:p w14:paraId="126364AF" w14:textId="77777777" w:rsidR="00795C3E" w:rsidRPr="00F91BDD" w:rsidRDefault="00795C3E" w:rsidP="00795C3E">
      <w:pPr>
        <w:spacing w:before="120"/>
        <w:textAlignment w:val="baseline"/>
      </w:pPr>
      <w:r w:rsidRPr="00F91BDD">
        <w:t>Comme pour la taxe précédente, au vu de la jurisprudence</w:t>
      </w:r>
      <w:r w:rsidRPr="00F91BDD">
        <w:rPr>
          <w:vertAlign w:val="superscript"/>
        </w:rPr>
        <w:footnoteReference w:id="128"/>
      </w:r>
      <w:r w:rsidRPr="00F91BDD">
        <w:t>, je préconise une modulation du taux de la taxe en fonction du nombre de mètre courant de façade à front de voirie. Lorsqu'un terrain jouxte la voirie de deux côtés, seul le plus grand côté est pris en considération pour le calcul de l'imposition.</w:t>
      </w:r>
    </w:p>
    <w:p w14:paraId="0A1A556F" w14:textId="4FE41036" w:rsidR="00795C3E" w:rsidRPr="00F91BDD" w:rsidRDefault="00795C3E" w:rsidP="00795C3E">
      <w:pPr>
        <w:spacing w:before="120"/>
        <w:textAlignment w:val="baseline"/>
      </w:pPr>
      <w:r w:rsidRPr="00F91BDD">
        <w:t xml:space="preserve">Taux recommandé : je recommande pour l’article D.VI.64. § 1er, 5° un taux de 120,00 euros ) maximum par mètre courant de longueur de terrain à front de voirie avec un maximum de 1.800,00 </w:t>
      </w:r>
      <w:r w:rsidR="0088454D" w:rsidRPr="00F91BDD">
        <w:t>euros par</w:t>
      </w:r>
      <w:r w:rsidRPr="00F91BDD">
        <w:t xml:space="preserve"> terrain non bâti.</w:t>
      </w:r>
    </w:p>
    <w:p w14:paraId="2F4C3E38" w14:textId="77777777" w:rsidR="00795C3E" w:rsidRPr="00F91BDD" w:rsidRDefault="00795C3E" w:rsidP="00795C3E">
      <w:pPr>
        <w:spacing w:before="120"/>
        <w:textAlignment w:val="baseline"/>
      </w:pPr>
      <w:r w:rsidRPr="00F91BDD">
        <w:t>La taxe est due par le propriétaire.</w:t>
      </w:r>
    </w:p>
    <w:p w14:paraId="1AFBBB58" w14:textId="77777777" w:rsidR="00795C3E" w:rsidRPr="00F91BDD" w:rsidRDefault="00795C3E" w:rsidP="00795C3E">
      <w:pPr>
        <w:spacing w:before="120"/>
        <w:textAlignment w:val="baseline"/>
      </w:pPr>
      <w:r w:rsidRPr="00F91BDD">
        <w:t>Les sociétés de logement de service public sont dispensées de la taxe.</w:t>
      </w:r>
    </w:p>
    <w:p w14:paraId="464EE002" w14:textId="77777777" w:rsidR="00795C3E" w:rsidRPr="00F91BDD" w:rsidRDefault="00795C3E" w:rsidP="00795C3E">
      <w:pPr>
        <w:spacing w:before="120"/>
        <w:textAlignment w:val="baseline"/>
      </w:pPr>
      <w:r w:rsidRPr="00F91BDD">
        <w:t>Au vu de la jurisprudence du Conseil d'Etat,</w:t>
      </w:r>
      <w:r w:rsidRPr="00F91BDD">
        <w:rPr>
          <w:rStyle w:val="Appelnotedebasdep"/>
        </w:rPr>
        <w:footnoteReference w:id="129"/>
      </w:r>
      <w:r w:rsidRPr="00F91BDD">
        <w:t xml:space="preserve"> la taxe sur les parcelles non bâties comprises dans un lotissement non périmé et sur les terrains non bâtis situés (hors lotissement) dans une zone d'habitat, d'habitat à caractère rural ou de constructions prévues par un plan d'aménagement en vigueur et en bordure d'une voie publique suffisamment équipée, en eau et électricité, pourvue d'un revêtement solide et d'une largeur suffisante, compte tenu de la situation des lieux sont deux taxes différentes qui peuvent être votées individuellement. </w:t>
      </w:r>
    </w:p>
    <w:p w14:paraId="5AF479AD" w14:textId="77777777" w:rsidR="00795C3E" w:rsidRPr="00F91BDD" w:rsidRDefault="00795C3E" w:rsidP="00795C3E">
      <w:pPr>
        <w:spacing w:before="120"/>
        <w:textAlignment w:val="baseline"/>
        <w:rPr>
          <w:rFonts w:cs="Calibri Light"/>
        </w:rPr>
      </w:pPr>
      <w:r w:rsidRPr="00F91BDD">
        <w:rPr>
          <w:i/>
          <w:iCs/>
        </w:rPr>
        <w:t>Mutatis mutandis</w:t>
      </w:r>
      <w:r w:rsidRPr="00F91BDD">
        <w:t>, je recommande aux communes de voter un règlement spécifique à chaque objet et d'inscrire les recettes provenant de la taxe sur les parcelles non bâties à l'article budgétaire 04001/367-09</w:t>
      </w:r>
      <w:r w:rsidRPr="00F91BDD">
        <w:rPr>
          <w:rFonts w:cs="Calibri Light"/>
        </w:rPr>
        <w:t xml:space="preserve"> ; celles provenant de la taxe sur les terrains non bâtis au </w:t>
      </w:r>
      <w:r w:rsidRPr="00F91BDD">
        <w:rPr>
          <w:rFonts w:cs="Calibri Light"/>
        </w:rPr>
        <w:lastRenderedPageBreak/>
        <w:t>04002/367-09, ainsi que celles provenant de la taxe sur les parcelles situées dans les centralités au 04003/367-09.</w:t>
      </w:r>
    </w:p>
    <w:p w14:paraId="6FECD097" w14:textId="77777777" w:rsidR="00795C3E" w:rsidRPr="00F91BDD" w:rsidRDefault="00795C3E" w:rsidP="00795C3E">
      <w:pPr>
        <w:spacing w:before="120"/>
        <w:textAlignment w:val="baseline"/>
      </w:pPr>
      <w:r w:rsidRPr="00F91BDD">
        <w:t>Les communes sont priées de se référer à l’article D.VI.64 du CoDT pour plus de précisions sur les conditions légales dans lesquelles cette imposition peut être levée.</w:t>
      </w:r>
      <w:bookmarkStart w:id="3873" w:name="_Hlk137650506"/>
    </w:p>
    <w:p w14:paraId="6B0B1C86" w14:textId="4E5C4E86" w:rsidR="00795C3E" w:rsidRPr="00EF06E6" w:rsidRDefault="00795C3E" w:rsidP="35BD9115">
      <w:pPr>
        <w:pStyle w:val="Titre3"/>
        <w:rPr>
          <w:caps/>
        </w:rPr>
      </w:pPr>
      <w:bookmarkStart w:id="3874" w:name="_Toc6415836"/>
      <w:bookmarkStart w:id="3875" w:name="_Toc6416145"/>
      <w:bookmarkStart w:id="3876" w:name="_Toc6995750"/>
      <w:bookmarkStart w:id="3877" w:name="_Toc6996054"/>
      <w:bookmarkStart w:id="3878" w:name="_Toc6996349"/>
      <w:bookmarkStart w:id="3879" w:name="_Toc6997834"/>
      <w:bookmarkStart w:id="3880" w:name="_Toc7016610"/>
      <w:bookmarkStart w:id="3881" w:name="_Toc7020778"/>
      <w:bookmarkStart w:id="3882" w:name="_Toc7094850"/>
      <w:bookmarkStart w:id="3883" w:name="_Toc8121887"/>
      <w:bookmarkStart w:id="3884" w:name="_Toc8129828"/>
      <w:bookmarkStart w:id="3885" w:name="_Toc516739943"/>
      <w:bookmarkStart w:id="3886" w:name="_Toc516751852"/>
      <w:bookmarkStart w:id="3887" w:name="_Toc516825940"/>
      <w:bookmarkStart w:id="3888" w:name="_Toc516826498"/>
      <w:bookmarkStart w:id="3889" w:name="_Toc516837818"/>
      <w:bookmarkStart w:id="3890" w:name="_Toc516838377"/>
      <w:bookmarkStart w:id="3891" w:name="_Toc516838936"/>
      <w:bookmarkStart w:id="3892" w:name="_Toc516839496"/>
      <w:bookmarkStart w:id="3893" w:name="_Toc517173592"/>
      <w:bookmarkStart w:id="3894" w:name="_Toc517175266"/>
      <w:bookmarkStart w:id="3895" w:name="_Toc517175853"/>
      <w:bookmarkStart w:id="3896" w:name="_Toc517176441"/>
      <w:bookmarkStart w:id="3897" w:name="_Toc517337766"/>
      <w:bookmarkStart w:id="3898" w:name="_Toc517360562"/>
      <w:bookmarkStart w:id="3899" w:name="_Toc516245177"/>
      <w:bookmarkStart w:id="3900" w:name="_Toc516473748"/>
      <w:bookmarkStart w:id="3901" w:name="_Toc516474058"/>
      <w:bookmarkStart w:id="3902" w:name="_Toc516474366"/>
      <w:bookmarkStart w:id="3903" w:name="_Toc516474674"/>
      <w:bookmarkStart w:id="3904" w:name="_Toc516475006"/>
      <w:bookmarkStart w:id="3905" w:name="_Toc516479093"/>
      <w:bookmarkStart w:id="3906" w:name="_Toc516479504"/>
      <w:bookmarkStart w:id="3907" w:name="_Toc516479821"/>
      <w:bookmarkStart w:id="3908" w:name="_Toc516480143"/>
      <w:bookmarkStart w:id="3909" w:name="_Toc516480457"/>
      <w:bookmarkStart w:id="3910" w:name="_Toc516480771"/>
      <w:bookmarkStart w:id="3911" w:name="_Toc516481085"/>
      <w:bookmarkStart w:id="3912" w:name="_Toc516481399"/>
      <w:bookmarkStart w:id="3913" w:name="_Toc516481713"/>
      <w:bookmarkStart w:id="3914" w:name="_Toc516482027"/>
      <w:bookmarkStart w:id="3915" w:name="_Toc516482341"/>
      <w:bookmarkStart w:id="3916" w:name="_Toc516482655"/>
      <w:bookmarkStart w:id="3917" w:name="_Toc516739944"/>
      <w:bookmarkStart w:id="3918" w:name="_Toc516751853"/>
      <w:bookmarkStart w:id="3919" w:name="_Toc516825941"/>
      <w:bookmarkStart w:id="3920" w:name="_Toc516826499"/>
      <w:bookmarkStart w:id="3921" w:name="_Toc516837819"/>
      <w:bookmarkStart w:id="3922" w:name="_Toc516838378"/>
      <w:bookmarkStart w:id="3923" w:name="_Toc516838937"/>
      <w:bookmarkStart w:id="3924" w:name="_Toc516839497"/>
      <w:bookmarkStart w:id="3925" w:name="_Toc517173593"/>
      <w:bookmarkStart w:id="3926" w:name="_Toc517175267"/>
      <w:bookmarkStart w:id="3927" w:name="_Toc517175854"/>
      <w:bookmarkStart w:id="3928" w:name="_Toc517176442"/>
      <w:bookmarkStart w:id="3929" w:name="_Toc517337767"/>
      <w:bookmarkStart w:id="3930" w:name="_Toc517360563"/>
      <w:bookmarkStart w:id="3931" w:name="_Toc143779235"/>
      <w:bookmarkStart w:id="3932" w:name="_Toc208420145"/>
      <w:bookmarkStart w:id="3933" w:name="_Toc225504375"/>
      <w:bookmarkStart w:id="3934" w:name="_Toc225772464"/>
      <w:bookmarkStart w:id="3935" w:name="_Toc23362633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r w:rsidRPr="00EF06E6">
        <w:t>040/367-11 : Absence d’emplacement de parcage</w:t>
      </w:r>
      <w:bookmarkEnd w:id="3931"/>
      <w:bookmarkEnd w:id="3932"/>
      <w:bookmarkEnd w:id="3933"/>
      <w:bookmarkEnd w:id="3934"/>
      <w:bookmarkEnd w:id="3935"/>
      <w:r w:rsidRPr="00EF06E6">
        <w:t xml:space="preserve"> </w:t>
      </w:r>
    </w:p>
    <w:p w14:paraId="245241A2" w14:textId="77777777" w:rsidR="00795C3E" w:rsidRPr="00F91BDD" w:rsidRDefault="00795C3E" w:rsidP="00795C3E">
      <w:pPr>
        <w:tabs>
          <w:tab w:val="left" w:leader="dot" w:pos="6840"/>
        </w:tabs>
        <w:spacing w:before="120"/>
        <w:textAlignment w:val="baseline"/>
        <w:rPr>
          <w:rFonts w:cs="Calibri Light"/>
        </w:rPr>
      </w:pPr>
      <w:r w:rsidRPr="00F91BDD">
        <w:rPr>
          <w:rFonts w:cs="Calibri Light"/>
        </w:rPr>
        <w:t>Taxe indirecte</w:t>
      </w:r>
      <w:r>
        <w:rPr>
          <w:rFonts w:cs="Calibri Light"/>
        </w:rPr>
        <w:t>.</w:t>
      </w:r>
    </w:p>
    <w:p w14:paraId="02ACAE8F" w14:textId="1B208BFC" w:rsidR="00795C3E" w:rsidRPr="00F91BDD" w:rsidRDefault="00795C3E" w:rsidP="00795C3E">
      <w:pPr>
        <w:tabs>
          <w:tab w:val="left" w:leader="dot" w:pos="6840"/>
        </w:tabs>
        <w:spacing w:before="120"/>
        <w:textAlignment w:val="baseline"/>
        <w:rPr>
          <w:rFonts w:cs="Calibri Light"/>
        </w:rPr>
      </w:pPr>
      <w:r w:rsidRPr="00F91BDD">
        <w:rPr>
          <w:rFonts w:cs="Calibri Light"/>
        </w:rPr>
        <w:t xml:space="preserve">Taux maximum recommandé : 6.000,00 </w:t>
      </w:r>
      <w:r w:rsidR="0088454D" w:rsidRPr="00F91BDD">
        <w:rPr>
          <w:rFonts w:cs="Calibri Light"/>
        </w:rPr>
        <w:t>euros par</w:t>
      </w:r>
      <w:r w:rsidRPr="00F91BDD">
        <w:rPr>
          <w:rFonts w:cs="Calibri Light"/>
        </w:rPr>
        <w:t xml:space="preserve"> emplacement de parcage manquant au vu du nombre d'emplacements exigés dans le permis d'urbanisme/d'urbanisation/unique. La taxe n'est due qu'une seule fois, au moment de la construction de l'immeuble. Elle est due par le promoteur.</w:t>
      </w:r>
    </w:p>
    <w:p w14:paraId="35B15B19" w14:textId="77777777" w:rsidR="00795C3E" w:rsidRPr="00F91BDD" w:rsidRDefault="59020915" w:rsidP="00795C3E">
      <w:pPr>
        <w:tabs>
          <w:tab w:val="left" w:leader="dot" w:pos="6840"/>
        </w:tabs>
        <w:spacing w:before="120"/>
        <w:textAlignment w:val="baseline"/>
        <w:rPr>
          <w:rFonts w:cs="Calibri Light"/>
        </w:rPr>
      </w:pPr>
      <w:r w:rsidRPr="00F91BDD">
        <w:rPr>
          <w:rFonts w:cs="Calibri Light"/>
          <w:b/>
          <w:bCs/>
        </w:rPr>
        <w:t>Il est possible</w:t>
      </w:r>
      <w:r w:rsidRPr="00F91BDD">
        <w:rPr>
          <w:rFonts w:cs="Calibri Light"/>
        </w:rPr>
        <w:t xml:space="preserve"> d’exonérer de la taxe les logements qui ont été réhabilités suite à l’AGW du 21 octobre 2021</w:t>
      </w:r>
      <w:r w:rsidR="00795C3E" w:rsidRPr="00F91BDD">
        <w:rPr>
          <w:rStyle w:val="Appelnotedebasdep"/>
          <w:rFonts w:cs="Calibri Light"/>
        </w:rPr>
        <w:footnoteReference w:id="130"/>
      </w:r>
      <w:r w:rsidRPr="00F91BDD">
        <w:rPr>
          <w:rFonts w:cs="Calibri Light"/>
        </w:rPr>
        <w:t xml:space="preserve"> portant approbation du règlement visant à octroyer des aides sous forme de crédits et subventions, par le Fonds du logement des familles nombreuses de Wallonie, en vue d’effectuer des travaux de réhabilitation et de restructuration dans les étages inoccupés des rez-de-chaussée commerciaux pris en gestion ou en location par un opérateur. Une telle exonération se justifie comme une aide supplémentaire à la création de logements dans de tels immeubles.</w:t>
      </w:r>
    </w:p>
    <w:p w14:paraId="43079A8E" w14:textId="72CC4EEE" w:rsidR="29F78F93" w:rsidRPr="007B0240" w:rsidRDefault="29F78F93" w:rsidP="007B0240">
      <w:pPr>
        <w:spacing w:after="0"/>
        <w:rPr>
          <w:rFonts w:ascii="Aptos" w:eastAsia="Aptos" w:hAnsi="Aptos" w:cs="Aptos"/>
        </w:rPr>
      </w:pPr>
      <w:r w:rsidRPr="0088454D">
        <w:rPr>
          <w:rFonts w:cs="Calibri Light"/>
        </w:rPr>
        <w:t xml:space="preserve">Dans son jugement du 24 octobre 2024 le juge du tribunal de 1ère instance de Liège a considéré que </w:t>
      </w:r>
      <w:r w:rsidR="56692191" w:rsidRPr="0088454D">
        <w:rPr>
          <w:rFonts w:cs="Calibri Light"/>
        </w:rPr>
        <w:t>l’</w:t>
      </w:r>
      <w:r w:rsidR="45E2C80E" w:rsidRPr="0088454D">
        <w:rPr>
          <w:rFonts w:cs="Calibri Light"/>
        </w:rPr>
        <w:t>absence d'emplacements de parking a été générée par le comportement de la ville elle-même puisque ses services ont refusé d'accorder un permis d'urbanisme prévoyant deux garages en lieu et place du garage existant, qu'ils ont refusé de conserver dans un souci d'alignement avec les autres maisons. La ville a donc placé les contribuables dans l'impossibilité absolue d'échapper à la taxe litigieuse, ce qui constitue un cas de force majeure, qui doit les libérer du paiement de cette taxe.</w:t>
      </w:r>
      <w:r w:rsidRPr="007B0240">
        <w:rPr>
          <w:rStyle w:val="Appelnotedebasdep"/>
          <w:rFonts w:ascii="Aptos" w:eastAsia="Aptos" w:hAnsi="Aptos" w:cs="Aptos"/>
        </w:rPr>
        <w:footnoteReference w:id="131"/>
      </w:r>
    </w:p>
    <w:p w14:paraId="70009BEF" w14:textId="77777777" w:rsidR="00795C3E" w:rsidRPr="00F91BDD" w:rsidRDefault="00795C3E" w:rsidP="00795C3E">
      <w:pPr>
        <w:tabs>
          <w:tab w:val="left" w:leader="dot" w:pos="6840"/>
        </w:tabs>
        <w:spacing w:before="120"/>
        <w:textAlignment w:val="baseline"/>
        <w:rPr>
          <w:rFonts w:cs="Calibri Light"/>
        </w:rPr>
      </w:pPr>
      <w:r w:rsidRPr="00F91BDD">
        <w:rPr>
          <w:rFonts w:cs="Calibri Light"/>
          <w:b/>
          <w:bCs/>
          <w:u w:val="single"/>
        </w:rPr>
        <w:t>Remarque</w:t>
      </w:r>
      <w:r w:rsidRPr="00F91BDD">
        <w:rPr>
          <w:rFonts w:cs="Calibri Light"/>
          <w:b/>
          <w:bCs/>
        </w:rPr>
        <w:t xml:space="preserve"> : </w:t>
      </w:r>
      <w:r w:rsidRPr="00F91BDD">
        <w:rPr>
          <w:rFonts w:cs="Calibri Light"/>
        </w:rPr>
        <w:t>Concernant une exonération éventuelle en faveur des bâtiments publics, j’attire fortement votre attention sur la jurisprudence</w:t>
      </w:r>
      <w:r w:rsidRPr="00F91BDD">
        <w:t xml:space="preserve"> </w:t>
      </w:r>
      <w:r w:rsidRPr="00F91BDD">
        <w:rPr>
          <w:rFonts w:cs="Calibri Light"/>
        </w:rPr>
        <w:t xml:space="preserve">qui considère qu’il est discriminatoire de faire une différence de traitement entre les logements privés et publics. La jurisprudence rappelle ainsi que, selon le principe d'égalité des citoyens devant l'impôt, un régime fiscal différent peut être établi à l'égard de certaines catégories de contribuables à condition que ce régime soit objectivement et raisonnablement justifié. </w:t>
      </w:r>
    </w:p>
    <w:p w14:paraId="626B0619" w14:textId="77777777" w:rsidR="00795C3E" w:rsidRPr="00F91BDD" w:rsidRDefault="00795C3E" w:rsidP="00795C3E">
      <w:pPr>
        <w:tabs>
          <w:tab w:val="left" w:leader="dot" w:pos="6840"/>
        </w:tabs>
        <w:spacing w:before="120"/>
        <w:textAlignment w:val="baseline"/>
        <w:rPr>
          <w:rFonts w:cs="Calibri Light"/>
        </w:rPr>
      </w:pPr>
      <w:r w:rsidRPr="00F91BDD">
        <w:rPr>
          <w:rFonts w:cs="Calibri Light"/>
        </w:rPr>
        <w:t>L'existence d'une pareille justification doit s'apprécier par rapport au but et aux effets de la taxe établie et aux liens de proportionnalité raisonnable entre les moyens utilisés et le but poursuivi. Il est donc primordial de justifier en suffisance les raisons justifiant un traitement différencié.</w:t>
      </w:r>
    </w:p>
    <w:p w14:paraId="3ED5EB09" w14:textId="77777777" w:rsidR="00795C3E" w:rsidRPr="005A274A" w:rsidRDefault="00795C3E" w:rsidP="00795C3E">
      <w:pPr>
        <w:tabs>
          <w:tab w:val="left" w:leader="dot" w:pos="6840"/>
        </w:tabs>
        <w:spacing w:before="120"/>
        <w:textAlignment w:val="baseline"/>
        <w:rPr>
          <w:rFonts w:cs="Calibri Light"/>
        </w:rPr>
      </w:pPr>
      <w:r w:rsidRPr="00F91BDD">
        <w:rPr>
          <w:rFonts w:cs="Calibri Light"/>
        </w:rPr>
        <w:lastRenderedPageBreak/>
        <w:t>Pour le surplus je vous renvoie au point VI.4.6 « Exonération en faveur des bâtiments publics ».</w:t>
      </w:r>
    </w:p>
    <w:p w14:paraId="2FA69F13" w14:textId="04E3D6D9" w:rsidR="00795C3E" w:rsidRPr="00EF06E6" w:rsidRDefault="00795C3E" w:rsidP="35BD9115">
      <w:pPr>
        <w:pStyle w:val="Titre3"/>
        <w:rPr>
          <w:caps/>
        </w:rPr>
      </w:pPr>
      <w:bookmarkStart w:id="3936" w:name="_Toc516739946"/>
      <w:bookmarkStart w:id="3937" w:name="_Toc516751855"/>
      <w:bookmarkStart w:id="3938" w:name="_Toc516825943"/>
      <w:bookmarkStart w:id="3939" w:name="_Toc516826501"/>
      <w:bookmarkStart w:id="3940" w:name="_Toc516837821"/>
      <w:bookmarkStart w:id="3941" w:name="_Toc516838380"/>
      <w:bookmarkStart w:id="3942" w:name="_Toc516838939"/>
      <w:bookmarkStart w:id="3943" w:name="_Toc516839499"/>
      <w:bookmarkStart w:id="3944" w:name="_Toc517173595"/>
      <w:bookmarkStart w:id="3945" w:name="_Toc517175269"/>
      <w:bookmarkStart w:id="3946" w:name="_Toc517175856"/>
      <w:bookmarkStart w:id="3947" w:name="_Toc517176444"/>
      <w:bookmarkStart w:id="3948" w:name="_Toc517337769"/>
      <w:bookmarkStart w:id="3949" w:name="_Toc517360565"/>
      <w:bookmarkStart w:id="3950" w:name="_Toc143779236"/>
      <w:bookmarkStart w:id="3951" w:name="_Toc208420146"/>
      <w:bookmarkStart w:id="3952" w:name="_Toc225504376"/>
      <w:bookmarkStart w:id="3953" w:name="_Toc225772465"/>
      <w:bookmarkStart w:id="3954" w:name="_Toc233626332"/>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r w:rsidRPr="00EF06E6">
        <w:t>040/367-13 : Secondes résidences</w:t>
      </w:r>
      <w:bookmarkEnd w:id="3950"/>
      <w:bookmarkEnd w:id="3951"/>
      <w:bookmarkEnd w:id="3952"/>
      <w:bookmarkEnd w:id="3953"/>
      <w:bookmarkEnd w:id="3954"/>
      <w:r w:rsidRPr="00EF06E6">
        <w:t xml:space="preserve"> </w:t>
      </w:r>
    </w:p>
    <w:p w14:paraId="26315779" w14:textId="77777777" w:rsidR="00795C3E" w:rsidRPr="00F91BDD" w:rsidRDefault="00795C3E" w:rsidP="00795C3E">
      <w:pPr>
        <w:spacing w:before="120"/>
      </w:pPr>
      <w:bookmarkStart w:id="3955" w:name="_Hlk158708007"/>
      <w:r w:rsidRPr="00F91BDD">
        <w:t>Taxe directe – Modèle disponible</w:t>
      </w:r>
      <w:bookmarkEnd w:id="3955"/>
      <w:r>
        <w:t>.</w:t>
      </w:r>
    </w:p>
    <w:p w14:paraId="4DF57FF1" w14:textId="77777777" w:rsidR="00795C3E" w:rsidRPr="00F91BDD" w:rsidRDefault="00795C3E" w:rsidP="00795C3E">
      <w:pPr>
        <w:spacing w:before="120"/>
        <w:textAlignment w:val="baseline"/>
        <w:rPr>
          <w:rFonts w:cs="Calibri Light"/>
        </w:rPr>
      </w:pPr>
      <w:r w:rsidRPr="00F91BDD">
        <w:rPr>
          <w:rFonts w:cs="Calibri Light"/>
        </w:rPr>
        <w:t>Par seconde résidence, il faut entendre tout logement, existant au … (date à fixer par la commune mais en général, c’est le 1</w:t>
      </w:r>
      <w:r w:rsidRPr="00F91BDD">
        <w:rPr>
          <w:rFonts w:cs="Calibri Light"/>
          <w:vertAlign w:val="superscript"/>
        </w:rPr>
        <w:t>er</w:t>
      </w:r>
      <w:r w:rsidRPr="00F91BDD">
        <w:rPr>
          <w:rFonts w:cs="Calibri Light"/>
        </w:rPr>
        <w:t xml:space="preserve"> janvier) de l'exercice d'imposition, dont la personne pouvant l'occuper à cette date n'est pas, à la même date, inscrite, pour ce logement, au registre de la population ou au registre des étrangers.</w:t>
      </w:r>
    </w:p>
    <w:p w14:paraId="5E3A2939" w14:textId="77777777" w:rsidR="00795C3E" w:rsidRPr="00F91BDD" w:rsidRDefault="00795C3E" w:rsidP="00795C3E">
      <w:pPr>
        <w:tabs>
          <w:tab w:val="left" w:leader="dot" w:pos="6840"/>
        </w:tabs>
        <w:spacing w:before="120"/>
        <w:textAlignment w:val="baseline"/>
        <w:rPr>
          <w:rFonts w:cs="Calibri Light"/>
        </w:rPr>
      </w:pPr>
      <w:r w:rsidRPr="00F91BDD">
        <w:rPr>
          <w:rFonts w:cs="Calibri Light"/>
        </w:rPr>
        <w:t>Au vu de cette définition la qualité de seconde résidence peut se concrétiser :</w:t>
      </w:r>
    </w:p>
    <w:p w14:paraId="784C6664" w14:textId="77777777"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 xml:space="preserve">Dans le chef d’un propriétaire (qui n’est pas inscrit, pour ce logement, au registre de la population ou au registre des étrangers et qui n’y a pas mis de locataire) ; </w:t>
      </w:r>
    </w:p>
    <w:p w14:paraId="2600FFBE" w14:textId="77777777"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Dans le chef d’un locataire ;</w:t>
      </w:r>
    </w:p>
    <w:p w14:paraId="0F5FE7C7" w14:textId="77777777"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Dans le chef d’un titulaire de tout droit réel, titulaire d’un droit réel démembré, copropriétaires, … qui n’est pas inscrit, pour ce logement, au registre de la population ou au registre des étrangers et qui est domicilié ailleurs.</w:t>
      </w:r>
    </w:p>
    <w:p w14:paraId="6D4B8945" w14:textId="77777777" w:rsidR="00795C3E" w:rsidRPr="00F91BDD" w:rsidRDefault="00795C3E" w:rsidP="00795C3E">
      <w:pPr>
        <w:spacing w:before="120"/>
        <w:textAlignment w:val="baseline"/>
        <w:rPr>
          <w:rFonts w:cs="Calibri Light"/>
        </w:rPr>
      </w:pPr>
      <w:r w:rsidRPr="00F91BDD">
        <w:rPr>
          <w:rFonts w:cs="Calibri Light"/>
        </w:rPr>
        <w:t>Les biens taxés comme seconde résidence ne peuvent donner lieu à l'application d'une taxe pour le séjour des personnes qui les occupent, sauf si ces biens font l’objet des deux affectations.</w:t>
      </w:r>
    </w:p>
    <w:p w14:paraId="05DDFCF4" w14:textId="77777777" w:rsidR="00795C3E" w:rsidRPr="00F91BDD" w:rsidRDefault="00795C3E" w:rsidP="00795C3E">
      <w:pPr>
        <w:spacing w:before="120"/>
        <w:textAlignment w:val="baseline"/>
        <w:rPr>
          <w:rFonts w:cs="Calibri Light"/>
        </w:rPr>
      </w:pPr>
      <w:r w:rsidRPr="00F91BDD">
        <w:rPr>
          <w:rFonts w:cs="Calibri Light"/>
        </w:rPr>
        <w:t>Enfin, je vous recommande d’exonérer de la taxe la période couverte par une mise à disposition de la résidence pour des raisons humanitaires.</w:t>
      </w:r>
    </w:p>
    <w:p w14:paraId="303DCADF" w14:textId="77777777" w:rsidR="00795C3E" w:rsidRPr="00F91BDD" w:rsidRDefault="00795C3E" w:rsidP="00795C3E">
      <w:pPr>
        <w:spacing w:before="120"/>
        <w:textAlignment w:val="baseline"/>
        <w:rPr>
          <w:rFonts w:cs="Calibri Light"/>
          <w:b/>
          <w:bCs/>
          <w:spacing w:val="-1"/>
        </w:rPr>
      </w:pPr>
      <w:r w:rsidRPr="00F91BDD">
        <w:rPr>
          <w:rFonts w:cs="Calibri Light"/>
          <w:b/>
          <w:bCs/>
          <w:spacing w:val="-1"/>
        </w:rPr>
        <w:t>Les taux maximums recommandés sont :</w:t>
      </w:r>
    </w:p>
    <w:p w14:paraId="4D9CA99F" w14:textId="62769E77" w:rsidR="00795C3E" w:rsidRPr="00F91BDD" w:rsidRDefault="00795C3E" w:rsidP="00795C3E">
      <w:pPr>
        <w:spacing w:before="120"/>
        <w:textAlignment w:val="baseline"/>
        <w:rPr>
          <w:rFonts w:cs="Calibri Light"/>
          <w:spacing w:val="-1"/>
        </w:rPr>
      </w:pPr>
      <w:r w:rsidRPr="00F91BDD">
        <w:rPr>
          <w:rFonts w:cs="Calibri Light"/>
          <w:spacing w:val="-1"/>
        </w:rPr>
        <w:t xml:space="preserve">- de 720,00 euros au maximum </w:t>
      </w:r>
      <w:bookmarkStart w:id="3956" w:name="_Hlk132900575"/>
      <w:r w:rsidRPr="00F91BDD">
        <w:rPr>
          <w:rFonts w:cs="Calibri Light"/>
          <w:spacing w:val="-1"/>
        </w:rPr>
        <w:t>(une variation selon la superficie des secondes résidences est possible</w:t>
      </w:r>
      <w:r w:rsidR="2525B9EA" w:rsidRPr="00F91BDD">
        <w:rPr>
          <w:rFonts w:cs="Calibri Light"/>
          <w:spacing w:val="-1"/>
        </w:rPr>
        <w:t>)</w:t>
      </w:r>
      <w:r w:rsidRPr="00F91BDD">
        <w:rPr>
          <w:rFonts w:cs="Calibri Light"/>
          <w:spacing w:val="-1"/>
        </w:rPr>
        <w:t>. Par ailleurs, il serait tout à fait envisageable de prévoir, pour exemple, qu’à partir de 70 ou 80 m² ce taux maximum est majoré de 10% par 10 m² (ou 1% par m</w:t>
      </w:r>
      <w:r w:rsidRPr="00F91BDD">
        <w:rPr>
          <w:rFonts w:cs="Calibri Light"/>
          <w:spacing w:val="-1"/>
          <w:vertAlign w:val="superscript"/>
        </w:rPr>
        <w:t>2</w:t>
      </w:r>
      <w:r w:rsidRPr="00F91BDD">
        <w:rPr>
          <w:rFonts w:cs="Calibri Light"/>
          <w:spacing w:val="-1"/>
        </w:rPr>
        <w:t>) de surface habitable supplémentaire (tout en sachant que tout m² commencé est compté en entier)</w:t>
      </w:r>
      <w:bookmarkEnd w:id="3956"/>
      <w:r w:rsidRPr="00F91BDD">
        <w:rPr>
          <w:rFonts w:cs="Calibri Light"/>
          <w:spacing w:val="-1"/>
        </w:rPr>
        <w:t> </w:t>
      </w:r>
      <w:r w:rsidR="26694791" w:rsidRPr="00F91BDD">
        <w:rPr>
          <w:rFonts w:cs="Calibri Light"/>
          <w:spacing w:val="-1"/>
        </w:rPr>
        <w:t>.</w:t>
      </w:r>
    </w:p>
    <w:p w14:paraId="0E242616" w14:textId="77777777" w:rsidR="00795C3E" w:rsidRPr="00F91BDD" w:rsidRDefault="00795C3E" w:rsidP="00795C3E">
      <w:pPr>
        <w:spacing w:before="120"/>
        <w:textAlignment w:val="baseline"/>
        <w:rPr>
          <w:rFonts w:cs="Calibri Light"/>
          <w:spacing w:val="-1"/>
        </w:rPr>
      </w:pPr>
      <w:r w:rsidRPr="00F91BDD">
        <w:rPr>
          <w:rFonts w:cs="Calibri Light"/>
          <w:spacing w:val="-1"/>
        </w:rPr>
        <w:t>Quelle que soit la modulation, celle-ci devra être justifiée expressément dans le préambule de la délibération ou dans le dossier administratif.</w:t>
      </w:r>
    </w:p>
    <w:p w14:paraId="1BD5CDFF" w14:textId="0CA51AF7" w:rsidR="00795C3E" w:rsidRPr="00F91BDD" w:rsidRDefault="00795C3E" w:rsidP="00795C3E">
      <w:pPr>
        <w:spacing w:before="120"/>
        <w:textAlignment w:val="baseline"/>
        <w:rPr>
          <w:rFonts w:cs="Calibri Light"/>
        </w:rPr>
      </w:pPr>
      <w:r w:rsidRPr="00F91BDD">
        <w:rPr>
          <w:rFonts w:cs="Calibri Light"/>
        </w:rPr>
        <w:t xml:space="preserve">- 250,00 </w:t>
      </w:r>
      <w:r w:rsidR="0088454D" w:rsidRPr="00F91BDD">
        <w:rPr>
          <w:rFonts w:cs="Calibri Light"/>
        </w:rPr>
        <w:t>euros lorsque</w:t>
      </w:r>
      <w:r w:rsidRPr="00F91BDD">
        <w:rPr>
          <w:rFonts w:cs="Calibri Light"/>
        </w:rPr>
        <w:t xml:space="preserve"> la taxe vise les secondes résidences établies dans un camping</w:t>
      </w:r>
      <w:r>
        <w:rPr>
          <w:rFonts w:cs="Calibri Light"/>
        </w:rPr>
        <w:t xml:space="preserve"> certifié </w:t>
      </w:r>
      <w:r w:rsidRPr="00F91BDD">
        <w:rPr>
          <w:rFonts w:cs="Calibri Light"/>
        </w:rPr>
        <w:t>;</w:t>
      </w:r>
    </w:p>
    <w:p w14:paraId="744C655C" w14:textId="174F4ED7" w:rsidR="00795C3E" w:rsidRPr="00F91BDD" w:rsidRDefault="00795C3E" w:rsidP="00795C3E">
      <w:pPr>
        <w:spacing w:before="120"/>
        <w:textAlignment w:val="baseline"/>
        <w:rPr>
          <w:rFonts w:cs="Calibri Light"/>
        </w:rPr>
      </w:pPr>
      <w:r w:rsidRPr="00F91BDD">
        <w:rPr>
          <w:rFonts w:cs="Calibri Light"/>
        </w:rPr>
        <w:t xml:space="preserve"> - 125,00 </w:t>
      </w:r>
      <w:r w:rsidR="0088454D" w:rsidRPr="00F91BDD">
        <w:rPr>
          <w:rFonts w:cs="Calibri Light"/>
        </w:rPr>
        <w:t>euros lorsque</w:t>
      </w:r>
      <w:r w:rsidRPr="00F91BDD">
        <w:rPr>
          <w:rFonts w:cs="Calibri Light"/>
        </w:rPr>
        <w:t xml:space="preserve"> la taxe vise les secondes résidences établies dans des logements pour étudiants (kots).</w:t>
      </w:r>
    </w:p>
    <w:p w14:paraId="31D95D54" w14:textId="794108E9" w:rsidR="00795C3E" w:rsidRPr="00F91BDD" w:rsidRDefault="00795C3E" w:rsidP="00795C3E">
      <w:pPr>
        <w:spacing w:before="120"/>
        <w:textAlignment w:val="baseline"/>
        <w:rPr>
          <w:rFonts w:cs="Calibri Light"/>
        </w:rPr>
      </w:pPr>
      <w:r w:rsidRPr="00F91BDD">
        <w:rPr>
          <w:rFonts w:cs="Calibri Light"/>
        </w:rPr>
        <w:t xml:space="preserve">La taxe sur les secondes résidences ne peut s'appliquer aux </w:t>
      </w:r>
      <w:r w:rsidR="26BA9045" w:rsidRPr="5672AB13">
        <w:rPr>
          <w:rFonts w:cs="Calibri Light"/>
        </w:rPr>
        <w:t>hébergements portant encore la dénomination</w:t>
      </w:r>
      <w:r w:rsidRPr="5672AB13">
        <w:rPr>
          <w:rFonts w:cs="Calibri Light"/>
        </w:rPr>
        <w:t xml:space="preserve"> </w:t>
      </w:r>
      <w:r w:rsidRPr="00F91BDD">
        <w:rPr>
          <w:rFonts w:cs="Calibri Light"/>
        </w:rPr>
        <w:t xml:space="preserve">gîtes ruraux, gîtes à la ferme, </w:t>
      </w:r>
      <w:r w:rsidR="49882474" w:rsidRPr="5672AB13">
        <w:rPr>
          <w:rFonts w:cs="Calibri Light"/>
        </w:rPr>
        <w:t xml:space="preserve">aux </w:t>
      </w:r>
      <w:r w:rsidRPr="00F91BDD">
        <w:rPr>
          <w:rFonts w:cs="Calibri Light"/>
        </w:rPr>
        <w:t xml:space="preserve">meublés de tourisme et </w:t>
      </w:r>
      <w:r w:rsidR="2243B58E" w:rsidRPr="5672AB13">
        <w:rPr>
          <w:rFonts w:cs="Calibri Light"/>
        </w:rPr>
        <w:t xml:space="preserve">aux </w:t>
      </w:r>
      <w:r w:rsidR="0BF9C1BD" w:rsidRPr="5672AB13">
        <w:rPr>
          <w:rFonts w:cs="Calibri Light"/>
        </w:rPr>
        <w:t>Maison d’hôtes ou portant encore la dénomination chambre d’hôtes</w:t>
      </w:r>
      <w:r w:rsidRPr="00F91BDD">
        <w:rPr>
          <w:rFonts w:cs="Calibri Light"/>
        </w:rPr>
        <w:t xml:space="preserve"> visés par le Code wallon du Tourisme, lesquels peuvent cependant faire l'objet d'une taxe de séjour (code 040/364-26).</w:t>
      </w:r>
    </w:p>
    <w:p w14:paraId="7ADE305C" w14:textId="77777777" w:rsidR="00795C3E" w:rsidRPr="00F91BDD" w:rsidRDefault="59020915" w:rsidP="00795C3E">
      <w:pPr>
        <w:spacing w:before="120"/>
        <w:textAlignment w:val="baseline"/>
        <w:rPr>
          <w:rFonts w:cs="Calibri Light"/>
        </w:rPr>
      </w:pPr>
      <w:r w:rsidRPr="00F91BDD">
        <w:rPr>
          <w:rFonts w:cs="Calibri Light"/>
        </w:rPr>
        <w:lastRenderedPageBreak/>
        <w:t>Il y a lieu de rappeler que la taxe sur les secondes résidences ne peut jamais viser que des occupants d’immeubles d’habitation. Si elle peut s’appliquer à des propriétaires ou titulaires de droits réels, c’est à la condition qu’ils soient aussi occupants de leurs biens et en cette qualité</w:t>
      </w:r>
      <w:r w:rsidR="00795C3E" w:rsidRPr="00F91BDD">
        <w:rPr>
          <w:rStyle w:val="Appelnotedebasdep"/>
          <w:rFonts w:cs="Calibri Light"/>
        </w:rPr>
        <w:footnoteReference w:id="132"/>
      </w:r>
      <w:r w:rsidRPr="00F91BDD">
        <w:rPr>
          <w:rFonts w:cs="Calibri Light"/>
        </w:rPr>
        <w:t xml:space="preserve">. </w:t>
      </w:r>
    </w:p>
    <w:p w14:paraId="38F23940" w14:textId="77777777" w:rsidR="00795C3E" w:rsidRPr="00F91BDD" w:rsidRDefault="00795C3E" w:rsidP="00795C3E">
      <w:pPr>
        <w:spacing w:before="120"/>
        <w:textAlignment w:val="baseline"/>
        <w:rPr>
          <w:rFonts w:cs="Calibri Light"/>
        </w:rPr>
      </w:pPr>
      <w:r w:rsidRPr="00F91BDD">
        <w:rPr>
          <w:rFonts w:cs="Calibri Light"/>
        </w:rPr>
        <w:t xml:space="preserve">Les communes désignent le redevable de la taxe. </w:t>
      </w:r>
    </w:p>
    <w:p w14:paraId="3F8B2198" w14:textId="77777777" w:rsidR="00795C3E" w:rsidRPr="00F91BDD" w:rsidRDefault="00795C3E" w:rsidP="00795C3E">
      <w:pPr>
        <w:spacing w:before="120"/>
        <w:textAlignment w:val="baseline"/>
        <w:rPr>
          <w:rFonts w:cs="Calibri Light"/>
        </w:rPr>
      </w:pPr>
      <w:r w:rsidRPr="00F91BDD">
        <w:rPr>
          <w:rFonts w:cs="Calibri Light"/>
        </w:rPr>
        <w:t xml:space="preserve">Vous trouverez plus de précisions ci-dessous. </w:t>
      </w:r>
    </w:p>
    <w:p w14:paraId="579499C9" w14:textId="77777777" w:rsidR="00795C3E" w:rsidRPr="00F91BDD" w:rsidRDefault="00795C3E" w:rsidP="00795C3E">
      <w:pPr>
        <w:spacing w:before="120"/>
        <w:textAlignment w:val="baseline"/>
        <w:rPr>
          <w:rFonts w:cs="Calibri Light"/>
        </w:rPr>
      </w:pPr>
      <w:r w:rsidRPr="00F91BDD">
        <w:rPr>
          <w:rFonts w:cs="Calibri Light"/>
        </w:rPr>
        <w:t>Les communes peuvent en cas de location du logement, prévoir une solidarité entre l’occupant (dans le chef duquel les conditions de la seconde résidence sont réunies) et le propriétaire.</w:t>
      </w:r>
    </w:p>
    <w:p w14:paraId="7ADC9E7D" w14:textId="77777777" w:rsidR="00795C3E" w:rsidRPr="00F91BDD" w:rsidRDefault="00795C3E" w:rsidP="00795C3E">
      <w:pPr>
        <w:spacing w:before="120"/>
        <w:textAlignment w:val="baseline"/>
        <w:rPr>
          <w:rFonts w:cs="Calibri Light"/>
        </w:rPr>
      </w:pPr>
      <w:r w:rsidRPr="00F91BDD">
        <w:rPr>
          <w:rFonts w:cs="Calibri Light"/>
        </w:rPr>
        <w:t xml:space="preserve">En effet, selon le principe d’autonomie fiscale que leur confère l’article 170, §4, de la Constitution, les communes désignent le redevable de la taxe. Cela implique que ces dernières ont le pouvoir de prévoir des mécanismes de solidarité entre ces redevables. Ainsi, la solidarité peut être envisagée lorsqu’il y a une pluralité de titulaires d’un droit réel sur le bien concerné. </w:t>
      </w:r>
    </w:p>
    <w:p w14:paraId="7CB925E1" w14:textId="77777777" w:rsidR="00795C3E" w:rsidRPr="00F91BDD" w:rsidRDefault="59020915" w:rsidP="00795C3E">
      <w:pPr>
        <w:spacing w:before="120"/>
        <w:textAlignment w:val="baseline"/>
        <w:rPr>
          <w:rFonts w:cs="Calibri Light"/>
        </w:rPr>
      </w:pPr>
      <w:r w:rsidRPr="00F91BDD">
        <w:rPr>
          <w:rFonts w:cs="Calibri Light"/>
        </w:rPr>
        <w:t>Le Conseil d’État a déjà estimé</w:t>
      </w:r>
      <w:r w:rsidR="00795C3E" w:rsidRPr="00F91BDD">
        <w:rPr>
          <w:rFonts w:cs="Calibri Light"/>
          <w:vertAlign w:val="superscript"/>
        </w:rPr>
        <w:footnoteReference w:id="133"/>
      </w:r>
      <w:r w:rsidRPr="00F91BDD">
        <w:rPr>
          <w:rFonts w:cs="Calibri Light"/>
        </w:rPr>
        <w:t xml:space="preserve"> que « </w:t>
      </w:r>
      <w:r w:rsidRPr="6FFC1684">
        <w:rPr>
          <w:rFonts w:cs="Calibri Light"/>
          <w:i/>
          <w:iCs/>
        </w:rPr>
        <w:t>tant le propriétaire que l’occupant des logements visés peuvent, à bon droit, être considérés comme redevables {…} ; qu’en l’espèce, il y a communauté d’intérêts entre les débiteurs tenus solidairement au paiement de la taxe, puisque le propriétaire et  son locataire participent à l’activité taxée, à savoir la location et l’occupation de secondes résidences, et que le propriétaire perçoit un loyer à charge de son locataire ; que cette communauté d’intérêts peut raisonnablement justifier le mécanisme de solidarité prévu dans le règlement-taxe litigieux</w:t>
      </w:r>
      <w:r w:rsidRPr="00F91BDD">
        <w:rPr>
          <w:rFonts w:cs="Calibri Light"/>
        </w:rPr>
        <w:t xml:space="preserve"> ». </w:t>
      </w:r>
    </w:p>
    <w:p w14:paraId="65EF2E55" w14:textId="77777777" w:rsidR="00795C3E" w:rsidRPr="00F91BDD" w:rsidRDefault="00795C3E" w:rsidP="00795C3E">
      <w:pPr>
        <w:spacing w:before="120"/>
        <w:textAlignment w:val="baseline"/>
        <w:rPr>
          <w:rFonts w:cs="Calibri Light"/>
        </w:rPr>
      </w:pPr>
      <w:r w:rsidRPr="00F91BDD">
        <w:rPr>
          <w:rFonts w:cs="Calibri Light"/>
        </w:rPr>
        <w:t>La taxe sur les secondes résidences a pour objectif de frapper un objet de luxe dont la possession démontre dans le chef du redevable une certaine aisance et qui ne revêt pas un caractère de nécessité comme l'exercice d'une activité professionnelle ou la possession d'une première résidence. Cela ne correspond en rien à la situation des personnes hébergées dans un établissement pour aînés. Je vous invite dès lors de ne pas lever une telle taxe à charge des résidents hébergés dans les établissements visés à l'article 334, 2° du Code wallon de l'Action sociale et de la Santé.</w:t>
      </w:r>
    </w:p>
    <w:p w14:paraId="23D16DFD" w14:textId="77777777" w:rsidR="00795C3E" w:rsidRPr="00F91BDD" w:rsidRDefault="00795C3E" w:rsidP="00795C3E">
      <w:pPr>
        <w:spacing w:before="120"/>
        <w:textAlignment w:val="baseline"/>
        <w:rPr>
          <w:rFonts w:cs="Calibri Light"/>
        </w:rPr>
      </w:pPr>
      <w:r w:rsidRPr="00F91BDD">
        <w:rPr>
          <w:rFonts w:cs="Calibri Light"/>
        </w:rPr>
        <w:t>Deux arrêts du Conseil d'État pris en la matière méritent d'être signalés.</w:t>
      </w:r>
    </w:p>
    <w:p w14:paraId="34754719" w14:textId="77777777" w:rsidR="00795C3E" w:rsidRPr="00F91BDD" w:rsidRDefault="00795C3E" w:rsidP="00795C3E">
      <w:pPr>
        <w:spacing w:before="120"/>
        <w:textAlignment w:val="baseline"/>
        <w:rPr>
          <w:rFonts w:cs="Calibri Light"/>
        </w:rPr>
      </w:pPr>
      <w:r w:rsidRPr="00F91BDD">
        <w:rPr>
          <w:rFonts w:cs="Calibri Light"/>
        </w:rPr>
        <w:t xml:space="preserve">Dans son arrêt n°66545 du 4 juin 1997, le Conseil d'État estime qu'il n'existe pas de justification raisonnable et adéquate de la différence de traitement entre, d'une part, les personnes domiciliées sur le territoire d'une commune et, d'autre part, les personnes qui ne sont pas inscrites dans les registres de la population de cette commune, les premières citées n'étant pas redevables de la taxe communale sur les secondes résidences à l'inverse des secondes citées. En conséquence, les communes ne peuvent donc pas exonérer une seconde </w:t>
      </w:r>
      <w:r w:rsidRPr="00F91BDD">
        <w:rPr>
          <w:rFonts w:cs="Calibri Light"/>
        </w:rPr>
        <w:lastRenderedPageBreak/>
        <w:t>résidence pour le motif que la personne qui peut en disposer serait déjà domiciliée à une autre adresse dans la commune.</w:t>
      </w:r>
    </w:p>
    <w:p w14:paraId="123548CD" w14:textId="77777777" w:rsidR="00795C3E" w:rsidRPr="00F91BDD" w:rsidRDefault="00795C3E" w:rsidP="00795C3E">
      <w:pPr>
        <w:spacing w:before="120"/>
        <w:textAlignment w:val="baseline"/>
        <w:rPr>
          <w:rFonts w:cs="Calibri Light"/>
        </w:rPr>
      </w:pPr>
      <w:r w:rsidRPr="00F91BDD">
        <w:rPr>
          <w:rFonts w:cs="Calibri Light"/>
        </w:rPr>
        <w:t xml:space="preserve">Dans son arrêt n°99.385 du 2 octobre 2001, le Conseil d'État estime que la taxe sur les secondes résidences n'est pas comparable au précompte immobilier et ce, notamment parce que cette taxe « </w:t>
      </w:r>
      <w:r w:rsidRPr="00F91BDD">
        <w:rPr>
          <w:rFonts w:cs="Calibri Light"/>
          <w:i/>
        </w:rPr>
        <w:t>n'a pas le même objet que le précompte immobilier établi sur le revenu cadastral et les centimes additionnels perçus par la commune sur ce dernier. » Par ailleurs, la haute juridiction administrative rappelle que « l'objet premier de la taxe sur les secondes résidences est de frapper un objet de luxe dont la possession démontre dans le chef du redevable une certaine aisance et qui ne revêt pas un caractère de nécessité comme l'exercice d'une activité professionnelle ou la possession d'une première résidence ...</w:t>
      </w:r>
      <w:r w:rsidRPr="00F91BDD">
        <w:rPr>
          <w:rFonts w:cs="Calibri Light"/>
        </w:rPr>
        <w:t xml:space="preserve"> ».</w:t>
      </w:r>
    </w:p>
    <w:p w14:paraId="21369539" w14:textId="77777777" w:rsidR="00795C3E" w:rsidRPr="00F91BDD" w:rsidRDefault="00795C3E" w:rsidP="00795C3E">
      <w:pPr>
        <w:spacing w:before="120"/>
        <w:rPr>
          <w:rFonts w:cs="Calibri Light"/>
        </w:rPr>
      </w:pPr>
      <w:r w:rsidRPr="00F91BDD">
        <w:rPr>
          <w:rFonts w:cs="Calibri Light"/>
        </w:rPr>
        <w:t xml:space="preserve">Il faut rappeler aux autorités communales qu’en matière de règlement sur les secondes résidences, il est important de </w:t>
      </w:r>
      <w:r w:rsidRPr="00F91BDD">
        <w:rPr>
          <w:rFonts w:cs="Calibri Light"/>
          <w:b/>
          <w:bCs/>
        </w:rPr>
        <w:t>soigner la motivation</w:t>
      </w:r>
      <w:r w:rsidRPr="00F91BDD">
        <w:rPr>
          <w:rFonts w:cs="Calibri Light"/>
        </w:rPr>
        <w:t xml:space="preserve"> qui a conduit à son adoption.</w:t>
      </w:r>
    </w:p>
    <w:p w14:paraId="460780C0" w14:textId="77777777" w:rsidR="00795C3E" w:rsidRPr="00F91BDD" w:rsidRDefault="00795C3E" w:rsidP="00795C3E">
      <w:pPr>
        <w:spacing w:before="120"/>
        <w:rPr>
          <w:rFonts w:cs="Calibri Light"/>
        </w:rPr>
      </w:pPr>
      <w:r w:rsidRPr="00F91BDD">
        <w:rPr>
          <w:rFonts w:cs="Calibri Light"/>
        </w:rPr>
        <w:t>Étant donné la multiplication des recours, sur base de la violation des articles 10 et 11 de la constitution, à l’encontre de ces règlements-taxes, une simple référence à la situation financière de la commune n’est pas suffisante pour justifier la taxation des secondes résidences. Ce constat est encore plus vrai en cas de différenciation du taux de la taxe et/ou de plusieurs exonérations dans un règlement-taxe de ce type. </w:t>
      </w:r>
    </w:p>
    <w:p w14:paraId="28E325CF" w14:textId="77777777" w:rsidR="00795C3E" w:rsidRPr="00F91BDD" w:rsidRDefault="00795C3E" w:rsidP="00795C3E">
      <w:pPr>
        <w:spacing w:before="120"/>
        <w:rPr>
          <w:rFonts w:cs="Calibri Light"/>
        </w:rPr>
      </w:pPr>
      <w:r w:rsidRPr="00F91BDD">
        <w:rPr>
          <w:rFonts w:cs="Calibri Light"/>
        </w:rPr>
        <w:t xml:space="preserve">Ces différentes justifications sont les suivantes : </w:t>
      </w:r>
    </w:p>
    <w:p w14:paraId="2D2E4ACB" w14:textId="77777777"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 xml:space="preserve">Le caractère compensatoire de la taxe fait référence aux dépenses engagées au bénéfice des personnes qui ont des intérêts dans la commune, y sont présents ou y habitent, à des fins de sécurité et pour les services communaux et leur amélioration. </w:t>
      </w:r>
    </w:p>
    <w:p w14:paraId="63F82A5B" w14:textId="77777777" w:rsidR="00795C3E" w:rsidRPr="00F91BDD" w:rsidRDefault="00795C3E" w:rsidP="00795C3E">
      <w:pPr>
        <w:tabs>
          <w:tab w:val="left" w:pos="144"/>
        </w:tabs>
        <w:spacing w:before="120"/>
        <w:ind w:left="504"/>
        <w:textAlignment w:val="baseline"/>
        <w:rPr>
          <w:rFonts w:cs="Calibri Light"/>
        </w:rPr>
      </w:pPr>
      <w:r w:rsidRPr="00F91BDD">
        <w:rPr>
          <w:rFonts w:cs="Calibri Light"/>
        </w:rPr>
        <w:t xml:space="preserve">Cette justification n’est pertinente que s’il est prouvé que les contribuables de cette taxe engendrent plus de frais pour la commune ou participent moins dans le financement de ces frais que les habitants de la commune. Par conséquent, cette justification exige un lien entre la hauteur de la taxe sur les secondes résidences et les taxes qui sont dues par ceux qui ont leur domicile dans la commune. </w:t>
      </w:r>
    </w:p>
    <w:p w14:paraId="427DD261" w14:textId="77777777" w:rsidR="00795C3E" w:rsidRPr="00F91BDD" w:rsidRDefault="00795C3E" w:rsidP="00795C3E">
      <w:pPr>
        <w:tabs>
          <w:tab w:val="left" w:pos="144"/>
        </w:tabs>
        <w:spacing w:before="120"/>
        <w:ind w:left="504"/>
        <w:textAlignment w:val="baseline"/>
        <w:rPr>
          <w:rFonts w:cs="Calibri Light"/>
        </w:rPr>
      </w:pPr>
      <w:r w:rsidRPr="00F91BDD">
        <w:rPr>
          <w:rFonts w:cs="Calibri Light"/>
        </w:rPr>
        <w:t>Par ailleurs, le fait de se référer à l’effet compensatoire pour justifier un taux différencié prévu en fonction de l’emplacement de la seconde résidence n’est pas une justification objective et raisonnable.</w:t>
      </w:r>
    </w:p>
    <w:p w14:paraId="6FFCAD99" w14:textId="77777777" w:rsidR="00795C3E" w:rsidRPr="00F91BDD" w:rsidRDefault="00795C3E" w:rsidP="00795C3E">
      <w:pPr>
        <w:tabs>
          <w:tab w:val="left" w:pos="144"/>
        </w:tabs>
        <w:spacing w:before="120"/>
        <w:ind w:left="504"/>
        <w:textAlignment w:val="baseline"/>
        <w:rPr>
          <w:rFonts w:cs="Calibri Light"/>
        </w:rPr>
      </w:pPr>
      <w:r w:rsidRPr="00F91BDD">
        <w:rPr>
          <w:rFonts w:cs="Calibri Light"/>
        </w:rPr>
        <w:t>Le caractère compensatoire de la taxe peut soulever des difficultés notamment si la seconde résidence est utilisée par un tiers.</w:t>
      </w:r>
    </w:p>
    <w:p w14:paraId="4B9CC908" w14:textId="77777777" w:rsidR="00795C3E" w:rsidRPr="00F91BDD" w:rsidRDefault="00795C3E" w:rsidP="00795C3E">
      <w:pPr>
        <w:tabs>
          <w:tab w:val="left" w:pos="144"/>
        </w:tabs>
        <w:spacing w:before="120"/>
        <w:ind w:left="504"/>
        <w:textAlignment w:val="baseline"/>
        <w:rPr>
          <w:rFonts w:cs="Calibri Light"/>
        </w:rPr>
      </w:pPr>
      <w:r w:rsidRPr="00F91BDD">
        <w:rPr>
          <w:rFonts w:cs="Calibri Light"/>
        </w:rPr>
        <w:t xml:space="preserve">Le recours à l’objectif compensatoire pour justifier la taxation des secondes résidences dans le chef du propriétaire n’est pas conforme au principe d’égalité. En effet, c’est celui qui dispose de la seconde résidence qui profite des dépenses communales ET ce sont ces dépenses qui doivent être compensées par la taxe sur les secondes résidences. </w:t>
      </w:r>
    </w:p>
    <w:p w14:paraId="58D91AE3" w14:textId="77777777" w:rsidR="00795C3E" w:rsidRPr="00F91BDD" w:rsidRDefault="00795C3E" w:rsidP="00795C3E">
      <w:pPr>
        <w:tabs>
          <w:tab w:val="left" w:pos="144"/>
        </w:tabs>
        <w:spacing w:before="120"/>
        <w:ind w:left="504"/>
        <w:textAlignment w:val="baseline"/>
        <w:rPr>
          <w:rFonts w:cs="Calibri Light"/>
        </w:rPr>
      </w:pPr>
      <w:r w:rsidRPr="00F91BDD">
        <w:rPr>
          <w:rFonts w:cs="Calibri Light"/>
        </w:rPr>
        <w:t xml:space="preserve">La désignation du propriétaire comme redevable de la taxe entraine une violation du principe d’égalité et de non-discrimination puisque l’on va traiter de manière identique </w:t>
      </w:r>
      <w:r w:rsidRPr="00F91BDD">
        <w:rPr>
          <w:rFonts w:cs="Calibri Light"/>
        </w:rPr>
        <w:lastRenderedPageBreak/>
        <w:t xml:space="preserve">deux catégories de personnes qui se trouvent dans une situation différente. D’une part, le propriétaire de la seconde résidence qui dispose lui-même de cette seconde résidence ET le propriétaire d’une seconde résidence qui met à disposition d’un tiers sa seconde résidence. Il n’existe donc pas de justification objective et raisonnable pour ce traitement identique des situations, qui à la lumière de l’objectif compensatoire, sont différentes ; </w:t>
      </w:r>
    </w:p>
    <w:p w14:paraId="1BE94E49" w14:textId="77777777"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 xml:space="preserve">La taxe sur la richesse qui permet de justifier la taxation des secondes résidences comme un produit de luxe qui suppose l’existence d’une certaine aisance dans le chef de celui qui utilise le bien immeuble comme seconde résidence. </w:t>
      </w:r>
    </w:p>
    <w:p w14:paraId="606CF57F" w14:textId="77777777" w:rsidR="00795C3E" w:rsidRPr="00F91BDD" w:rsidRDefault="00795C3E" w:rsidP="00795C3E">
      <w:pPr>
        <w:tabs>
          <w:tab w:val="left" w:pos="144"/>
        </w:tabs>
        <w:spacing w:before="120"/>
        <w:ind w:left="504"/>
        <w:textAlignment w:val="baseline"/>
        <w:rPr>
          <w:rFonts w:cs="Calibri Light"/>
        </w:rPr>
      </w:pPr>
      <w:r w:rsidRPr="00F91BDD">
        <w:rPr>
          <w:rFonts w:cs="Calibri Light"/>
        </w:rPr>
        <w:t>Les secondes résidences comme produit de luxe ne concernent que ceux qui utilisent le bien immobilier comme seconde résidence (occupant). Le recours à cette justification permet seulement de justifier de manière objective et raisonnable la taxation du propriétaire de l’immeuble si celui-ci utilise effectivement l’immeuble comme seconde résidence.</w:t>
      </w:r>
    </w:p>
    <w:p w14:paraId="4F130511" w14:textId="77777777" w:rsidR="00795C3E" w:rsidRPr="00F91BDD" w:rsidRDefault="00795C3E" w:rsidP="00795C3E">
      <w:pPr>
        <w:tabs>
          <w:tab w:val="left" w:pos="144"/>
        </w:tabs>
        <w:spacing w:before="120"/>
        <w:ind w:left="504"/>
        <w:textAlignment w:val="baseline"/>
        <w:rPr>
          <w:rFonts w:cs="Calibri Light"/>
        </w:rPr>
      </w:pPr>
      <w:r w:rsidRPr="00F91BDD">
        <w:rPr>
          <w:rFonts w:cs="Calibri Light"/>
        </w:rPr>
        <w:t xml:space="preserve">Les communes pourraient, notamment prévoir sur base de cette justification, un taux différencié en fonction de l’emplacement de la seconde résidence. Un taux unique est difficile à défendre puisque selon l’emplacement, le degré d’aisance n’est pas le même. </w:t>
      </w:r>
    </w:p>
    <w:p w14:paraId="27B647A7" w14:textId="77777777" w:rsidR="00795C3E" w:rsidRPr="00F91BDD" w:rsidRDefault="00795C3E" w:rsidP="00795C3E">
      <w:pPr>
        <w:tabs>
          <w:tab w:val="left" w:pos="144"/>
        </w:tabs>
        <w:spacing w:before="120"/>
        <w:ind w:left="504"/>
        <w:textAlignment w:val="baseline"/>
        <w:rPr>
          <w:rFonts w:cs="Calibri Light"/>
        </w:rPr>
      </w:pPr>
      <w:r w:rsidRPr="00F91BDD">
        <w:rPr>
          <w:rFonts w:cs="Calibri Light"/>
        </w:rPr>
        <w:t>Néanmoins, il n’est pas possible d’exonérer de cette taxe, les habitants qui ont leur domicile sur la commune et qui sont redevables des additionnels à l’IPP puisque l’on taxe un produit de luxe et donc cela n’a aucun rapport avec la contribution déjà existante aux finances de la commune ;</w:t>
      </w:r>
    </w:p>
    <w:p w14:paraId="16E7896B" w14:textId="77777777" w:rsidR="00795C3E" w:rsidRPr="00F91BDD" w:rsidRDefault="00795C3E">
      <w:pPr>
        <w:pStyle w:val="Paragraphedeliste"/>
        <w:numPr>
          <w:ilvl w:val="0"/>
          <w:numId w:val="32"/>
        </w:numPr>
        <w:tabs>
          <w:tab w:val="left" w:pos="144"/>
        </w:tabs>
        <w:spacing w:before="120" w:after="120" w:line="240" w:lineRule="auto"/>
        <w:contextualSpacing w:val="0"/>
        <w:textAlignment w:val="baseline"/>
        <w:rPr>
          <w:rFonts w:cs="Calibri Light"/>
        </w:rPr>
      </w:pPr>
      <w:r w:rsidRPr="00F91BDD">
        <w:rPr>
          <w:rFonts w:cs="Calibri Light"/>
        </w:rPr>
        <w:t xml:space="preserve">L’incitation pour les habitants de fixer leur résidence principale dans la commune. L’objectif de cette taxe est de protéger l’habitation résidentielle, éviter l’inoccupation prolongée d’un immeuble. </w:t>
      </w:r>
    </w:p>
    <w:p w14:paraId="4B8F86BE" w14:textId="77777777" w:rsidR="00795C3E" w:rsidRPr="00F91BDD" w:rsidRDefault="00795C3E" w:rsidP="00795C3E">
      <w:pPr>
        <w:tabs>
          <w:tab w:val="left" w:pos="144"/>
        </w:tabs>
        <w:spacing w:before="120"/>
        <w:ind w:left="504"/>
        <w:textAlignment w:val="baseline"/>
        <w:rPr>
          <w:rFonts w:cs="Calibri Light"/>
        </w:rPr>
      </w:pPr>
      <w:r w:rsidRPr="00F91BDD">
        <w:rPr>
          <w:rFonts w:cs="Calibri Light"/>
        </w:rPr>
        <w:t xml:space="preserve">Cet objectif peut entrainer une justification objective et raisonnable pour l’instauration de cette taxe à des charges des secondes résidences pour autant que l’existence de ce motif apparaisse raisonnable. </w:t>
      </w:r>
    </w:p>
    <w:p w14:paraId="5C30FBB1" w14:textId="77777777" w:rsidR="00795C3E" w:rsidRPr="005A274A" w:rsidRDefault="00795C3E" w:rsidP="00795C3E">
      <w:pPr>
        <w:spacing w:before="120"/>
        <w:rPr>
          <w:rFonts w:cs="Calibri Light"/>
        </w:rPr>
      </w:pPr>
      <w:r w:rsidRPr="00F91BDD">
        <w:rPr>
          <w:rFonts w:cs="Calibri Light"/>
        </w:rPr>
        <w:t xml:space="preserve">Je rappelle aux autorités communales que chaque motivation a ses propres limites (choix du redevable et taux de la taxe). </w:t>
      </w:r>
      <w:bookmarkStart w:id="3957" w:name="_Toc516739948"/>
      <w:bookmarkStart w:id="3958" w:name="_Toc516751857"/>
      <w:bookmarkStart w:id="3959" w:name="_Toc516825945"/>
      <w:bookmarkStart w:id="3960" w:name="_Toc516826503"/>
      <w:bookmarkStart w:id="3961" w:name="_Toc516837823"/>
      <w:bookmarkStart w:id="3962" w:name="_Toc516838382"/>
      <w:bookmarkStart w:id="3963" w:name="_Toc516838941"/>
      <w:bookmarkStart w:id="3964" w:name="_Toc516839501"/>
      <w:bookmarkStart w:id="3965" w:name="_Toc517173597"/>
      <w:bookmarkStart w:id="3966" w:name="_Toc517175271"/>
      <w:bookmarkStart w:id="3967" w:name="_Toc517175858"/>
      <w:bookmarkStart w:id="3968" w:name="_Toc517176446"/>
      <w:bookmarkStart w:id="3969" w:name="_Toc517337771"/>
      <w:bookmarkStart w:id="3970" w:name="_Toc517360567"/>
      <w:bookmarkStart w:id="3971" w:name="_Toc516739949"/>
      <w:bookmarkStart w:id="3972" w:name="_Toc516751858"/>
      <w:bookmarkStart w:id="3973" w:name="_Toc516825946"/>
      <w:bookmarkStart w:id="3974" w:name="_Toc516826504"/>
      <w:bookmarkStart w:id="3975" w:name="_Toc516837824"/>
      <w:bookmarkStart w:id="3976" w:name="_Toc516838383"/>
      <w:bookmarkStart w:id="3977" w:name="_Toc516838942"/>
      <w:bookmarkStart w:id="3978" w:name="_Toc516839502"/>
      <w:bookmarkStart w:id="3979" w:name="_Toc517173598"/>
      <w:bookmarkStart w:id="3980" w:name="_Toc517175272"/>
      <w:bookmarkStart w:id="3981" w:name="_Toc517175859"/>
      <w:bookmarkStart w:id="3982" w:name="_Toc517176447"/>
      <w:bookmarkStart w:id="3983" w:name="_Toc517337772"/>
      <w:bookmarkStart w:id="3984" w:name="_Toc517360568"/>
      <w:bookmarkStart w:id="3985" w:name="_Toc516739950"/>
      <w:bookmarkStart w:id="3986" w:name="_Toc516751859"/>
      <w:bookmarkStart w:id="3987" w:name="_Toc516825947"/>
      <w:bookmarkStart w:id="3988" w:name="_Toc516826505"/>
      <w:bookmarkStart w:id="3989" w:name="_Toc516837825"/>
      <w:bookmarkStart w:id="3990" w:name="_Toc516838384"/>
      <w:bookmarkStart w:id="3991" w:name="_Toc516838943"/>
      <w:bookmarkStart w:id="3992" w:name="_Toc516839503"/>
      <w:bookmarkStart w:id="3993" w:name="_Toc517173599"/>
      <w:bookmarkStart w:id="3994" w:name="_Toc517175273"/>
      <w:bookmarkStart w:id="3995" w:name="_Toc517175860"/>
      <w:bookmarkStart w:id="3996" w:name="_Toc517176448"/>
      <w:bookmarkStart w:id="3997" w:name="_Toc517337773"/>
      <w:bookmarkStart w:id="3998" w:name="_Toc517360569"/>
      <w:bookmarkStart w:id="3999" w:name="_Toc516739951"/>
      <w:bookmarkStart w:id="4000" w:name="_Toc516751860"/>
      <w:bookmarkStart w:id="4001" w:name="_Toc516825948"/>
      <w:bookmarkStart w:id="4002" w:name="_Toc516826506"/>
      <w:bookmarkStart w:id="4003" w:name="_Toc516837826"/>
      <w:bookmarkStart w:id="4004" w:name="_Toc516838385"/>
      <w:bookmarkStart w:id="4005" w:name="_Toc516838944"/>
      <w:bookmarkStart w:id="4006" w:name="_Toc516839504"/>
      <w:bookmarkStart w:id="4007" w:name="_Toc517173600"/>
      <w:bookmarkStart w:id="4008" w:name="_Toc517175274"/>
      <w:bookmarkStart w:id="4009" w:name="_Toc517175861"/>
      <w:bookmarkStart w:id="4010" w:name="_Toc517176449"/>
      <w:bookmarkStart w:id="4011" w:name="_Toc517337774"/>
      <w:bookmarkStart w:id="4012" w:name="_Toc517360570"/>
      <w:bookmarkStart w:id="4013" w:name="_Toc516739952"/>
      <w:bookmarkStart w:id="4014" w:name="_Toc516751861"/>
      <w:bookmarkStart w:id="4015" w:name="_Toc516825949"/>
      <w:bookmarkStart w:id="4016" w:name="_Toc516826507"/>
      <w:bookmarkStart w:id="4017" w:name="_Toc516837827"/>
      <w:bookmarkStart w:id="4018" w:name="_Toc516838386"/>
      <w:bookmarkStart w:id="4019" w:name="_Toc516838945"/>
      <w:bookmarkStart w:id="4020" w:name="_Toc516839505"/>
      <w:bookmarkStart w:id="4021" w:name="_Toc517173601"/>
      <w:bookmarkStart w:id="4022" w:name="_Toc517175275"/>
      <w:bookmarkStart w:id="4023" w:name="_Toc517175862"/>
      <w:bookmarkStart w:id="4024" w:name="_Toc517176450"/>
      <w:bookmarkStart w:id="4025" w:name="_Toc517337775"/>
      <w:bookmarkStart w:id="4026" w:name="_Toc517360571"/>
      <w:bookmarkStart w:id="4027" w:name="_Toc516739953"/>
      <w:bookmarkStart w:id="4028" w:name="_Toc516751862"/>
      <w:bookmarkStart w:id="4029" w:name="_Toc516825950"/>
      <w:bookmarkStart w:id="4030" w:name="_Toc516826508"/>
      <w:bookmarkStart w:id="4031" w:name="_Toc516837828"/>
      <w:bookmarkStart w:id="4032" w:name="_Toc516838387"/>
      <w:bookmarkStart w:id="4033" w:name="_Toc516838946"/>
      <w:bookmarkStart w:id="4034" w:name="_Toc516839506"/>
      <w:bookmarkStart w:id="4035" w:name="_Toc517173602"/>
      <w:bookmarkStart w:id="4036" w:name="_Toc517175276"/>
      <w:bookmarkStart w:id="4037" w:name="_Toc517175863"/>
      <w:bookmarkStart w:id="4038" w:name="_Toc517176451"/>
      <w:bookmarkStart w:id="4039" w:name="_Toc517337776"/>
      <w:bookmarkStart w:id="4040" w:name="_Toc517360572"/>
      <w:bookmarkStart w:id="4041" w:name="_Toc516739954"/>
      <w:bookmarkStart w:id="4042" w:name="_Toc516751863"/>
      <w:bookmarkStart w:id="4043" w:name="_Toc516825951"/>
      <w:bookmarkStart w:id="4044" w:name="_Toc516826509"/>
      <w:bookmarkStart w:id="4045" w:name="_Toc516837829"/>
      <w:bookmarkStart w:id="4046" w:name="_Toc516838388"/>
      <w:bookmarkStart w:id="4047" w:name="_Toc516838947"/>
      <w:bookmarkStart w:id="4048" w:name="_Toc516839507"/>
      <w:bookmarkStart w:id="4049" w:name="_Toc517173603"/>
      <w:bookmarkStart w:id="4050" w:name="_Toc517175277"/>
      <w:bookmarkStart w:id="4051" w:name="_Toc517175864"/>
      <w:bookmarkStart w:id="4052" w:name="_Toc517176452"/>
      <w:bookmarkStart w:id="4053" w:name="_Toc517337777"/>
      <w:bookmarkStart w:id="4054" w:name="_Toc517360573"/>
      <w:bookmarkStart w:id="4055" w:name="_Toc516739955"/>
      <w:bookmarkStart w:id="4056" w:name="_Toc516751864"/>
      <w:bookmarkStart w:id="4057" w:name="_Toc516825952"/>
      <w:bookmarkStart w:id="4058" w:name="_Toc516826510"/>
      <w:bookmarkStart w:id="4059" w:name="_Toc516837830"/>
      <w:bookmarkStart w:id="4060" w:name="_Toc516838389"/>
      <w:bookmarkStart w:id="4061" w:name="_Toc516838948"/>
      <w:bookmarkStart w:id="4062" w:name="_Toc516839508"/>
      <w:bookmarkStart w:id="4063" w:name="_Toc517173604"/>
      <w:bookmarkStart w:id="4064" w:name="_Toc517175278"/>
      <w:bookmarkStart w:id="4065" w:name="_Toc517175865"/>
      <w:bookmarkStart w:id="4066" w:name="_Toc517176453"/>
      <w:bookmarkStart w:id="4067" w:name="_Toc517337778"/>
      <w:bookmarkStart w:id="4068" w:name="_Toc517360574"/>
      <w:bookmarkStart w:id="4069" w:name="_Toc516739956"/>
      <w:bookmarkStart w:id="4070" w:name="_Toc516751865"/>
      <w:bookmarkStart w:id="4071" w:name="_Toc516825953"/>
      <w:bookmarkStart w:id="4072" w:name="_Toc516826511"/>
      <w:bookmarkStart w:id="4073" w:name="_Toc516837831"/>
      <w:bookmarkStart w:id="4074" w:name="_Toc516838390"/>
      <w:bookmarkStart w:id="4075" w:name="_Toc516838949"/>
      <w:bookmarkStart w:id="4076" w:name="_Toc516839509"/>
      <w:bookmarkStart w:id="4077" w:name="_Toc517173605"/>
      <w:bookmarkStart w:id="4078" w:name="_Toc517175279"/>
      <w:bookmarkStart w:id="4079" w:name="_Toc517175866"/>
      <w:bookmarkStart w:id="4080" w:name="_Toc517176454"/>
      <w:bookmarkStart w:id="4081" w:name="_Toc517337779"/>
      <w:bookmarkStart w:id="4082" w:name="_Toc517360575"/>
      <w:bookmarkStart w:id="4083" w:name="_Toc516739957"/>
      <w:bookmarkStart w:id="4084" w:name="_Toc516751866"/>
      <w:bookmarkStart w:id="4085" w:name="_Toc516825954"/>
      <w:bookmarkStart w:id="4086" w:name="_Toc516826512"/>
      <w:bookmarkStart w:id="4087" w:name="_Toc516837832"/>
      <w:bookmarkStart w:id="4088" w:name="_Toc516838391"/>
      <w:bookmarkStart w:id="4089" w:name="_Toc516838950"/>
      <w:bookmarkStart w:id="4090" w:name="_Toc516839510"/>
      <w:bookmarkStart w:id="4091" w:name="_Toc517173606"/>
      <w:bookmarkStart w:id="4092" w:name="_Toc517175280"/>
      <w:bookmarkStart w:id="4093" w:name="_Toc517175867"/>
      <w:bookmarkStart w:id="4094" w:name="_Toc517176455"/>
      <w:bookmarkStart w:id="4095" w:name="_Toc517337780"/>
      <w:bookmarkStart w:id="4096" w:name="_Toc517360576"/>
      <w:bookmarkStart w:id="4097" w:name="_Toc516739958"/>
      <w:bookmarkStart w:id="4098" w:name="_Toc516751867"/>
      <w:bookmarkStart w:id="4099" w:name="_Toc516825955"/>
      <w:bookmarkStart w:id="4100" w:name="_Toc516826513"/>
      <w:bookmarkStart w:id="4101" w:name="_Toc516837833"/>
      <w:bookmarkStart w:id="4102" w:name="_Toc516838392"/>
      <w:bookmarkStart w:id="4103" w:name="_Toc516838951"/>
      <w:bookmarkStart w:id="4104" w:name="_Toc516839511"/>
      <w:bookmarkStart w:id="4105" w:name="_Toc517173607"/>
      <w:bookmarkStart w:id="4106" w:name="_Toc517175281"/>
      <w:bookmarkStart w:id="4107" w:name="_Toc517175868"/>
      <w:bookmarkStart w:id="4108" w:name="_Toc517176456"/>
      <w:bookmarkStart w:id="4109" w:name="_Toc517337781"/>
      <w:bookmarkStart w:id="4110" w:name="_Toc517360577"/>
      <w:bookmarkStart w:id="4111" w:name="_Toc516739959"/>
      <w:bookmarkStart w:id="4112" w:name="_Toc516751868"/>
      <w:bookmarkStart w:id="4113" w:name="_Toc516825956"/>
      <w:bookmarkStart w:id="4114" w:name="_Toc516826514"/>
      <w:bookmarkStart w:id="4115" w:name="_Toc516837834"/>
      <w:bookmarkStart w:id="4116" w:name="_Toc516838393"/>
      <w:bookmarkStart w:id="4117" w:name="_Toc516838952"/>
      <w:bookmarkStart w:id="4118" w:name="_Toc516839512"/>
      <w:bookmarkStart w:id="4119" w:name="_Toc517173608"/>
      <w:bookmarkStart w:id="4120" w:name="_Toc517175282"/>
      <w:bookmarkStart w:id="4121" w:name="_Toc517175869"/>
      <w:bookmarkStart w:id="4122" w:name="_Toc517176457"/>
      <w:bookmarkStart w:id="4123" w:name="_Toc517337782"/>
      <w:bookmarkStart w:id="4124" w:name="_Toc517360578"/>
      <w:bookmarkStart w:id="4125" w:name="_Toc516739960"/>
      <w:bookmarkStart w:id="4126" w:name="_Toc516751869"/>
      <w:bookmarkStart w:id="4127" w:name="_Toc516825957"/>
      <w:bookmarkStart w:id="4128" w:name="_Toc516826515"/>
      <w:bookmarkStart w:id="4129" w:name="_Toc516837835"/>
      <w:bookmarkStart w:id="4130" w:name="_Toc516838394"/>
      <w:bookmarkStart w:id="4131" w:name="_Toc516838953"/>
      <w:bookmarkStart w:id="4132" w:name="_Toc516839513"/>
      <w:bookmarkStart w:id="4133" w:name="_Toc517173609"/>
      <w:bookmarkStart w:id="4134" w:name="_Toc517175283"/>
      <w:bookmarkStart w:id="4135" w:name="_Toc517175870"/>
      <w:bookmarkStart w:id="4136" w:name="_Toc517176458"/>
      <w:bookmarkStart w:id="4137" w:name="_Toc517337783"/>
      <w:bookmarkStart w:id="4138" w:name="_Toc517360579"/>
      <w:bookmarkStart w:id="4139" w:name="_Toc516739961"/>
      <w:bookmarkStart w:id="4140" w:name="_Toc516751870"/>
      <w:bookmarkStart w:id="4141" w:name="_Toc516825958"/>
      <w:bookmarkStart w:id="4142" w:name="_Toc516826516"/>
      <w:bookmarkStart w:id="4143" w:name="_Toc516837836"/>
      <w:bookmarkStart w:id="4144" w:name="_Toc516838395"/>
      <w:bookmarkStart w:id="4145" w:name="_Toc516838954"/>
      <w:bookmarkStart w:id="4146" w:name="_Toc516839514"/>
      <w:bookmarkStart w:id="4147" w:name="_Toc517173610"/>
      <w:bookmarkStart w:id="4148" w:name="_Toc517175284"/>
      <w:bookmarkStart w:id="4149" w:name="_Toc517175871"/>
      <w:bookmarkStart w:id="4150" w:name="_Toc517176459"/>
      <w:bookmarkStart w:id="4151" w:name="_Toc517337784"/>
      <w:bookmarkStart w:id="4152" w:name="_Toc517360580"/>
      <w:bookmarkStart w:id="4153" w:name="_Toc516739962"/>
      <w:bookmarkStart w:id="4154" w:name="_Toc516751871"/>
      <w:bookmarkStart w:id="4155" w:name="_Toc516825959"/>
      <w:bookmarkStart w:id="4156" w:name="_Toc516826517"/>
      <w:bookmarkStart w:id="4157" w:name="_Toc516837837"/>
      <w:bookmarkStart w:id="4158" w:name="_Toc516838396"/>
      <w:bookmarkStart w:id="4159" w:name="_Toc516838955"/>
      <w:bookmarkStart w:id="4160" w:name="_Toc516839515"/>
      <w:bookmarkStart w:id="4161" w:name="_Toc517173611"/>
      <w:bookmarkStart w:id="4162" w:name="_Toc517175285"/>
      <w:bookmarkStart w:id="4163" w:name="_Toc517175872"/>
      <w:bookmarkStart w:id="4164" w:name="_Toc517176460"/>
      <w:bookmarkStart w:id="4165" w:name="_Toc517337785"/>
      <w:bookmarkStart w:id="4166" w:name="_Toc517360581"/>
      <w:bookmarkStart w:id="4167" w:name="_Toc516739963"/>
      <w:bookmarkStart w:id="4168" w:name="_Toc516751872"/>
      <w:bookmarkStart w:id="4169" w:name="_Toc516825960"/>
      <w:bookmarkStart w:id="4170" w:name="_Toc516826518"/>
      <w:bookmarkStart w:id="4171" w:name="_Toc516837838"/>
      <w:bookmarkStart w:id="4172" w:name="_Toc516838397"/>
      <w:bookmarkStart w:id="4173" w:name="_Toc516838956"/>
      <w:bookmarkStart w:id="4174" w:name="_Toc516839516"/>
      <w:bookmarkStart w:id="4175" w:name="_Toc517173612"/>
      <w:bookmarkStart w:id="4176" w:name="_Toc517175286"/>
      <w:bookmarkStart w:id="4177" w:name="_Toc517175873"/>
      <w:bookmarkStart w:id="4178" w:name="_Toc517176461"/>
      <w:bookmarkStart w:id="4179" w:name="_Toc517337786"/>
      <w:bookmarkStart w:id="4180" w:name="_Toc517360582"/>
      <w:bookmarkStart w:id="4181" w:name="_Toc516739964"/>
      <w:bookmarkStart w:id="4182" w:name="_Toc516751873"/>
      <w:bookmarkStart w:id="4183" w:name="_Toc516825961"/>
      <w:bookmarkStart w:id="4184" w:name="_Toc516826519"/>
      <w:bookmarkStart w:id="4185" w:name="_Toc516837839"/>
      <w:bookmarkStart w:id="4186" w:name="_Toc516838398"/>
      <w:bookmarkStart w:id="4187" w:name="_Toc516838957"/>
      <w:bookmarkStart w:id="4188" w:name="_Toc516839517"/>
      <w:bookmarkStart w:id="4189" w:name="_Toc517173613"/>
      <w:bookmarkStart w:id="4190" w:name="_Toc517175287"/>
      <w:bookmarkStart w:id="4191" w:name="_Toc517175874"/>
      <w:bookmarkStart w:id="4192" w:name="_Toc517176462"/>
      <w:bookmarkStart w:id="4193" w:name="_Toc517337787"/>
      <w:bookmarkStart w:id="4194" w:name="_Toc517360583"/>
      <w:bookmarkStart w:id="4195" w:name="_Toc516739965"/>
      <w:bookmarkStart w:id="4196" w:name="_Toc516751874"/>
      <w:bookmarkStart w:id="4197" w:name="_Toc516825962"/>
      <w:bookmarkStart w:id="4198" w:name="_Toc516826520"/>
      <w:bookmarkStart w:id="4199" w:name="_Toc516837840"/>
      <w:bookmarkStart w:id="4200" w:name="_Toc516838399"/>
      <w:bookmarkStart w:id="4201" w:name="_Toc516838958"/>
      <w:bookmarkStart w:id="4202" w:name="_Toc516839518"/>
      <w:bookmarkStart w:id="4203" w:name="_Toc517173614"/>
      <w:bookmarkStart w:id="4204" w:name="_Toc517175288"/>
      <w:bookmarkStart w:id="4205" w:name="_Toc517175875"/>
      <w:bookmarkStart w:id="4206" w:name="_Toc517176463"/>
      <w:bookmarkStart w:id="4207" w:name="_Toc517337788"/>
      <w:bookmarkStart w:id="4208" w:name="_Toc517360584"/>
      <w:bookmarkStart w:id="4209" w:name="_Toc516739966"/>
      <w:bookmarkStart w:id="4210" w:name="_Toc516751875"/>
      <w:bookmarkStart w:id="4211" w:name="_Toc516825963"/>
      <w:bookmarkStart w:id="4212" w:name="_Toc516826521"/>
      <w:bookmarkStart w:id="4213" w:name="_Toc516837841"/>
      <w:bookmarkStart w:id="4214" w:name="_Toc516838400"/>
      <w:bookmarkStart w:id="4215" w:name="_Toc516838959"/>
      <w:bookmarkStart w:id="4216" w:name="_Toc516839519"/>
      <w:bookmarkStart w:id="4217" w:name="_Toc517173615"/>
      <w:bookmarkStart w:id="4218" w:name="_Toc517175289"/>
      <w:bookmarkStart w:id="4219" w:name="_Toc517175876"/>
      <w:bookmarkStart w:id="4220" w:name="_Toc517176464"/>
      <w:bookmarkStart w:id="4221" w:name="_Toc517337789"/>
      <w:bookmarkStart w:id="4222" w:name="_Toc517360585"/>
      <w:bookmarkStart w:id="4223" w:name="_Toc516739967"/>
      <w:bookmarkStart w:id="4224" w:name="_Toc516751876"/>
      <w:bookmarkStart w:id="4225" w:name="_Toc516825964"/>
      <w:bookmarkStart w:id="4226" w:name="_Toc516826522"/>
      <w:bookmarkStart w:id="4227" w:name="_Toc516837842"/>
      <w:bookmarkStart w:id="4228" w:name="_Toc516838401"/>
      <w:bookmarkStart w:id="4229" w:name="_Toc516838960"/>
      <w:bookmarkStart w:id="4230" w:name="_Toc516839520"/>
      <w:bookmarkStart w:id="4231" w:name="_Toc517173616"/>
      <w:bookmarkStart w:id="4232" w:name="_Toc517175290"/>
      <w:bookmarkStart w:id="4233" w:name="_Toc517175877"/>
      <w:bookmarkStart w:id="4234" w:name="_Toc517176465"/>
      <w:bookmarkStart w:id="4235" w:name="_Toc517337790"/>
      <w:bookmarkStart w:id="4236" w:name="_Toc517360586"/>
      <w:bookmarkStart w:id="4237" w:name="_Toc516739968"/>
      <w:bookmarkStart w:id="4238" w:name="_Toc516751877"/>
      <w:bookmarkStart w:id="4239" w:name="_Toc516825965"/>
      <w:bookmarkStart w:id="4240" w:name="_Toc516826523"/>
      <w:bookmarkStart w:id="4241" w:name="_Toc516837843"/>
      <w:bookmarkStart w:id="4242" w:name="_Toc516838402"/>
      <w:bookmarkStart w:id="4243" w:name="_Toc516838961"/>
      <w:bookmarkStart w:id="4244" w:name="_Toc516839521"/>
      <w:bookmarkStart w:id="4245" w:name="_Toc517173617"/>
      <w:bookmarkStart w:id="4246" w:name="_Toc517175291"/>
      <w:bookmarkStart w:id="4247" w:name="_Toc517175878"/>
      <w:bookmarkStart w:id="4248" w:name="_Toc517176466"/>
      <w:bookmarkStart w:id="4249" w:name="_Toc517337791"/>
      <w:bookmarkStart w:id="4250" w:name="_Toc517360587"/>
      <w:bookmarkStart w:id="4251" w:name="_Toc516739969"/>
      <w:bookmarkStart w:id="4252" w:name="_Toc516751878"/>
      <w:bookmarkStart w:id="4253" w:name="_Toc516825966"/>
      <w:bookmarkStart w:id="4254" w:name="_Toc516826524"/>
      <w:bookmarkStart w:id="4255" w:name="_Toc516837844"/>
      <w:bookmarkStart w:id="4256" w:name="_Toc516838403"/>
      <w:bookmarkStart w:id="4257" w:name="_Toc516838962"/>
      <w:bookmarkStart w:id="4258" w:name="_Toc516839522"/>
      <w:bookmarkStart w:id="4259" w:name="_Toc517173618"/>
      <w:bookmarkStart w:id="4260" w:name="_Toc517175292"/>
      <w:bookmarkStart w:id="4261" w:name="_Toc517175879"/>
      <w:bookmarkStart w:id="4262" w:name="_Toc517176467"/>
      <w:bookmarkStart w:id="4263" w:name="_Toc517337792"/>
      <w:bookmarkStart w:id="4264" w:name="_Toc517360588"/>
      <w:bookmarkStart w:id="4265" w:name="_Toc516739970"/>
      <w:bookmarkStart w:id="4266" w:name="_Toc516751879"/>
      <w:bookmarkStart w:id="4267" w:name="_Toc516825967"/>
      <w:bookmarkStart w:id="4268" w:name="_Toc516826525"/>
      <w:bookmarkStart w:id="4269" w:name="_Toc516837845"/>
      <w:bookmarkStart w:id="4270" w:name="_Toc516838404"/>
      <w:bookmarkStart w:id="4271" w:name="_Toc516838963"/>
      <w:bookmarkStart w:id="4272" w:name="_Toc516839523"/>
      <w:bookmarkStart w:id="4273" w:name="_Toc517173619"/>
      <w:bookmarkStart w:id="4274" w:name="_Toc517175293"/>
      <w:bookmarkStart w:id="4275" w:name="_Toc517175880"/>
      <w:bookmarkStart w:id="4276" w:name="_Toc517176468"/>
      <w:bookmarkStart w:id="4277" w:name="_Toc517337793"/>
      <w:bookmarkStart w:id="4278" w:name="_Toc517360589"/>
      <w:bookmarkStart w:id="4279" w:name="_Toc516739971"/>
      <w:bookmarkStart w:id="4280" w:name="_Toc516751880"/>
      <w:bookmarkStart w:id="4281" w:name="_Toc516825968"/>
      <w:bookmarkStart w:id="4282" w:name="_Toc516826526"/>
      <w:bookmarkStart w:id="4283" w:name="_Toc516837846"/>
      <w:bookmarkStart w:id="4284" w:name="_Toc516838405"/>
      <w:bookmarkStart w:id="4285" w:name="_Toc516838964"/>
      <w:bookmarkStart w:id="4286" w:name="_Toc516839524"/>
      <w:bookmarkStart w:id="4287" w:name="_Toc517173620"/>
      <w:bookmarkStart w:id="4288" w:name="_Toc517175294"/>
      <w:bookmarkStart w:id="4289" w:name="_Toc517175881"/>
      <w:bookmarkStart w:id="4290" w:name="_Toc517176469"/>
      <w:bookmarkStart w:id="4291" w:name="_Toc517337794"/>
      <w:bookmarkStart w:id="4292" w:name="_Toc517360590"/>
      <w:bookmarkStart w:id="4293" w:name="_Toc516739972"/>
      <w:bookmarkStart w:id="4294" w:name="_Toc516751881"/>
      <w:bookmarkStart w:id="4295" w:name="_Toc516825969"/>
      <w:bookmarkStart w:id="4296" w:name="_Toc516826527"/>
      <w:bookmarkStart w:id="4297" w:name="_Toc516837847"/>
      <w:bookmarkStart w:id="4298" w:name="_Toc516838406"/>
      <w:bookmarkStart w:id="4299" w:name="_Toc516838965"/>
      <w:bookmarkStart w:id="4300" w:name="_Toc516839525"/>
      <w:bookmarkStart w:id="4301" w:name="_Toc517173621"/>
      <w:bookmarkStart w:id="4302" w:name="_Toc517175295"/>
      <w:bookmarkStart w:id="4303" w:name="_Toc517175882"/>
      <w:bookmarkStart w:id="4304" w:name="_Toc517176470"/>
      <w:bookmarkStart w:id="4305" w:name="_Toc517337795"/>
      <w:bookmarkStart w:id="4306" w:name="_Toc517360591"/>
      <w:bookmarkStart w:id="4307" w:name="_Toc516739973"/>
      <w:bookmarkStart w:id="4308" w:name="_Toc516751882"/>
      <w:bookmarkStart w:id="4309" w:name="_Toc516825970"/>
      <w:bookmarkStart w:id="4310" w:name="_Toc516826528"/>
      <w:bookmarkStart w:id="4311" w:name="_Toc516837848"/>
      <w:bookmarkStart w:id="4312" w:name="_Toc516838407"/>
      <w:bookmarkStart w:id="4313" w:name="_Toc516838966"/>
      <w:bookmarkStart w:id="4314" w:name="_Toc516839526"/>
      <w:bookmarkStart w:id="4315" w:name="_Toc517173622"/>
      <w:bookmarkStart w:id="4316" w:name="_Toc517175296"/>
      <w:bookmarkStart w:id="4317" w:name="_Toc517175883"/>
      <w:bookmarkStart w:id="4318" w:name="_Toc517176471"/>
      <w:bookmarkStart w:id="4319" w:name="_Toc517337796"/>
      <w:bookmarkStart w:id="4320" w:name="_Toc517360592"/>
      <w:bookmarkStart w:id="4321" w:name="_Toc516739974"/>
      <w:bookmarkStart w:id="4322" w:name="_Toc516751883"/>
      <w:bookmarkStart w:id="4323" w:name="_Toc516825971"/>
      <w:bookmarkStart w:id="4324" w:name="_Toc516826529"/>
      <w:bookmarkStart w:id="4325" w:name="_Toc516837849"/>
      <w:bookmarkStart w:id="4326" w:name="_Toc516838408"/>
      <w:bookmarkStart w:id="4327" w:name="_Toc516838967"/>
      <w:bookmarkStart w:id="4328" w:name="_Toc516839527"/>
      <w:bookmarkStart w:id="4329" w:name="_Toc517173623"/>
      <w:bookmarkStart w:id="4330" w:name="_Toc517175297"/>
      <w:bookmarkStart w:id="4331" w:name="_Toc517175884"/>
      <w:bookmarkStart w:id="4332" w:name="_Toc517176472"/>
      <w:bookmarkStart w:id="4333" w:name="_Toc517337797"/>
      <w:bookmarkStart w:id="4334" w:name="_Toc517360593"/>
      <w:bookmarkStart w:id="4335" w:name="_Toc143779237"/>
      <w:bookmarkStart w:id="4336" w:name="_Hlk39039940"/>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p>
    <w:p w14:paraId="5E3498E1" w14:textId="6782EF29" w:rsidR="00795C3E" w:rsidRPr="002D578B" w:rsidRDefault="00795C3E" w:rsidP="35BD9115">
      <w:pPr>
        <w:pStyle w:val="Titre3"/>
        <w:rPr>
          <w:caps/>
        </w:rPr>
      </w:pPr>
      <w:bookmarkStart w:id="4337" w:name="_Toc208420147"/>
      <w:bookmarkStart w:id="4338" w:name="_Toc225504377"/>
      <w:bookmarkStart w:id="4339" w:name="_Toc225772466"/>
      <w:bookmarkStart w:id="4340" w:name="_Toc233626333"/>
      <w:r w:rsidRPr="00EF06E6">
        <w:t>040/367-15 : Immeubles inoccupés et/ou délabrés</w:t>
      </w:r>
      <w:bookmarkEnd w:id="4335"/>
      <w:bookmarkEnd w:id="4337"/>
      <w:bookmarkEnd w:id="4338"/>
      <w:bookmarkEnd w:id="4339"/>
      <w:bookmarkEnd w:id="4340"/>
    </w:p>
    <w:bookmarkEnd w:id="4336"/>
    <w:p w14:paraId="22D9D8F1" w14:textId="77777777" w:rsidR="00795C3E" w:rsidRPr="00F91BDD" w:rsidRDefault="00795C3E" w:rsidP="00795C3E">
      <w:pPr>
        <w:spacing w:before="120"/>
      </w:pPr>
      <w:r w:rsidRPr="00F91BDD">
        <w:t>Taxe directe – Modèle disponible.</w:t>
      </w:r>
    </w:p>
    <w:p w14:paraId="1A6449EE" w14:textId="77777777" w:rsidR="00795C3E" w:rsidRPr="00F91BDD" w:rsidRDefault="00795C3E" w:rsidP="00795C3E">
      <w:pPr>
        <w:spacing w:before="120"/>
        <w:textAlignment w:val="baseline"/>
      </w:pPr>
      <w:r w:rsidRPr="00F91BDD">
        <w:t>Taux recommandés :</w:t>
      </w:r>
    </w:p>
    <w:p w14:paraId="1474E1AA" w14:textId="6757A948" w:rsidR="00795C3E" w:rsidRPr="00F91BDD" w:rsidRDefault="00795C3E" w:rsidP="00795C3E">
      <w:pPr>
        <w:spacing w:before="120"/>
        <w:textAlignment w:val="baseline"/>
      </w:pPr>
      <w:r w:rsidRPr="00F91BDD">
        <w:t>Lors de la 1</w:t>
      </w:r>
      <w:r w:rsidRPr="00F91BDD">
        <w:rPr>
          <w:vertAlign w:val="superscript"/>
        </w:rPr>
        <w:t>ère</w:t>
      </w:r>
      <w:r w:rsidRPr="00F91BDD">
        <w:t xml:space="preserve"> taxation : taux </w:t>
      </w:r>
      <w:r w:rsidRPr="00F91BDD">
        <w:rPr>
          <w:rFonts w:cs="Calibri Light"/>
        </w:rPr>
        <w:t>minimum</w:t>
      </w:r>
      <w:r w:rsidRPr="00F91BDD">
        <w:t xml:space="preserve"> de 25,00 </w:t>
      </w:r>
      <w:r w:rsidR="00BA456F" w:rsidRPr="00F91BDD">
        <w:t>euros par</w:t>
      </w:r>
      <w:r w:rsidRPr="00F91BDD">
        <w:t xml:space="preserve"> mètre courant de façade</w:t>
      </w:r>
    </w:p>
    <w:p w14:paraId="6302050E" w14:textId="6BC6FFF0" w:rsidR="00795C3E" w:rsidRPr="00F91BDD" w:rsidRDefault="00795C3E" w:rsidP="00795C3E">
      <w:pPr>
        <w:spacing w:before="120"/>
        <w:textAlignment w:val="baseline"/>
      </w:pPr>
      <w:r w:rsidRPr="00F91BDD">
        <w:t>Lors de la 2</w:t>
      </w:r>
      <w:r w:rsidRPr="00F91BDD">
        <w:rPr>
          <w:vertAlign w:val="superscript"/>
        </w:rPr>
        <w:t>ème</w:t>
      </w:r>
      <w:r w:rsidRPr="00F91BDD">
        <w:t xml:space="preserve"> taxation : taux </w:t>
      </w:r>
      <w:r w:rsidRPr="00F91BDD">
        <w:rPr>
          <w:rFonts w:cs="Calibri Light"/>
        </w:rPr>
        <w:t>minimum</w:t>
      </w:r>
      <w:r w:rsidRPr="00F91BDD">
        <w:t xml:space="preserve"> de 50,00 </w:t>
      </w:r>
      <w:r w:rsidR="00BA456F" w:rsidRPr="00F91BDD">
        <w:t>euros par</w:t>
      </w:r>
      <w:r w:rsidRPr="00F91BDD">
        <w:t xml:space="preserve"> mètre courant de façade</w:t>
      </w:r>
    </w:p>
    <w:p w14:paraId="5F88E32B" w14:textId="09FCCC7E" w:rsidR="00795C3E" w:rsidRPr="00F91BDD" w:rsidRDefault="00795C3E" w:rsidP="00795C3E">
      <w:pPr>
        <w:spacing w:before="120"/>
        <w:textAlignment w:val="baseline"/>
      </w:pPr>
      <w:r w:rsidRPr="00F91BDD">
        <w:t>A partir de la 3</w:t>
      </w:r>
      <w:r w:rsidRPr="00F91BDD">
        <w:rPr>
          <w:vertAlign w:val="superscript"/>
        </w:rPr>
        <w:t>ème</w:t>
      </w:r>
      <w:r w:rsidRPr="00F91BDD">
        <w:t xml:space="preserve"> taxation : taux </w:t>
      </w:r>
      <w:r w:rsidRPr="00F91BDD">
        <w:rPr>
          <w:rFonts w:cs="Calibri Light"/>
        </w:rPr>
        <w:t>minimum</w:t>
      </w:r>
      <w:r w:rsidRPr="00F91BDD">
        <w:t xml:space="preserve"> de 200,00 </w:t>
      </w:r>
      <w:r w:rsidR="00BA456F" w:rsidRPr="00F91BDD">
        <w:t>euros par</w:t>
      </w:r>
      <w:r w:rsidRPr="00F91BDD">
        <w:t xml:space="preserve"> mètre courant de façade </w:t>
      </w:r>
    </w:p>
    <w:p w14:paraId="217FD6D8" w14:textId="568BB5FA" w:rsidR="00795C3E" w:rsidRPr="00F91BDD" w:rsidRDefault="00795C3E" w:rsidP="00795C3E">
      <w:pPr>
        <w:spacing w:before="120"/>
        <w:textAlignment w:val="baseline"/>
      </w:pPr>
      <w:r w:rsidRPr="00F91BDD">
        <w:lastRenderedPageBreak/>
        <w:t xml:space="preserve">Le taux maximum recommandé est quant à lui de 270,00 </w:t>
      </w:r>
      <w:r w:rsidR="00BA456F" w:rsidRPr="00F91BDD">
        <w:t>euros par</w:t>
      </w:r>
      <w:r w:rsidRPr="00F91BDD">
        <w:t xml:space="preserve"> mètre courant de façade. </w:t>
      </w:r>
    </w:p>
    <w:p w14:paraId="4061D75D" w14:textId="77777777" w:rsidR="00795C3E" w:rsidRPr="00F91BDD" w:rsidRDefault="00795C3E" w:rsidP="00795C3E">
      <w:pPr>
        <w:spacing w:before="120"/>
        <w:textAlignment w:val="baseline"/>
        <w:rPr>
          <w:b/>
        </w:rPr>
      </w:pPr>
      <w:r w:rsidRPr="00F91BDD">
        <w:rPr>
          <w:b/>
        </w:rPr>
        <w:t>OU</w:t>
      </w:r>
    </w:p>
    <w:p w14:paraId="048FDBC9" w14:textId="1A3D13F0" w:rsidR="00795C3E" w:rsidRPr="00F91BDD" w:rsidRDefault="00795C3E" w:rsidP="00795C3E">
      <w:pPr>
        <w:spacing w:before="120"/>
        <w:textAlignment w:val="baseline"/>
      </w:pPr>
      <w:bookmarkStart w:id="4341" w:name="_Hlk69137922"/>
      <w:r w:rsidRPr="00F91BDD">
        <w:t xml:space="preserve">Lors de la 1ère taxation : taux </w:t>
      </w:r>
      <w:r w:rsidRPr="00F91BDD">
        <w:rPr>
          <w:rFonts w:cs="Calibri Light"/>
        </w:rPr>
        <w:t>minimum</w:t>
      </w:r>
      <w:r w:rsidRPr="00F91BDD">
        <w:t xml:space="preserve"> de 5,00 </w:t>
      </w:r>
      <w:r w:rsidR="00BA456F" w:rsidRPr="00F91BDD">
        <w:t>euros par</w:t>
      </w:r>
      <w:r w:rsidRPr="00F91BDD">
        <w:t xml:space="preserve"> m²</w:t>
      </w:r>
    </w:p>
    <w:p w14:paraId="1DEF6F0F" w14:textId="12CE9B26" w:rsidR="00795C3E" w:rsidRPr="00F91BDD" w:rsidRDefault="00795C3E" w:rsidP="00795C3E">
      <w:pPr>
        <w:spacing w:before="120"/>
        <w:textAlignment w:val="baseline"/>
      </w:pPr>
      <w:r w:rsidRPr="00F91BDD">
        <w:t xml:space="preserve">Lors de la 2ème taxation : taux </w:t>
      </w:r>
      <w:r w:rsidRPr="00F91BDD">
        <w:rPr>
          <w:rFonts w:cs="Calibri Light"/>
        </w:rPr>
        <w:t>minimum</w:t>
      </w:r>
      <w:r w:rsidRPr="00F91BDD">
        <w:t xml:space="preserve"> de 10,00 </w:t>
      </w:r>
      <w:r w:rsidR="00BA456F" w:rsidRPr="00F91BDD">
        <w:t>euros par</w:t>
      </w:r>
      <w:r w:rsidRPr="00F91BDD">
        <w:t xml:space="preserve"> m²</w:t>
      </w:r>
    </w:p>
    <w:p w14:paraId="05845F68" w14:textId="1ED24FAA" w:rsidR="00795C3E" w:rsidRPr="00F91BDD" w:rsidRDefault="00795C3E" w:rsidP="00795C3E">
      <w:pPr>
        <w:spacing w:before="120"/>
        <w:textAlignment w:val="baseline"/>
      </w:pPr>
      <w:r w:rsidRPr="00F91BDD">
        <w:t xml:space="preserve">A partir de la 3ème taxation : taux </w:t>
      </w:r>
      <w:r w:rsidRPr="00F91BDD">
        <w:rPr>
          <w:rFonts w:cs="Calibri Light"/>
        </w:rPr>
        <w:t>minimum</w:t>
      </w:r>
      <w:r w:rsidRPr="00F91BDD">
        <w:t xml:space="preserve"> de 40,00 </w:t>
      </w:r>
      <w:r w:rsidR="00BA456F" w:rsidRPr="00F91BDD">
        <w:t>euros par</w:t>
      </w:r>
      <w:r w:rsidRPr="00F91BDD">
        <w:t xml:space="preserve"> m²</w:t>
      </w:r>
    </w:p>
    <w:p w14:paraId="424CBACD" w14:textId="0E4E2A5B" w:rsidR="00795C3E" w:rsidRPr="00F91BDD" w:rsidRDefault="00795C3E" w:rsidP="00795C3E">
      <w:pPr>
        <w:spacing w:before="120"/>
        <w:textAlignment w:val="baseline"/>
      </w:pPr>
      <w:r w:rsidRPr="00F91BDD">
        <w:t xml:space="preserve">Le taux maximum recommandé est quant à lui de 54,00 </w:t>
      </w:r>
      <w:r w:rsidR="00BA456F" w:rsidRPr="00F91BDD">
        <w:t>euros par</w:t>
      </w:r>
      <w:r w:rsidRPr="00F91BDD">
        <w:t xml:space="preserve"> m² </w:t>
      </w:r>
    </w:p>
    <w:p w14:paraId="14A70FC9" w14:textId="77777777" w:rsidR="00795C3E" w:rsidRPr="00F91BDD" w:rsidRDefault="00795C3E" w:rsidP="00795C3E">
      <w:pPr>
        <w:spacing w:before="120"/>
        <w:textAlignment w:val="baseline"/>
      </w:pPr>
      <w:bookmarkStart w:id="4342" w:name="_Hlk102035473"/>
      <w:bookmarkEnd w:id="4341"/>
      <w:r w:rsidRPr="00F91BDD">
        <w:t xml:space="preserve">J’attire </w:t>
      </w:r>
      <w:r w:rsidRPr="004E425F">
        <w:t xml:space="preserve">aussi </w:t>
      </w:r>
      <w:r w:rsidRPr="00F91BDD">
        <w:t>spécialement votre attention sur les contraintes, voire les difficultés inhérentes à la taxation au m². Si cette méthode est privilégiée, elle doit être mûrement réfléchie compte tenu des renseignements indispensables dont vous pouvez disposer et ceux à obtenir ainsi que des outils pour les obtenir.</w:t>
      </w:r>
    </w:p>
    <w:p w14:paraId="6815462B" w14:textId="77777777" w:rsidR="00795C3E" w:rsidRPr="00F91BDD" w:rsidRDefault="00795C3E" w:rsidP="00795C3E">
      <w:pPr>
        <w:spacing w:before="120"/>
        <w:textAlignment w:val="baseline"/>
      </w:pPr>
      <w:r w:rsidRPr="00F91BDD">
        <w:t>Le choix de l’une ou l’autre méthode doit être motivé spécifiquement dans le préambule du règlement-taxe ou dans le dossier administratif.</w:t>
      </w:r>
    </w:p>
    <w:p w14:paraId="1331C9A6" w14:textId="77777777" w:rsidR="00795C3E" w:rsidRPr="00F91BDD" w:rsidRDefault="00795C3E" w:rsidP="00795C3E">
      <w:pPr>
        <w:spacing w:before="120"/>
        <w:textAlignment w:val="baseline"/>
      </w:pPr>
      <w:r w:rsidRPr="00F91BDD">
        <w:t>Il est fortement recommandé aux communes de veiller à ce que les règlements-taxes prévoient, les taux minima recommandés ci-dessus.</w:t>
      </w:r>
    </w:p>
    <w:p w14:paraId="7811999A" w14:textId="77777777" w:rsidR="00795C3E" w:rsidRDefault="00795C3E" w:rsidP="00795C3E">
      <w:pPr>
        <w:spacing w:before="120"/>
        <w:textAlignment w:val="baseline"/>
      </w:pPr>
      <w:r w:rsidRPr="00F91BDD">
        <w:rPr>
          <w:spacing w:val="5"/>
        </w:rPr>
        <w:t xml:space="preserve">L'objectif de cette taxe, qui vise tous les immeubles affectés au logement et uniquement les sites d’activité économique désaffectés, est d’inciter à la réhabilitation et la réintroduction sur le marché locatif des immeubles inoccupés, de développer </w:t>
      </w:r>
      <w:r w:rsidRPr="004E425F">
        <w:rPr>
          <w:spacing w:val="5"/>
        </w:rPr>
        <w:t>I ’aménagement</w:t>
      </w:r>
      <w:r w:rsidRPr="00F91BDD">
        <w:rPr>
          <w:spacing w:val="5"/>
        </w:rPr>
        <w:t xml:space="preserve"> de logements au-dessus de</w:t>
      </w:r>
      <w:r w:rsidRPr="00F91BDD">
        <w:t xml:space="preserve"> commerces et/ou d'en faire procéder à la revente dans une optique d'habitation ou de développement d'activités économiques et des étages se situant au-dessus des immeubles commerciaux. </w:t>
      </w:r>
    </w:p>
    <w:p w14:paraId="570DF46A" w14:textId="64B697A2" w:rsidR="000F546C" w:rsidRPr="00F57C2C" w:rsidRDefault="000F546C" w:rsidP="00795C3E">
      <w:pPr>
        <w:spacing w:before="120"/>
        <w:textAlignment w:val="baseline"/>
        <w:rPr>
          <w:b/>
          <w:bCs/>
          <w:color w:val="EE0000"/>
        </w:rPr>
      </w:pPr>
      <w:r w:rsidRPr="00F57C2C">
        <w:rPr>
          <w:b/>
          <w:bCs/>
          <w:color w:val="EE0000"/>
        </w:rPr>
        <w:t>Point d’attention</w:t>
      </w:r>
      <w:r w:rsidR="00E20DAE">
        <w:rPr>
          <w:b/>
          <w:bCs/>
          <w:color w:val="EE0000"/>
        </w:rPr>
        <w:t xml:space="preserve"> – cour d’appel du 13 novembre 2024</w:t>
      </w:r>
    </w:p>
    <w:p w14:paraId="2AA08AC9" w14:textId="77777777" w:rsidR="000F546C" w:rsidRPr="000F546C" w:rsidRDefault="000F546C" w:rsidP="000F546C">
      <w:pPr>
        <w:spacing w:before="120"/>
        <w:textAlignment w:val="baseline"/>
        <w:rPr>
          <w:b/>
          <w:bCs/>
          <w:color w:val="EE0000"/>
        </w:rPr>
      </w:pPr>
      <w:r w:rsidRPr="000F546C">
        <w:rPr>
          <w:b/>
          <w:bCs/>
          <w:color w:val="EE0000"/>
        </w:rPr>
        <w:t>Une attention particulière doit être portée à la régularité de la procédure de constatation préalable à l’établissement de la taxe sur les immeubles inoccupés et/ou délabrés.</w:t>
      </w:r>
    </w:p>
    <w:p w14:paraId="6BF9177C" w14:textId="77777777" w:rsidR="000F546C" w:rsidRPr="000F546C" w:rsidRDefault="000F546C" w:rsidP="000F546C">
      <w:pPr>
        <w:spacing w:before="120"/>
        <w:textAlignment w:val="baseline"/>
        <w:rPr>
          <w:b/>
          <w:bCs/>
          <w:color w:val="EE0000"/>
        </w:rPr>
      </w:pPr>
      <w:r w:rsidRPr="000F546C">
        <w:rPr>
          <w:b/>
          <w:bCs/>
          <w:color w:val="EE0000"/>
        </w:rPr>
        <w:t>En effet, cette taxe ne repose pas uniquement sur l’existence matérielle d’un immeuble inoccupé, abandonné ou délabré. Elle suppose, au préalable, qu’un constat régulier ait été dressé par la commune, conformément aux exigences prévues par le règlement-taxe. Ce constat constitue la base administrative permettant, le cas échéant, d’inscrire l’immeuble dans le registre communal des immeubles inoccupés et/ou délabrés et, ensuite, d’établir la taxe.</w:t>
      </w:r>
    </w:p>
    <w:p w14:paraId="4E06E16A" w14:textId="77777777" w:rsidR="000F546C" w:rsidRPr="000F546C" w:rsidRDefault="000F546C" w:rsidP="000F546C">
      <w:pPr>
        <w:spacing w:before="120"/>
        <w:textAlignment w:val="baseline"/>
        <w:rPr>
          <w:b/>
          <w:bCs/>
          <w:color w:val="EE0000"/>
        </w:rPr>
      </w:pPr>
      <w:r w:rsidRPr="000F546C">
        <w:rPr>
          <w:b/>
          <w:bCs/>
          <w:color w:val="EE0000"/>
        </w:rPr>
        <w:t xml:space="preserve">Il convient dès lors d’insister sur le fait que le constat d’inoccupation ou de délabrement ne peut pas être traité comme une simple formalité. Il constitue une étape essentielle du mécanisme fiscal. Un vice affectant cet acte préparatoire ou constatatoire peut entraîner l’irrégularité de l’inscription de l’immeuble dans le </w:t>
      </w:r>
      <w:r w:rsidRPr="000F546C">
        <w:rPr>
          <w:b/>
          <w:bCs/>
          <w:color w:val="EE0000"/>
        </w:rPr>
        <w:lastRenderedPageBreak/>
        <w:t>registre et, par voie de conséquence, fragiliser voire faire annuler la taxation qui en découle.</w:t>
      </w:r>
    </w:p>
    <w:p w14:paraId="7902729A" w14:textId="77777777" w:rsidR="000F546C" w:rsidRPr="000F546C" w:rsidRDefault="000F546C" w:rsidP="000F546C">
      <w:pPr>
        <w:spacing w:before="120"/>
        <w:textAlignment w:val="baseline"/>
        <w:rPr>
          <w:b/>
          <w:bCs/>
          <w:color w:val="EE0000"/>
        </w:rPr>
      </w:pPr>
      <w:r w:rsidRPr="000F546C">
        <w:rPr>
          <w:b/>
          <w:bCs/>
          <w:color w:val="EE0000"/>
        </w:rPr>
        <w:t>La jurisprudence rappelle à cet égard que, lorsque le règlement communal impose que le constat soit accompagné d’éléments précis, ceux-ci doivent être effectivement présents dans le dossier. Tel est notamment le cas lorsqu’un dossier photographique, un rapport descriptif ou des constatations visuelles sont exigés. Ces éléments ne constituent pas de simples accessoires probatoires : ils peuvent être considérés comme des conditions substantielles de validité du constat.</w:t>
      </w:r>
    </w:p>
    <w:p w14:paraId="6DF368A4" w14:textId="77777777" w:rsidR="000F546C" w:rsidRPr="000F546C" w:rsidRDefault="000F546C" w:rsidP="000F546C">
      <w:pPr>
        <w:spacing w:before="120"/>
        <w:textAlignment w:val="baseline"/>
        <w:rPr>
          <w:b/>
          <w:bCs/>
          <w:color w:val="EE0000"/>
        </w:rPr>
      </w:pPr>
      <w:r w:rsidRPr="000F546C">
        <w:rPr>
          <w:b/>
          <w:bCs/>
          <w:color w:val="EE0000"/>
        </w:rPr>
        <w:t>Il ne suffit donc pas, pour établir l’inoccupation, de se fonder exclusivement sur des indices administratifs indirects, tels que l’absence d’inscription au registre de la population, l’absence de déclaration de seconde résidence ou des données issues de fichiers communaux. Ces éléments peuvent utilement compléter le dossier, mais ils ne remplacent pas les constatations matérielles exigées par le règlement, en particulier lorsque celui-ci prévoit une vérification visuelle ou un dossier photographique.</w:t>
      </w:r>
    </w:p>
    <w:p w14:paraId="2E024E98" w14:textId="77777777" w:rsidR="000F546C" w:rsidRPr="000F546C" w:rsidRDefault="000F546C" w:rsidP="000F546C">
      <w:pPr>
        <w:spacing w:before="120"/>
        <w:textAlignment w:val="baseline"/>
        <w:rPr>
          <w:b/>
          <w:bCs/>
          <w:color w:val="EE0000"/>
        </w:rPr>
      </w:pPr>
      <w:r w:rsidRPr="000F546C">
        <w:rPr>
          <w:b/>
          <w:bCs/>
          <w:color w:val="EE0000"/>
        </w:rPr>
        <w:t>Les communes sont dès lors invitées à veiller à ce que chaque dossier soit constitué de manière complète, contemporaine et conforme au règlement applicable. Les éléments probatoires doivent exister au moment où le constat est dressé. Des pièces établies ou ajoutées postérieurement ne permettent pas nécessairement de régulariser un constat initial incomplet, dès lors qu’elles n’ont pas pu fonder la décision administrative au moment où celle-ci a été prise.</w:t>
      </w:r>
    </w:p>
    <w:p w14:paraId="298DF02B" w14:textId="77777777" w:rsidR="000F546C" w:rsidRPr="000F546C" w:rsidRDefault="000F546C" w:rsidP="000F546C">
      <w:pPr>
        <w:spacing w:before="120"/>
        <w:textAlignment w:val="baseline"/>
        <w:rPr>
          <w:b/>
          <w:bCs/>
          <w:color w:val="EE0000"/>
        </w:rPr>
      </w:pPr>
      <w:r w:rsidRPr="000F546C">
        <w:rPr>
          <w:b/>
          <w:bCs/>
          <w:color w:val="EE0000"/>
        </w:rPr>
        <w:t>Pour une première taxation, il est recommandé de prévoir et de respecter une procédure reposant sur deux constats espacés d’au moins six mois. Le premier constat permet d’identifier la situation problématique et d’en informer le propriétaire. Le second constat permet de confirmer le caractère durable de l’inoccupation, de l’abandon ou du délabrement. Ce second constat constitue alors le fait générateur de la taxe.</w:t>
      </w:r>
    </w:p>
    <w:p w14:paraId="45435805" w14:textId="77777777" w:rsidR="000F546C" w:rsidRPr="000F546C" w:rsidRDefault="000F546C" w:rsidP="000F546C">
      <w:pPr>
        <w:spacing w:before="120"/>
        <w:textAlignment w:val="baseline"/>
        <w:rPr>
          <w:b/>
          <w:bCs/>
          <w:color w:val="EE0000"/>
        </w:rPr>
      </w:pPr>
      <w:r w:rsidRPr="000F546C">
        <w:rPr>
          <w:b/>
          <w:bCs/>
          <w:color w:val="EE0000"/>
        </w:rPr>
        <w:t>Le règlement-taxe doit également organiser une procédure contradictoire effective. Le redevable doit pouvoir être informé des constats dressés, présenter ses observations et produire les éléments utiles démontrant, le cas échéant, l’occupation effective de l’immeuble, l’existence de travaux en cours, une mise en vente ou en location réelle, une procédure successorale ou judiciaire, ou toute autre circonstance de nature à faire obstacle à la taxation.</w:t>
      </w:r>
    </w:p>
    <w:p w14:paraId="43948CB6" w14:textId="77777777" w:rsidR="000F546C" w:rsidRPr="000F546C" w:rsidRDefault="000F546C" w:rsidP="000F546C">
      <w:pPr>
        <w:spacing w:before="120"/>
        <w:textAlignment w:val="baseline"/>
        <w:rPr>
          <w:b/>
          <w:bCs/>
          <w:color w:val="EE0000"/>
        </w:rPr>
      </w:pPr>
      <w:r w:rsidRPr="000F546C">
        <w:rPr>
          <w:b/>
          <w:bCs/>
          <w:color w:val="EE0000"/>
        </w:rPr>
        <w:t>Les exonérations ou causes de suspension doivent être définies avec précision et justifiées objectivement. Une attention particulière doit être portée aux situations dans lesquelles l’immeuble est formellement donné en location, mis en vente ou fait l’objet de travaux. Ces circonstances ne doivent pas automatiquement exclure toute taxation, mais elles doivent être examinées au regard de critères clairs, vérifiables et prévus par le règlement communal.</w:t>
      </w:r>
    </w:p>
    <w:p w14:paraId="34E6F43D" w14:textId="34688376" w:rsidR="000F546C" w:rsidRPr="000F546C" w:rsidRDefault="000F546C" w:rsidP="000F546C">
      <w:pPr>
        <w:spacing w:before="120"/>
        <w:textAlignment w:val="baseline"/>
        <w:rPr>
          <w:b/>
          <w:bCs/>
          <w:color w:val="EE0000"/>
        </w:rPr>
      </w:pPr>
      <w:r w:rsidRPr="000F546C">
        <w:rPr>
          <w:b/>
          <w:bCs/>
          <w:color w:val="EE0000"/>
        </w:rPr>
        <w:lastRenderedPageBreak/>
        <w:t>L’enjeu est également budgétaire. Une taxe fondée sur un constat absent, incomplet ou irrégulier est susceptible d’être contestée par le redevable et annulée par l’autorité de tutelle ou par le juge. Une telle annulation peut entraîner l’impossibilité de recouvrer la recette attendue, voire l’obligation de rembourser des montants déjà perçus. Il est donc essentiel que les communes sécurisent la procédure en amont, plutôt que de tenter de justifier la taxation a posteriori.</w:t>
      </w:r>
    </w:p>
    <w:p w14:paraId="1B34A500" w14:textId="77777777" w:rsidR="000F546C" w:rsidRPr="000F546C" w:rsidRDefault="000F546C" w:rsidP="000F546C">
      <w:pPr>
        <w:spacing w:before="120"/>
        <w:textAlignment w:val="baseline"/>
        <w:rPr>
          <w:b/>
          <w:bCs/>
          <w:color w:val="EE0000"/>
        </w:rPr>
      </w:pPr>
      <w:r w:rsidRPr="000F546C">
        <w:rPr>
          <w:b/>
          <w:bCs/>
          <w:color w:val="EE0000"/>
        </w:rPr>
        <w:t>En pratique, les communes sont invitées à s’assurer que leur règlement-taxe prévoit clairement :</w:t>
      </w:r>
    </w:p>
    <w:p w14:paraId="4DAAA680" w14:textId="77777777" w:rsidR="000F546C" w:rsidRPr="000F546C" w:rsidRDefault="000F546C">
      <w:pPr>
        <w:numPr>
          <w:ilvl w:val="0"/>
          <w:numId w:val="224"/>
        </w:numPr>
        <w:spacing w:before="120"/>
        <w:textAlignment w:val="baseline"/>
        <w:rPr>
          <w:b/>
          <w:bCs/>
          <w:color w:val="EE0000"/>
        </w:rPr>
      </w:pPr>
      <w:r w:rsidRPr="000F546C">
        <w:rPr>
          <w:b/>
          <w:bCs/>
          <w:color w:val="EE0000"/>
        </w:rPr>
        <w:t>les critères objectifs permettant d’identifier un immeuble inoccupé, abandonné ou délabré ;</w:t>
      </w:r>
    </w:p>
    <w:p w14:paraId="26C24A81" w14:textId="77777777" w:rsidR="000F546C" w:rsidRPr="000F546C" w:rsidRDefault="000F546C">
      <w:pPr>
        <w:numPr>
          <w:ilvl w:val="0"/>
          <w:numId w:val="224"/>
        </w:numPr>
        <w:spacing w:before="120"/>
        <w:textAlignment w:val="baseline"/>
        <w:rPr>
          <w:b/>
          <w:bCs/>
          <w:color w:val="EE0000"/>
        </w:rPr>
      </w:pPr>
      <w:r w:rsidRPr="000F546C">
        <w:rPr>
          <w:b/>
          <w:bCs/>
          <w:color w:val="EE0000"/>
        </w:rPr>
        <w:t>l’identité ou la qualité des agents habilités à dresser les constats ;</w:t>
      </w:r>
    </w:p>
    <w:p w14:paraId="06B0EDB7" w14:textId="77777777" w:rsidR="000F546C" w:rsidRPr="000F546C" w:rsidRDefault="000F546C">
      <w:pPr>
        <w:numPr>
          <w:ilvl w:val="0"/>
          <w:numId w:val="224"/>
        </w:numPr>
        <w:spacing w:before="120"/>
        <w:textAlignment w:val="baseline"/>
        <w:rPr>
          <w:b/>
          <w:bCs/>
          <w:color w:val="EE0000"/>
        </w:rPr>
      </w:pPr>
      <w:r w:rsidRPr="000F546C">
        <w:rPr>
          <w:b/>
          <w:bCs/>
          <w:color w:val="EE0000"/>
        </w:rPr>
        <w:t>le contenu minimal du constat, notamment un acte daté et numéroté, un rapport descriptif et, lorsque le règlement le prévoit, un dossier photographique ;</w:t>
      </w:r>
    </w:p>
    <w:p w14:paraId="4C9C3775" w14:textId="77777777" w:rsidR="000F546C" w:rsidRPr="000F546C" w:rsidRDefault="000F546C">
      <w:pPr>
        <w:numPr>
          <w:ilvl w:val="0"/>
          <w:numId w:val="224"/>
        </w:numPr>
        <w:spacing w:before="120"/>
        <w:textAlignment w:val="baseline"/>
        <w:rPr>
          <w:b/>
          <w:bCs/>
          <w:color w:val="EE0000"/>
        </w:rPr>
      </w:pPr>
      <w:r w:rsidRPr="000F546C">
        <w:rPr>
          <w:b/>
          <w:bCs/>
          <w:color w:val="EE0000"/>
        </w:rPr>
        <w:t>les modalités de notification au propriétaire ou au titulaire du droit réel concerné ;</w:t>
      </w:r>
    </w:p>
    <w:p w14:paraId="20086344" w14:textId="77777777" w:rsidR="000F546C" w:rsidRPr="000F546C" w:rsidRDefault="000F546C">
      <w:pPr>
        <w:numPr>
          <w:ilvl w:val="0"/>
          <w:numId w:val="224"/>
        </w:numPr>
        <w:spacing w:before="120"/>
        <w:textAlignment w:val="baseline"/>
        <w:rPr>
          <w:b/>
          <w:bCs/>
          <w:color w:val="EE0000"/>
        </w:rPr>
      </w:pPr>
      <w:r w:rsidRPr="000F546C">
        <w:rPr>
          <w:b/>
          <w:bCs/>
          <w:color w:val="EE0000"/>
        </w:rPr>
        <w:t>l’organisation d’une procédure contradictoire ;</w:t>
      </w:r>
    </w:p>
    <w:p w14:paraId="7CD4E06C" w14:textId="77777777" w:rsidR="000F546C" w:rsidRPr="000F546C" w:rsidRDefault="000F546C">
      <w:pPr>
        <w:numPr>
          <w:ilvl w:val="0"/>
          <w:numId w:val="224"/>
        </w:numPr>
        <w:spacing w:before="120"/>
        <w:textAlignment w:val="baseline"/>
        <w:rPr>
          <w:b/>
          <w:bCs/>
          <w:color w:val="EE0000"/>
        </w:rPr>
      </w:pPr>
      <w:r w:rsidRPr="000F546C">
        <w:rPr>
          <w:b/>
          <w:bCs/>
          <w:color w:val="EE0000"/>
        </w:rPr>
        <w:t>le délai entre les constats, notamment pour la première taxation ;</w:t>
      </w:r>
    </w:p>
    <w:p w14:paraId="0DB27C55" w14:textId="77777777" w:rsidR="000F546C" w:rsidRPr="000F546C" w:rsidRDefault="000F546C">
      <w:pPr>
        <w:numPr>
          <w:ilvl w:val="0"/>
          <w:numId w:val="224"/>
        </w:numPr>
        <w:spacing w:before="120"/>
        <w:textAlignment w:val="baseline"/>
        <w:rPr>
          <w:b/>
          <w:bCs/>
          <w:color w:val="EE0000"/>
        </w:rPr>
      </w:pPr>
      <w:r w:rsidRPr="000F546C">
        <w:rPr>
          <w:b/>
          <w:bCs/>
          <w:color w:val="EE0000"/>
        </w:rPr>
        <w:t>le moment précis auquel naît le fait générateur de la taxe ;</w:t>
      </w:r>
    </w:p>
    <w:p w14:paraId="13588E57" w14:textId="77777777" w:rsidR="000F546C" w:rsidRPr="000F546C" w:rsidRDefault="000F546C">
      <w:pPr>
        <w:numPr>
          <w:ilvl w:val="0"/>
          <w:numId w:val="224"/>
        </w:numPr>
        <w:spacing w:before="120"/>
        <w:textAlignment w:val="baseline"/>
        <w:rPr>
          <w:b/>
          <w:bCs/>
          <w:color w:val="EE0000"/>
        </w:rPr>
      </w:pPr>
      <w:r w:rsidRPr="000F546C">
        <w:rPr>
          <w:b/>
          <w:bCs/>
          <w:color w:val="EE0000"/>
        </w:rPr>
        <w:t>les exonérations, suspensions ou causes de non-taxation, ainsi que leurs conditions d’application ;</w:t>
      </w:r>
    </w:p>
    <w:p w14:paraId="475961B1" w14:textId="77777777" w:rsidR="000F546C" w:rsidRPr="000F546C" w:rsidRDefault="000F546C">
      <w:pPr>
        <w:numPr>
          <w:ilvl w:val="0"/>
          <w:numId w:val="224"/>
        </w:numPr>
        <w:spacing w:before="120"/>
        <w:textAlignment w:val="baseline"/>
        <w:rPr>
          <w:b/>
          <w:bCs/>
          <w:color w:val="EE0000"/>
        </w:rPr>
      </w:pPr>
      <w:r w:rsidRPr="000F546C">
        <w:rPr>
          <w:b/>
          <w:bCs/>
          <w:color w:val="EE0000"/>
        </w:rPr>
        <w:t>la progressivité éventuelle de la taxe en cas de maintien de la situation dans le temps.</w:t>
      </w:r>
    </w:p>
    <w:p w14:paraId="4B05A515" w14:textId="77777777" w:rsidR="000F546C" w:rsidRPr="000F546C" w:rsidRDefault="000F546C" w:rsidP="000F546C">
      <w:pPr>
        <w:spacing w:before="120"/>
        <w:textAlignment w:val="baseline"/>
        <w:rPr>
          <w:b/>
          <w:bCs/>
          <w:color w:val="EE0000"/>
        </w:rPr>
      </w:pPr>
      <w:r w:rsidRPr="000F546C">
        <w:rPr>
          <w:b/>
          <w:bCs/>
          <w:color w:val="EE0000"/>
        </w:rPr>
        <w:t>Les communes doivent donc veiller à aligner strictement leur pratique administrative sur leur règlement-taxe. Lorsque le règlement prévoit des formalités particulières, celles-ci doivent être respectées. À défaut, la taxation peut être fragilisée, indépendamment même de la question de savoir si l’immeuble était effectivement occupé ou non.</w:t>
      </w:r>
    </w:p>
    <w:p w14:paraId="563EA0E8" w14:textId="77777777" w:rsidR="00795C3E" w:rsidRPr="00F91BDD" w:rsidRDefault="00795C3E" w:rsidP="00795C3E">
      <w:pPr>
        <w:spacing w:before="120"/>
        <w:textAlignment w:val="baseline"/>
      </w:pPr>
      <w:r w:rsidRPr="00F91BDD">
        <w:t>Il est toutefois renvoyé aux commentaires repris au point I.15 et sous le n° de nomenclature 04001/377-01 « Sites d'activité économique désaffectés ».</w:t>
      </w:r>
    </w:p>
    <w:p w14:paraId="3BAFB6C7" w14:textId="77777777" w:rsidR="00795C3E" w:rsidRPr="00F91BDD" w:rsidRDefault="00795C3E" w:rsidP="00795C3E">
      <w:pPr>
        <w:spacing w:before="120"/>
        <w:textAlignment w:val="baseline"/>
        <w:rPr>
          <w:rFonts w:cs="Calibri Light"/>
        </w:rPr>
      </w:pPr>
      <w:r w:rsidRPr="00F91BDD">
        <w:t xml:space="preserve">Le </w:t>
      </w:r>
      <w:r w:rsidRPr="00F91BDD">
        <w:rPr>
          <w:u w:val="single"/>
        </w:rPr>
        <w:t>fait générateur de la taxe</w:t>
      </w:r>
      <w:r w:rsidRPr="00F91BDD">
        <w:t xml:space="preserve"> est le maintien en l'état d'un immeuble inoccupé ou délabré qui a fait l'objet d'un constat établi et notifié.</w:t>
      </w:r>
    </w:p>
    <w:bookmarkEnd w:id="4342"/>
    <w:p w14:paraId="5F03C99B" w14:textId="77777777" w:rsidR="00795C3E" w:rsidRPr="00F91BDD" w:rsidRDefault="00795C3E" w:rsidP="00795C3E">
      <w:pPr>
        <w:spacing w:before="120"/>
        <w:textAlignment w:val="baseline"/>
        <w:rPr>
          <w:rFonts w:cs="Calibri Light"/>
        </w:rPr>
      </w:pPr>
      <w:r w:rsidRPr="00F91BDD">
        <w:rPr>
          <w:rFonts w:cs="Calibri Light"/>
          <w:u w:val="single"/>
        </w:rPr>
        <w:t>Remarque</w:t>
      </w:r>
      <w:r w:rsidRPr="00F91BDD">
        <w:rPr>
          <w:rFonts w:cs="Calibri Light"/>
        </w:rPr>
        <w:t> :</w:t>
      </w:r>
    </w:p>
    <w:p w14:paraId="2F5A2CEE" w14:textId="77777777" w:rsidR="00795C3E" w:rsidRPr="00F91BDD" w:rsidRDefault="00795C3E" w:rsidP="00795C3E">
      <w:pPr>
        <w:spacing w:before="120"/>
        <w:textAlignment w:val="baseline"/>
        <w:rPr>
          <w:rFonts w:cs="Calibri Light"/>
        </w:rPr>
      </w:pPr>
      <w:r w:rsidRPr="00F91BDD">
        <w:rPr>
          <w:rFonts w:cs="Calibri Light"/>
        </w:rPr>
        <w:lastRenderedPageBreak/>
        <w:t>Dans le cadre de la lutte contre les logements inoccupés, le Gouvernement wallon a adopté :</w:t>
      </w:r>
    </w:p>
    <w:p w14:paraId="317A7656" w14:textId="77777777" w:rsidR="00795C3E" w:rsidRPr="00F91BDD" w:rsidRDefault="00795C3E">
      <w:pPr>
        <w:pStyle w:val="Paragraphedeliste"/>
        <w:numPr>
          <w:ilvl w:val="0"/>
          <w:numId w:val="22"/>
        </w:numPr>
        <w:spacing w:before="120" w:after="120" w:line="240" w:lineRule="auto"/>
        <w:ind w:left="709"/>
        <w:contextualSpacing w:val="0"/>
        <w:textAlignment w:val="baseline"/>
        <w:rPr>
          <w:rFonts w:cs="Calibri Light"/>
        </w:rPr>
      </w:pPr>
      <w:r w:rsidRPr="00F91BDD">
        <w:rPr>
          <w:rFonts w:cs="Calibri Light"/>
        </w:rPr>
        <w:t>Le décret du 1</w:t>
      </w:r>
      <w:r w:rsidRPr="00F91BDD">
        <w:rPr>
          <w:rFonts w:cs="Calibri Light"/>
          <w:vertAlign w:val="superscript"/>
        </w:rPr>
        <w:t>er</w:t>
      </w:r>
      <w:r w:rsidRPr="00F91BDD">
        <w:rPr>
          <w:rFonts w:cs="Calibri Light"/>
        </w:rPr>
        <w:t xml:space="preserve"> octobre 2021 modifiant le Code wallon de l'habitation durable en vue de renforcer la lutte contre le logement inoccupé ;</w:t>
      </w:r>
    </w:p>
    <w:p w14:paraId="421A8CD8" w14:textId="77777777" w:rsidR="00795C3E" w:rsidRPr="00F91BDD" w:rsidRDefault="00795C3E">
      <w:pPr>
        <w:pStyle w:val="Paragraphedeliste"/>
        <w:numPr>
          <w:ilvl w:val="0"/>
          <w:numId w:val="22"/>
        </w:numPr>
        <w:spacing w:before="120" w:after="120" w:line="240" w:lineRule="auto"/>
        <w:ind w:left="709"/>
        <w:contextualSpacing w:val="0"/>
        <w:textAlignment w:val="baseline"/>
        <w:rPr>
          <w:rFonts w:cs="Calibri Light"/>
        </w:rPr>
      </w:pPr>
      <w:r w:rsidRPr="00F91BDD">
        <w:rPr>
          <w:rFonts w:cs="Calibri Light"/>
        </w:rPr>
        <w:t>L’arrêté du Gouvernement wallon du 19 janvier 2022 relatif à la fixation et à la gestion des données relatives aux consommations minimales d'eau et d'électricité pouvant réputer un logement inoccupé en vertu de l'article 80, 3°, du Code wallon de l'habitation durable ;</w:t>
      </w:r>
    </w:p>
    <w:p w14:paraId="0F9A1EE0" w14:textId="77777777" w:rsidR="00795C3E" w:rsidRPr="00F91BDD" w:rsidRDefault="00795C3E">
      <w:pPr>
        <w:pStyle w:val="Paragraphedeliste"/>
        <w:numPr>
          <w:ilvl w:val="0"/>
          <w:numId w:val="22"/>
        </w:numPr>
        <w:spacing w:before="120" w:after="120" w:line="240" w:lineRule="auto"/>
        <w:ind w:left="709"/>
        <w:contextualSpacing w:val="0"/>
        <w:rPr>
          <w:rFonts w:cs="Calibri Light"/>
        </w:rPr>
      </w:pPr>
      <w:r w:rsidRPr="00F91BDD">
        <w:rPr>
          <w:rFonts w:cs="Calibri Light"/>
        </w:rPr>
        <w:t>L’arrêté du Gouvernement wallon 19 janvier 2022 relatif à l’agrément des associations visées à l’article 85 sexies du Code wallon de l’Habitation durable ;</w:t>
      </w:r>
    </w:p>
    <w:p w14:paraId="269F3A23" w14:textId="77777777" w:rsidR="00795C3E" w:rsidRPr="001A642F" w:rsidRDefault="00795C3E">
      <w:pPr>
        <w:pStyle w:val="Paragraphedeliste"/>
        <w:numPr>
          <w:ilvl w:val="0"/>
          <w:numId w:val="22"/>
        </w:numPr>
        <w:spacing w:before="120" w:after="120" w:line="240" w:lineRule="auto"/>
        <w:ind w:left="709"/>
        <w:contextualSpacing w:val="0"/>
        <w:textAlignment w:val="baseline"/>
        <w:rPr>
          <w:rFonts w:cs="Calibri Light"/>
        </w:rPr>
      </w:pPr>
      <w:bookmarkStart w:id="4343" w:name="_Hlk102050433"/>
      <w:r w:rsidRPr="00F91BDD">
        <w:rPr>
          <w:rFonts w:cs="Calibri Light"/>
        </w:rPr>
        <w:t>L’arrêté du Gouvernement wallon 19 janvier 2022 relatif</w:t>
      </w:r>
      <w:r w:rsidRPr="00F91BDD">
        <w:t xml:space="preserve"> </w:t>
      </w:r>
      <w:bookmarkEnd w:id="4343"/>
      <w:r w:rsidRPr="00F91BDD">
        <w:rPr>
          <w:rFonts w:cs="Calibri Light"/>
        </w:rPr>
        <w:t>aux amendes administratives visées à l’article 85 ter du Code wallon de l’Habitation durable.</w:t>
      </w:r>
    </w:p>
    <w:p w14:paraId="4586247C" w14:textId="77777777" w:rsidR="00795C3E" w:rsidRPr="001A642F" w:rsidRDefault="00795C3E" w:rsidP="00795C3E">
      <w:pPr>
        <w:spacing w:before="120"/>
        <w:ind w:left="709"/>
        <w:textAlignment w:val="baseline"/>
        <w:rPr>
          <w:rFonts w:cs="Calibri Light"/>
        </w:rPr>
      </w:pPr>
      <w:r w:rsidRPr="001A642F">
        <w:rPr>
          <w:rFonts w:cs="Calibri Light"/>
        </w:rPr>
        <w:t>Ce dernier arrêté est très important pour les pouvoirs locaux et semble être un palliatif à la taxe communale dans la mesure où il prévoit les mesures d’exécution de cet article 85 ter lequel prévoit que :</w:t>
      </w:r>
    </w:p>
    <w:p w14:paraId="463285BC" w14:textId="77777777" w:rsidR="00795C3E" w:rsidRPr="00457EF1" w:rsidRDefault="00795C3E" w:rsidP="00795C3E">
      <w:pPr>
        <w:spacing w:before="120"/>
        <w:ind w:left="709"/>
        <w:textAlignment w:val="baseline"/>
        <w:rPr>
          <w:rFonts w:cs="Calibri Light"/>
          <w:i/>
          <w:iCs/>
        </w:rPr>
      </w:pPr>
      <w:r w:rsidRPr="001A642F">
        <w:rPr>
          <w:rFonts w:cs="Calibri Light"/>
        </w:rPr>
        <w:t xml:space="preserve">« </w:t>
      </w:r>
      <w:r w:rsidRPr="00457EF1">
        <w:rPr>
          <w:rFonts w:cs="Calibri Light"/>
          <w:i/>
          <w:iCs/>
        </w:rPr>
        <w:t>§1er. Le fait de maintenir un logement inoccupé, au sens de l'article 80, constitue une infraction administrative, pour le titulaire d'un droit réel principal" (décret du 17 juillet 2018, art. 382)</w:t>
      </w:r>
    </w:p>
    <w:p w14:paraId="1B414B3A" w14:textId="77777777" w:rsidR="00795C3E" w:rsidRPr="00457EF1" w:rsidRDefault="00795C3E" w:rsidP="00795C3E">
      <w:pPr>
        <w:spacing w:before="120"/>
        <w:ind w:left="709"/>
        <w:textAlignment w:val="baseline"/>
        <w:rPr>
          <w:rFonts w:cs="Calibri Light"/>
          <w:i/>
          <w:iCs/>
        </w:rPr>
      </w:pPr>
      <w:r w:rsidRPr="00457EF1">
        <w:rPr>
          <w:rFonts w:cs="Calibri Light"/>
          <w:i/>
          <w:iCs/>
        </w:rPr>
        <w:t>§2. Les agents de l'administration désignés par le collège communal ou le Gouvernement, ont qualité pour rechercher et constater par procès-verbal les infractions décrites au paragraphe 1er, soit d'initiative, soit sur plainte. Aucun acte de procédure ne peut être posé et aucune décision ne peut être prise en application de l'article 85 ter durant l'application des règles prévues aux sections 1/1 et 2.</w:t>
      </w:r>
    </w:p>
    <w:p w14:paraId="32EF9FF3" w14:textId="77777777" w:rsidR="00795C3E" w:rsidRPr="00457EF1" w:rsidRDefault="00795C3E" w:rsidP="00795C3E">
      <w:pPr>
        <w:spacing w:before="120"/>
        <w:ind w:left="709"/>
        <w:textAlignment w:val="baseline"/>
        <w:rPr>
          <w:rFonts w:cs="Calibri Light"/>
          <w:i/>
          <w:iCs/>
        </w:rPr>
      </w:pPr>
      <w:r w:rsidRPr="00457EF1">
        <w:rPr>
          <w:rFonts w:cs="Calibri Light"/>
          <w:i/>
          <w:iCs/>
        </w:rPr>
        <w:t>Les agents désignés en exécution de l'alinéa 1er, peuvent visiter le logement entre huit heures et vingt heures après qu'un avertissement préalable des personnes visées au paragraphe 1er a été envoyé par envoi recommandé au moins une semaine avant la date effective de la visite sur les lieux.</w:t>
      </w:r>
    </w:p>
    <w:p w14:paraId="2DD809BE" w14:textId="77777777" w:rsidR="00795C3E" w:rsidRPr="00457EF1" w:rsidRDefault="00795C3E" w:rsidP="00795C3E">
      <w:pPr>
        <w:spacing w:before="120"/>
        <w:ind w:left="709"/>
        <w:textAlignment w:val="baseline"/>
        <w:rPr>
          <w:rFonts w:cs="Calibri Light"/>
          <w:i/>
          <w:iCs/>
        </w:rPr>
      </w:pPr>
      <w:r w:rsidRPr="00457EF1">
        <w:rPr>
          <w:rFonts w:cs="Calibri Light"/>
          <w:i/>
          <w:iCs/>
        </w:rPr>
        <w:t>Au cas où la visite n'a pas pu se réaliser à défaut pour les personnes visées au paragraphe 1er d'y donner leur consentement, les agents désignés par le collège communal ou le Gouvernement peuvent pénétrer d'office dans le logement uniquement avec l'autorisation préalable du tribunal de police.</w:t>
      </w:r>
    </w:p>
    <w:p w14:paraId="53FA770B" w14:textId="77777777" w:rsidR="00795C3E" w:rsidRPr="00457EF1" w:rsidRDefault="00795C3E" w:rsidP="00795C3E">
      <w:pPr>
        <w:spacing w:before="120"/>
        <w:ind w:left="709"/>
        <w:textAlignment w:val="baseline"/>
        <w:rPr>
          <w:rFonts w:cs="Calibri Light"/>
          <w:i/>
          <w:iCs/>
        </w:rPr>
      </w:pPr>
      <w:r w:rsidRPr="00457EF1">
        <w:rPr>
          <w:rFonts w:cs="Calibri Light"/>
          <w:i/>
          <w:iCs/>
        </w:rPr>
        <w:t>§3. (Si aucune taxe pour logement inoccupé n'a été levée sur le logement visé pour l'exercice en cours, - Décret du 12 novembre 2021, art.2) Lorsqu'une telle infraction est constatée, le collège communal adresse à l'auteur présumé une copie du procès-verbal visé au paragraphe 2, alinéa 1er, et un avertissement le mettant en demeure d'y mettre fin dans les six mois. La preuve qu'il a mis fin à l'infraction ou que le logement n'est pas inoccupé est apportée par toutes voies de droit dans les meilleurs délais et en tout cas endéans le délai de six mois précité.</w:t>
      </w:r>
    </w:p>
    <w:p w14:paraId="4AB5C39A" w14:textId="77777777" w:rsidR="00795C3E" w:rsidRPr="00457EF1" w:rsidRDefault="00795C3E" w:rsidP="00795C3E">
      <w:pPr>
        <w:spacing w:before="120"/>
        <w:ind w:left="709"/>
        <w:textAlignment w:val="baseline"/>
        <w:rPr>
          <w:rFonts w:cs="Calibri Light"/>
          <w:i/>
          <w:iCs/>
        </w:rPr>
      </w:pPr>
      <w:r w:rsidRPr="00457EF1">
        <w:rPr>
          <w:rFonts w:cs="Calibri Light"/>
          <w:i/>
          <w:iCs/>
        </w:rPr>
        <w:lastRenderedPageBreak/>
        <w:t>L'avertissement est notifié par envoi recommandé à la poste avec accusé de réception. Il mentionne :</w:t>
      </w:r>
    </w:p>
    <w:p w14:paraId="3A1DC649" w14:textId="77777777" w:rsidR="00795C3E" w:rsidRPr="00457EF1" w:rsidRDefault="00795C3E" w:rsidP="00795C3E">
      <w:pPr>
        <w:pStyle w:val="Paragraphedeliste"/>
        <w:spacing w:before="120"/>
        <w:ind w:left="1134"/>
        <w:textAlignment w:val="baseline"/>
        <w:rPr>
          <w:rFonts w:cs="Calibri Light"/>
          <w:i/>
          <w:iCs/>
        </w:rPr>
      </w:pPr>
      <w:r w:rsidRPr="00457EF1">
        <w:rPr>
          <w:rFonts w:cs="Calibri Light"/>
          <w:i/>
          <w:iCs/>
        </w:rPr>
        <w:t>1° le fait imputé et la disposition légale enfreinte</w:t>
      </w:r>
    </w:p>
    <w:p w14:paraId="234CA21B" w14:textId="77777777" w:rsidR="00795C3E" w:rsidRPr="00457EF1" w:rsidRDefault="00795C3E" w:rsidP="00795C3E">
      <w:pPr>
        <w:pStyle w:val="Paragraphedeliste"/>
        <w:spacing w:before="120"/>
        <w:ind w:left="1134"/>
        <w:textAlignment w:val="baseline"/>
        <w:rPr>
          <w:rFonts w:cs="Calibri Light"/>
          <w:i/>
          <w:iCs/>
        </w:rPr>
      </w:pPr>
      <w:r w:rsidRPr="00457EF1">
        <w:rPr>
          <w:rFonts w:cs="Calibri Light"/>
          <w:i/>
          <w:iCs/>
        </w:rPr>
        <w:t>2° le délai dans lequel il doit être mis fin à l'infraction ;</w:t>
      </w:r>
    </w:p>
    <w:p w14:paraId="4DF3B981" w14:textId="77777777" w:rsidR="00795C3E" w:rsidRPr="00457EF1" w:rsidRDefault="00795C3E" w:rsidP="00795C3E">
      <w:pPr>
        <w:pStyle w:val="Paragraphedeliste"/>
        <w:spacing w:before="120"/>
        <w:ind w:left="1134"/>
        <w:textAlignment w:val="baseline"/>
        <w:rPr>
          <w:rFonts w:cs="Calibri Light"/>
          <w:i/>
          <w:iCs/>
        </w:rPr>
      </w:pPr>
      <w:r w:rsidRPr="00457EF1">
        <w:rPr>
          <w:rFonts w:cs="Calibri Light"/>
          <w:i/>
          <w:iCs/>
        </w:rPr>
        <w:t>3° la sanction administrative encourue ;</w:t>
      </w:r>
    </w:p>
    <w:p w14:paraId="1A205F95" w14:textId="77777777" w:rsidR="00795C3E" w:rsidRPr="00457EF1" w:rsidRDefault="00795C3E" w:rsidP="00795C3E">
      <w:pPr>
        <w:pStyle w:val="Paragraphedeliste"/>
        <w:spacing w:before="120"/>
        <w:ind w:left="1134"/>
        <w:textAlignment w:val="baseline"/>
        <w:rPr>
          <w:rFonts w:cs="Calibri Light"/>
          <w:i/>
          <w:iCs/>
        </w:rPr>
      </w:pPr>
      <w:r w:rsidRPr="00457EF1">
        <w:rPr>
          <w:rFonts w:cs="Calibri Light"/>
          <w:i/>
          <w:iCs/>
        </w:rPr>
        <w:t>4° qu'en cas de non-paiement éventuel des amendes infligées, il peut être procédé à la vente publique du logement ;</w:t>
      </w:r>
    </w:p>
    <w:p w14:paraId="66FFA92C" w14:textId="77777777" w:rsidR="00795C3E" w:rsidRPr="00457EF1" w:rsidRDefault="00795C3E" w:rsidP="00795C3E">
      <w:pPr>
        <w:pStyle w:val="Paragraphedeliste"/>
        <w:spacing w:before="120"/>
        <w:ind w:left="1134"/>
        <w:textAlignment w:val="baseline"/>
        <w:rPr>
          <w:rFonts w:cs="Calibri Light"/>
          <w:i/>
          <w:iCs/>
        </w:rPr>
      </w:pPr>
      <w:r w:rsidRPr="00457EF1">
        <w:rPr>
          <w:rFonts w:cs="Calibri Light"/>
          <w:i/>
          <w:iCs/>
        </w:rPr>
        <w:t>5° une explication brève des mécanismes du droit de gestion publique et de la prise en gestion par un opérateur immobilier tels que prévus par le présent chapitre ;</w:t>
      </w:r>
    </w:p>
    <w:p w14:paraId="7909F936" w14:textId="77777777" w:rsidR="00795C3E" w:rsidRPr="00F91BDD" w:rsidRDefault="00795C3E" w:rsidP="00795C3E">
      <w:pPr>
        <w:pStyle w:val="Paragraphedeliste"/>
        <w:spacing w:before="120"/>
        <w:ind w:left="1134"/>
        <w:textAlignment w:val="baseline"/>
        <w:rPr>
          <w:rFonts w:cs="Calibri Light"/>
        </w:rPr>
      </w:pPr>
      <w:r w:rsidRPr="00457EF1">
        <w:rPr>
          <w:rFonts w:cs="Calibri Light"/>
          <w:i/>
          <w:iCs/>
        </w:rPr>
        <w:t>6° les voies et délais de recours.</w:t>
      </w:r>
      <w:r w:rsidRPr="00F91BDD">
        <w:rPr>
          <w:rFonts w:cs="Calibri Light"/>
        </w:rPr>
        <w:t xml:space="preserve"> »</w:t>
      </w:r>
    </w:p>
    <w:p w14:paraId="0EAA92F8" w14:textId="77777777" w:rsidR="00795C3E" w:rsidRPr="00F91BDD" w:rsidRDefault="00795C3E" w:rsidP="00795C3E">
      <w:pPr>
        <w:pStyle w:val="Paragraphedeliste"/>
        <w:spacing w:before="120"/>
        <w:ind w:left="709"/>
        <w:textAlignment w:val="baseline"/>
        <w:rPr>
          <w:rFonts w:cs="Calibri Light"/>
          <w:sz w:val="10"/>
          <w:szCs w:val="10"/>
        </w:rPr>
      </w:pPr>
    </w:p>
    <w:p w14:paraId="40D4DB6E" w14:textId="77777777" w:rsidR="00795C3E" w:rsidRPr="00F91BDD" w:rsidRDefault="00795C3E" w:rsidP="00795C3E">
      <w:pPr>
        <w:pStyle w:val="Paragraphedeliste"/>
        <w:spacing w:before="120"/>
        <w:ind w:left="709"/>
        <w:textAlignment w:val="baseline"/>
        <w:rPr>
          <w:rFonts w:cs="Calibri Light"/>
        </w:rPr>
      </w:pPr>
      <w:r w:rsidRPr="00F91BDD">
        <w:rPr>
          <w:rFonts w:cs="Calibri Light"/>
        </w:rPr>
        <w:t>Le premier arrêté cité supra définit les notions de consommation minimales d'eau ou d'électricité déterminées ou estimées pendant une durée d'au moins douze mois consécutifs, en deçà desquelles un logement est présumé inoccupé. Celles-ci sont de :</w:t>
      </w:r>
    </w:p>
    <w:p w14:paraId="40F2F2A9" w14:textId="77777777" w:rsidR="00795C3E" w:rsidRPr="00F91BDD" w:rsidRDefault="00795C3E" w:rsidP="00795C3E">
      <w:pPr>
        <w:pStyle w:val="Paragraphedeliste"/>
        <w:spacing w:before="120"/>
        <w:ind w:left="1134"/>
        <w:textAlignment w:val="baseline"/>
        <w:rPr>
          <w:rFonts w:cs="Calibri Light"/>
        </w:rPr>
      </w:pPr>
      <w:r w:rsidRPr="00F91BDD">
        <w:rPr>
          <w:rFonts w:cs="Calibri Light"/>
        </w:rPr>
        <w:t>-</w:t>
      </w:r>
      <w:r w:rsidRPr="00F91BDD">
        <w:rPr>
          <w:rFonts w:cs="Calibri Light"/>
        </w:rPr>
        <w:tab/>
        <w:t>quinze mètres cubes d'eau inclus ;</w:t>
      </w:r>
    </w:p>
    <w:p w14:paraId="43542638" w14:textId="77777777" w:rsidR="00795C3E" w:rsidRPr="00F91BDD" w:rsidRDefault="00795C3E" w:rsidP="00795C3E">
      <w:pPr>
        <w:pStyle w:val="Paragraphedeliste"/>
        <w:spacing w:before="120"/>
        <w:ind w:left="1134"/>
        <w:textAlignment w:val="baseline"/>
        <w:rPr>
          <w:rFonts w:cs="Calibri Light"/>
        </w:rPr>
      </w:pPr>
      <w:r w:rsidRPr="00F91BDD">
        <w:rPr>
          <w:rFonts w:cs="Calibri Light"/>
        </w:rPr>
        <w:t>-</w:t>
      </w:r>
      <w:r w:rsidRPr="00F91BDD">
        <w:rPr>
          <w:rFonts w:cs="Calibri Light"/>
        </w:rPr>
        <w:tab/>
        <w:t>Cent kilowattheures d'électricité inclus.</w:t>
      </w:r>
    </w:p>
    <w:p w14:paraId="0E4B109B" w14:textId="77777777" w:rsidR="00795C3E" w:rsidRPr="00284D2D" w:rsidRDefault="00795C3E" w:rsidP="00795C3E">
      <w:pPr>
        <w:pStyle w:val="Paragraphedeliste"/>
        <w:spacing w:before="120"/>
        <w:ind w:left="357"/>
        <w:textAlignment w:val="baseline"/>
        <w:rPr>
          <w:rFonts w:cs="Calibri Light"/>
        </w:rPr>
      </w:pPr>
      <w:r w:rsidRPr="00F91BDD">
        <w:rPr>
          <w:rFonts w:cs="Calibri Light"/>
        </w:rPr>
        <w:t>Cet arrêté désigne aussi la commune comme responsable du traitement au sens du R.G.P.D. pour le traitement des données à caractère personnel visées à l'article 80, 3° du Code et prévoir que le rapport visé à l'article 80, 3°, alinéa 5 du Code contient :</w:t>
      </w:r>
    </w:p>
    <w:p w14:paraId="70C8D11D" w14:textId="77777777" w:rsidR="00795C3E" w:rsidRPr="00F91BDD" w:rsidRDefault="00795C3E" w:rsidP="00795C3E">
      <w:pPr>
        <w:pStyle w:val="Paragraphedeliste"/>
        <w:tabs>
          <w:tab w:val="left" w:pos="709"/>
        </w:tabs>
        <w:spacing w:before="120"/>
        <w:ind w:left="426"/>
        <w:textAlignment w:val="baseline"/>
        <w:rPr>
          <w:rFonts w:cs="Calibri Light"/>
        </w:rPr>
      </w:pPr>
      <w:r w:rsidRPr="00F91BDD">
        <w:rPr>
          <w:rFonts w:cs="Calibri Light"/>
        </w:rPr>
        <w:t>a)</w:t>
      </w:r>
      <w:r w:rsidRPr="00F91BDD">
        <w:rPr>
          <w:rFonts w:cs="Calibri Light"/>
        </w:rPr>
        <w:tab/>
        <w:t>Le nombre de logements inoccupés repris dans la liste visée à l'article 80, 3° du Code ;</w:t>
      </w:r>
    </w:p>
    <w:p w14:paraId="630B3853" w14:textId="77777777" w:rsidR="00795C3E" w:rsidRPr="00F91BDD" w:rsidRDefault="00795C3E" w:rsidP="00795C3E">
      <w:pPr>
        <w:pStyle w:val="Paragraphedeliste"/>
        <w:tabs>
          <w:tab w:val="left" w:pos="709"/>
        </w:tabs>
        <w:spacing w:before="120"/>
        <w:ind w:left="709" w:hanging="284"/>
        <w:textAlignment w:val="baseline"/>
        <w:rPr>
          <w:rFonts w:cs="Calibri Light"/>
        </w:rPr>
      </w:pPr>
      <w:r w:rsidRPr="00F91BDD">
        <w:rPr>
          <w:rFonts w:cs="Calibri Light"/>
        </w:rPr>
        <w:t>b)</w:t>
      </w:r>
      <w:r w:rsidRPr="00F91BDD">
        <w:rPr>
          <w:rFonts w:cs="Calibri Light"/>
        </w:rPr>
        <w:tab/>
        <w:t>Chaque mesure intentée par la commune, sur base de ladite liste, pour lutter contre les logements inoccupés ;</w:t>
      </w:r>
    </w:p>
    <w:p w14:paraId="407CAC7B" w14:textId="77777777" w:rsidR="00795C3E" w:rsidRPr="00284D2D" w:rsidRDefault="00795C3E" w:rsidP="00795C3E">
      <w:pPr>
        <w:pStyle w:val="Paragraphedeliste"/>
        <w:tabs>
          <w:tab w:val="left" w:pos="709"/>
        </w:tabs>
        <w:spacing w:before="120"/>
        <w:ind w:left="426"/>
        <w:textAlignment w:val="baseline"/>
        <w:rPr>
          <w:rFonts w:cs="Calibri Light"/>
        </w:rPr>
      </w:pPr>
      <w:r w:rsidRPr="00F91BDD">
        <w:rPr>
          <w:rFonts w:cs="Calibri Light"/>
        </w:rPr>
        <w:t>c)</w:t>
      </w:r>
      <w:r w:rsidRPr="00F91BDD">
        <w:rPr>
          <w:rFonts w:cs="Calibri Light"/>
        </w:rPr>
        <w:tab/>
        <w:t>Les éventuels résultats des mesures intentées par la commune.</w:t>
      </w:r>
    </w:p>
    <w:p w14:paraId="09F1CCD8" w14:textId="77777777" w:rsidR="00795C3E" w:rsidRPr="00F91BDD" w:rsidRDefault="00795C3E" w:rsidP="00795C3E">
      <w:pPr>
        <w:spacing w:before="120"/>
        <w:textAlignment w:val="baseline"/>
        <w:rPr>
          <w:rFonts w:cs="Calibri Light"/>
        </w:rPr>
      </w:pPr>
      <w:r w:rsidRPr="00F91BDD">
        <w:rPr>
          <w:rFonts w:cs="Calibri Light"/>
        </w:rPr>
        <w:t>Dans la mesure où ces textes prévoient de nouvelles obligations aux communes et une alternative à la taxe, je vous invite vivement à aller les consulter.</w:t>
      </w:r>
    </w:p>
    <w:p w14:paraId="1C4C2C00" w14:textId="77777777" w:rsidR="00795C3E" w:rsidRPr="00F91BDD" w:rsidRDefault="00795C3E" w:rsidP="00795C3E">
      <w:pPr>
        <w:spacing w:before="120"/>
        <w:textAlignment w:val="baseline"/>
        <w:rPr>
          <w:rFonts w:cs="Calibri Light"/>
        </w:rPr>
      </w:pPr>
      <w:r w:rsidRPr="00F91BDD">
        <w:rPr>
          <w:rFonts w:cs="Calibri Light"/>
        </w:rPr>
        <w:t>Pour de plus amples informations, il y a lieu de se référer à la circulaire du 6 février 2023 du Ministre du Logement laquelle attire l’attention sur le fait que pour pouvoir obtenir les données des gestionnaires de réseaux, les communes doivent préalablement adhérer à l'accord relatif aux modalités techniques et organisationnelles de l'échange des données.</w:t>
      </w:r>
    </w:p>
    <w:p w14:paraId="3140B1F3" w14:textId="77777777" w:rsidR="00795C3E" w:rsidRPr="00F91BDD" w:rsidRDefault="00795C3E" w:rsidP="00795C3E">
      <w:pPr>
        <w:spacing w:before="120"/>
        <w:textAlignment w:val="baseline"/>
        <w:rPr>
          <w:rFonts w:cs="Calibri Light"/>
        </w:rPr>
      </w:pPr>
      <w:r w:rsidRPr="00F91BDD">
        <w:rPr>
          <w:rFonts w:cs="Calibri Light"/>
        </w:rPr>
        <w:t>Enfin je rappelle que ces données ne peuvent pas être utilisées pour le recensement de la taxe sur les immeubles inoccupés. Si l’on veut obtenir ces données à cette fin, il faut que la commune passe un accord avec lesdits gestionnaires.</w:t>
      </w:r>
    </w:p>
    <w:p w14:paraId="19F788BA" w14:textId="77777777" w:rsidR="00795C3E" w:rsidRPr="00F91BDD" w:rsidRDefault="00795C3E" w:rsidP="00795C3E">
      <w:pPr>
        <w:spacing w:before="120"/>
        <w:textAlignment w:val="baseline"/>
        <w:rPr>
          <w:rFonts w:cs="Calibri Light"/>
        </w:rPr>
      </w:pPr>
      <w:r w:rsidRPr="00F91BDD">
        <w:rPr>
          <w:rFonts w:cs="Calibri Light"/>
          <w:b/>
          <w:bCs/>
          <w:u w:val="single"/>
        </w:rPr>
        <w:t>Les constats</w:t>
      </w:r>
      <w:r w:rsidRPr="00F91BDD">
        <w:rPr>
          <w:rFonts w:cs="Calibri Light"/>
        </w:rPr>
        <w:t> :</w:t>
      </w:r>
    </w:p>
    <w:p w14:paraId="48450C0E" w14:textId="77777777" w:rsidR="00795C3E" w:rsidRPr="00F91BDD" w:rsidRDefault="00795C3E" w:rsidP="00795C3E">
      <w:pPr>
        <w:spacing w:before="120"/>
        <w:textAlignment w:val="baseline"/>
        <w:rPr>
          <w:rFonts w:cs="Calibri Light"/>
        </w:rPr>
      </w:pPr>
      <w:r w:rsidRPr="00F91BDD">
        <w:rPr>
          <w:rFonts w:cs="Calibri Light"/>
        </w:rPr>
        <w:t xml:space="preserve">Vous trouverez ci-dessous des détails concernant diverses problématiques dont notamment celle du constat. </w:t>
      </w:r>
    </w:p>
    <w:p w14:paraId="1BEC4FAD" w14:textId="42935FAB" w:rsidR="00795C3E" w:rsidRPr="00F91BDD" w:rsidRDefault="00795C3E" w:rsidP="00795C3E">
      <w:pPr>
        <w:spacing w:before="120"/>
        <w:textAlignment w:val="baseline"/>
        <w:rPr>
          <w:rFonts w:cs="Calibri Light"/>
        </w:rPr>
      </w:pPr>
      <w:r w:rsidRPr="7748B622">
        <w:rPr>
          <w:rFonts w:cs="Calibri Light"/>
        </w:rPr>
        <w:t>La première taxation n'est valablement établie qu'au 2</w:t>
      </w:r>
      <w:r w:rsidRPr="7748B622">
        <w:rPr>
          <w:rFonts w:cs="Calibri Light"/>
          <w:vertAlign w:val="superscript"/>
        </w:rPr>
        <w:t>ème</w:t>
      </w:r>
      <w:r w:rsidRPr="7748B622">
        <w:rPr>
          <w:rFonts w:cs="Calibri Light"/>
        </w:rPr>
        <w:t xml:space="preserve"> constat qui doit être distant du 1</w:t>
      </w:r>
      <w:r w:rsidRPr="7748B622">
        <w:rPr>
          <w:rFonts w:cs="Calibri Light"/>
          <w:vertAlign w:val="superscript"/>
        </w:rPr>
        <w:t>er</w:t>
      </w:r>
      <w:r w:rsidRPr="7748B622">
        <w:rPr>
          <w:rFonts w:cs="Calibri Light"/>
        </w:rPr>
        <w:t xml:space="preserve"> constat d'une période minimale de 6 mois. En outre, si les 2 constats sont établis sur 2 </w:t>
      </w:r>
      <w:r w:rsidRPr="7748B622">
        <w:rPr>
          <w:rFonts w:cs="Calibri Light"/>
        </w:rPr>
        <w:lastRenderedPageBreak/>
        <w:t>exercices différents, la taxe est due uniquement pour l'exercice au cours duquel le 2</w:t>
      </w:r>
      <w:r w:rsidRPr="7748B622">
        <w:rPr>
          <w:rFonts w:cs="Calibri Light"/>
          <w:vertAlign w:val="superscript"/>
        </w:rPr>
        <w:t>ème</w:t>
      </w:r>
      <w:r w:rsidRPr="7748B622">
        <w:rPr>
          <w:rFonts w:cs="Calibri Light"/>
        </w:rPr>
        <w:t xml:space="preserve"> constat (qui est le fait générateur de la taxe) est établi.</w:t>
      </w:r>
    </w:p>
    <w:p w14:paraId="53B96A7A" w14:textId="77777777" w:rsidR="00795C3E" w:rsidRPr="00F91BDD" w:rsidRDefault="00795C3E" w:rsidP="00795C3E">
      <w:pPr>
        <w:spacing w:before="120"/>
        <w:textAlignment w:val="baseline"/>
        <w:rPr>
          <w:rFonts w:cs="Calibri Light"/>
        </w:rPr>
      </w:pPr>
      <w:r w:rsidRPr="00F91BDD">
        <w:rPr>
          <w:rFonts w:cs="Calibri Light"/>
        </w:rPr>
        <w:t>1° « immeuble bâti » : tout bâtiment ou toute installation en tenant lieu, même en matériaux non durables, qui est incorporé au sol, ancré à celui-ci ou dont l'appui assure la stabilité, destiné à rester en place alors même qu'il peut être démonté ou déplacé.</w:t>
      </w:r>
    </w:p>
    <w:p w14:paraId="0B36A0DE" w14:textId="77777777" w:rsidR="00795C3E" w:rsidRPr="00F91BDD" w:rsidRDefault="00795C3E" w:rsidP="00795C3E">
      <w:pPr>
        <w:spacing w:before="120"/>
        <w:textAlignment w:val="baseline"/>
        <w:rPr>
          <w:rFonts w:cs="Calibri Light"/>
        </w:rPr>
      </w:pPr>
      <w:r w:rsidRPr="00F91BDD">
        <w:rPr>
          <w:rFonts w:cs="Calibri Light"/>
        </w:rPr>
        <w:t>N'est pas visé par la taxe l'immeuble bâti visé par le décret du 27 mai 2004 relatif aux sites d'activité économique désaffectés de plus de 1000 m².</w:t>
      </w:r>
    </w:p>
    <w:p w14:paraId="49C61042" w14:textId="77777777" w:rsidR="00795C3E" w:rsidRPr="00F91BDD" w:rsidRDefault="00795C3E" w:rsidP="00795C3E">
      <w:pPr>
        <w:spacing w:before="120"/>
        <w:textAlignment w:val="baseline"/>
        <w:rPr>
          <w:rFonts w:cs="Calibri Light"/>
        </w:rPr>
      </w:pPr>
      <w:r w:rsidRPr="00F91BDD">
        <w:rPr>
          <w:rFonts w:cs="Calibri Light"/>
        </w:rPr>
        <w:t>2° « immeuble sans inscription » : l'immeuble (ou la partie d'immeuble) bâti pour lequel aucune personne n'est inscrite dans les registres de la population ou d'attente, ou pour lequel il n'y a pas d'inscription à la Banque-Carrefour des Entreprises ;</w:t>
      </w:r>
    </w:p>
    <w:p w14:paraId="64174FD9" w14:textId="77777777" w:rsidR="00881939" w:rsidRDefault="00795C3E" w:rsidP="00881939">
      <w:pPr>
        <w:spacing w:before="120"/>
        <w:textAlignment w:val="baseline"/>
        <w:rPr>
          <w:rFonts w:cs="Calibri Light"/>
          <w:spacing w:val="-2"/>
        </w:rPr>
      </w:pPr>
      <w:r w:rsidRPr="00F91BDD">
        <w:rPr>
          <w:rFonts w:cs="Calibri Light"/>
          <w:spacing w:val="-2"/>
        </w:rPr>
        <w:t>3° « immeuble incompatible » : indépendamment de toute inscription dans les registres de la population ou d'attente ou à la Banque-Carrefour des Entreprises, l'immeuble (ou partie d'immeuble) bâti :</w:t>
      </w:r>
    </w:p>
    <w:p w14:paraId="0270A916" w14:textId="77777777" w:rsidR="00881939" w:rsidRPr="00881939" w:rsidRDefault="00795C3E">
      <w:pPr>
        <w:pStyle w:val="Paragraphedeliste"/>
        <w:numPr>
          <w:ilvl w:val="0"/>
          <w:numId w:val="133"/>
        </w:numPr>
        <w:spacing w:before="120"/>
        <w:textAlignment w:val="baseline"/>
        <w:rPr>
          <w:rFonts w:cs="Calibri Light"/>
          <w:spacing w:val="-2"/>
        </w:rPr>
      </w:pPr>
      <w:r w:rsidRPr="00881939">
        <w:rPr>
          <w:rFonts w:cs="Calibri Light"/>
        </w:rPr>
        <w:t>dont l'exploitation relève du décret du 11 mars 1999 relatif au permis d'environnement, dès lors que soit, le permis d'environnement, le permis unique, ou la déclaration requise n'a pas été mis en œuvre et est périmé, soit que ledit établissement fait l'objet d'un ordre d'arrêter l'exploitation, d'un retrait ou d'une suspension d'autorisation prononcé en vertu du décret susmentionné ;</w:t>
      </w:r>
    </w:p>
    <w:p w14:paraId="189CFF40" w14:textId="77777777" w:rsidR="00881939" w:rsidRPr="00881939" w:rsidRDefault="00795C3E">
      <w:pPr>
        <w:pStyle w:val="Paragraphedeliste"/>
        <w:numPr>
          <w:ilvl w:val="0"/>
          <w:numId w:val="133"/>
        </w:numPr>
        <w:spacing w:before="120"/>
        <w:textAlignment w:val="baseline"/>
        <w:rPr>
          <w:rFonts w:cs="Calibri Light"/>
          <w:spacing w:val="-2"/>
        </w:rPr>
      </w:pPr>
      <w:r w:rsidRPr="00881939">
        <w:rPr>
          <w:rFonts w:cs="Calibri Light"/>
          <w:spacing w:val="4"/>
        </w:rPr>
        <w:t>dont l'occupation relève d'une activité soumise à un permis d’urbanisme relatif à une implantation commerciale en vertu du CoDT, lorsque ladite implantation fait l'objet d'un ordre de fermeture, d'un retrait ou d'une suspension d'autorisation ou d’une mesure de sanction ;</w:t>
      </w:r>
    </w:p>
    <w:p w14:paraId="261D8153" w14:textId="77777777" w:rsidR="00881939" w:rsidRPr="00881939" w:rsidRDefault="00795C3E">
      <w:pPr>
        <w:pStyle w:val="Paragraphedeliste"/>
        <w:numPr>
          <w:ilvl w:val="0"/>
          <w:numId w:val="133"/>
        </w:numPr>
        <w:spacing w:before="120"/>
        <w:textAlignment w:val="baseline"/>
        <w:rPr>
          <w:rFonts w:cs="Calibri Light"/>
          <w:spacing w:val="-2"/>
        </w:rPr>
      </w:pPr>
      <w:r w:rsidRPr="00881939">
        <w:rPr>
          <w:rFonts w:cs="Calibri Light"/>
        </w:rPr>
        <w:t>faisant l'objet d'un arrêté d'inhabitabilité en application du Code wallon du logement ;</w:t>
      </w:r>
    </w:p>
    <w:p w14:paraId="77465973" w14:textId="2196829D" w:rsidR="00795C3E" w:rsidRPr="00881939" w:rsidRDefault="00795C3E">
      <w:pPr>
        <w:pStyle w:val="Paragraphedeliste"/>
        <w:numPr>
          <w:ilvl w:val="0"/>
          <w:numId w:val="133"/>
        </w:numPr>
        <w:spacing w:before="120"/>
        <w:textAlignment w:val="baseline"/>
        <w:rPr>
          <w:rFonts w:cs="Calibri Light"/>
          <w:spacing w:val="-2"/>
        </w:rPr>
      </w:pPr>
      <w:r w:rsidRPr="00881939">
        <w:rPr>
          <w:rFonts w:cs="Calibri Light"/>
        </w:rPr>
        <w:t>faisant l'objet d'un arrêté ordonnant la démolition ou en interdisant l'occupation, pris en application de l'article 135 de la nouvelle Loi communale ;</w:t>
      </w:r>
    </w:p>
    <w:p w14:paraId="60E2933A" w14:textId="77777777" w:rsidR="00795C3E" w:rsidRPr="00F91BDD" w:rsidRDefault="00795C3E" w:rsidP="00795C3E">
      <w:pPr>
        <w:spacing w:before="120"/>
        <w:textAlignment w:val="baseline"/>
        <w:rPr>
          <w:rFonts w:cs="Calibri Light"/>
        </w:rPr>
      </w:pPr>
      <w:r w:rsidRPr="00F91BDD">
        <w:rPr>
          <w:rFonts w:cs="Calibri Light"/>
        </w:rPr>
        <w:t>4° « immeuble inoccupé » : l'immeuble (ou partie d'immeuble) bâti répondant à la définition d'immeuble sans inscription ou d'immeuble incompatible, ou les deux. Dans le cas d’un commerce inoccupé, les parties non bâties directement attenantes à l’immeuble, lorsqu’elles sont indissociablement liées à l’exploitation commerciale (comme une cour, un parking ou un espace de stockage), sont également considérées comme inoccupées. Un garage peut être considéré comme immeuble inoccupé.</w:t>
      </w:r>
    </w:p>
    <w:p w14:paraId="6F36FB0C" w14:textId="77777777" w:rsidR="00795C3E" w:rsidRPr="004E425F" w:rsidRDefault="00795C3E" w:rsidP="00795C3E">
      <w:pPr>
        <w:spacing w:before="120"/>
        <w:textAlignment w:val="baseline"/>
        <w:rPr>
          <w:rFonts w:cs="Calibri Light"/>
        </w:rPr>
      </w:pPr>
      <w:r w:rsidRPr="00F91BDD">
        <w:rPr>
          <w:rFonts w:cs="Calibri Light"/>
          <w:spacing w:val="3"/>
        </w:rPr>
        <w:t xml:space="preserve">5° « immeuble délabré » : l'immeuble bâti dont l'état du clos (c'est-à-dire des murs, huisseries, fermetures, etc.) ou du couvert (c'est-à-dire de la couverture, charpente, etc.) présente en tout ou en partie soit des signes de délabrement résultant d'un état de vétusté manifeste, soit un manque d'entretien manifeste, ou encore qui n'est pas compatible avec l'occupation à laquelle il est structurellement destiné. </w:t>
      </w:r>
      <w:r w:rsidRPr="00F91BDD">
        <w:rPr>
          <w:rFonts w:cs="Calibri Light"/>
        </w:rPr>
        <w:t>Un garage peut être considéré comme immeuble délabré.</w:t>
      </w:r>
    </w:p>
    <w:p w14:paraId="2B49F98A" w14:textId="77777777" w:rsidR="00795C3E" w:rsidRPr="00F91BDD" w:rsidRDefault="00795C3E" w:rsidP="00795C3E">
      <w:pPr>
        <w:spacing w:before="120"/>
        <w:textAlignment w:val="baseline"/>
        <w:rPr>
          <w:rFonts w:cs="Calibri Light"/>
          <w:spacing w:val="3"/>
        </w:rPr>
      </w:pPr>
      <w:r w:rsidRPr="00F91BDD">
        <w:rPr>
          <w:rFonts w:cs="Calibri Light"/>
          <w:spacing w:val="3"/>
        </w:rPr>
        <w:lastRenderedPageBreak/>
        <w:t>Il est toutefois renvoyé aux commentaires repris au point I.15 et sous le n° de nomenclature 04001/377-01 « Sites d'activité économique désaffectés ».</w:t>
      </w:r>
    </w:p>
    <w:p w14:paraId="4FF6F87A" w14:textId="77777777" w:rsidR="00795C3E" w:rsidRPr="00F91BDD" w:rsidRDefault="00795C3E" w:rsidP="00795C3E">
      <w:pPr>
        <w:spacing w:before="120"/>
        <w:textAlignment w:val="baseline"/>
        <w:rPr>
          <w:rFonts w:cs="Calibri Light"/>
        </w:rPr>
      </w:pPr>
      <w:r w:rsidRPr="00F91BDD">
        <w:rPr>
          <w:rFonts w:cs="Calibri Light"/>
        </w:rPr>
        <w:t xml:space="preserve">La </w:t>
      </w:r>
      <w:r w:rsidRPr="00F91BDD">
        <w:rPr>
          <w:rFonts w:cs="Calibri Light"/>
          <w:u w:val="single"/>
        </w:rPr>
        <w:t>base imposable</w:t>
      </w:r>
      <w:r w:rsidRPr="00F91BDD">
        <w:rPr>
          <w:rFonts w:cs="Calibri Light"/>
        </w:rPr>
        <w:t xml:space="preserve"> est établie par le produit de la longueur en mètre courant ou fraction de mètre courant de façade du bâtiment et du nombre de niveaux inoccupés autres que les caves, sous-sols et greniers non aménagés que comporte le bâtiment.</w:t>
      </w:r>
    </w:p>
    <w:p w14:paraId="50A735E3" w14:textId="77777777" w:rsidR="00795C3E" w:rsidRPr="00F91BDD" w:rsidRDefault="00795C3E" w:rsidP="00795C3E">
      <w:pPr>
        <w:spacing w:before="120"/>
        <w:textAlignment w:val="baseline"/>
        <w:rPr>
          <w:rFonts w:cs="Calibri Light"/>
        </w:rPr>
      </w:pPr>
      <w:r w:rsidRPr="00F91BDD">
        <w:rPr>
          <w:rFonts w:cs="Calibri Light"/>
        </w:rPr>
        <w:t>Lorsque l'immeuble est à rue, la mesure de la façade s'effectue sur la longueur de la façade principale, à savoir celle où se situe la porte d'entrée principale, tandis que s'il possède plusieurs façades, la mesure est la plus grande longueur du bâti.</w:t>
      </w:r>
    </w:p>
    <w:p w14:paraId="39CB2FF0" w14:textId="77777777" w:rsidR="00795C3E" w:rsidRPr="00F91BDD" w:rsidRDefault="00795C3E" w:rsidP="00795C3E">
      <w:pPr>
        <w:spacing w:before="120"/>
        <w:textAlignment w:val="baseline"/>
        <w:rPr>
          <w:rFonts w:cs="Calibri Light"/>
          <w:spacing w:val="4"/>
        </w:rPr>
      </w:pPr>
      <w:r w:rsidRPr="00F91BDD">
        <w:rPr>
          <w:rFonts w:cs="Calibri Light"/>
          <w:spacing w:val="4"/>
        </w:rPr>
        <w:t>Par ailleurs, le calcul de la base imposable s'effectue au prorata du revenu cadastral lorsque l'immeuble comporte plusieurs parties distinctes (par ex pour les immeubles à appartements).</w:t>
      </w:r>
    </w:p>
    <w:p w14:paraId="42FAE84C" w14:textId="77777777" w:rsidR="00795C3E" w:rsidRPr="00F91BDD" w:rsidRDefault="59020915" w:rsidP="00795C3E">
      <w:pPr>
        <w:spacing w:before="120"/>
        <w:textAlignment w:val="baseline"/>
        <w:rPr>
          <w:rFonts w:cs="Calibri Light"/>
          <w:spacing w:val="4"/>
        </w:rPr>
      </w:pPr>
      <w:r w:rsidRPr="00F91BDD">
        <w:rPr>
          <w:rFonts w:cs="Calibri Light"/>
          <w:spacing w:val="4"/>
        </w:rPr>
        <w:t xml:space="preserve">La taxe étant calculée par mètre courant de façade et par nombre de niveaux, elle tient compte des particularités propres à chacun des immeubles et </w:t>
      </w:r>
      <w:r w:rsidRPr="6FFC1684">
        <w:rPr>
          <w:rFonts w:cs="Calibri Light"/>
          <w:i/>
          <w:iCs/>
          <w:spacing w:val="4"/>
        </w:rPr>
        <w:t>« lorsqu’une norme établissant un impôt vise des contribuables dont les situations sont diverses, elle doit nécessairement appréhender cette diversité avec un certain degré d’approximation ; (…) les règles de l’égalité et de la non-discrimination n’exigent pas que la norme module l’imposition en fonction des particularités de chaque cas </w:t>
      </w:r>
      <w:r w:rsidRPr="00F91BDD">
        <w:rPr>
          <w:rFonts w:cs="Calibri Light"/>
          <w:spacing w:val="4"/>
        </w:rPr>
        <w:t>»</w:t>
      </w:r>
      <w:r w:rsidR="00795C3E" w:rsidRPr="00F91BDD">
        <w:rPr>
          <w:rFonts w:cs="Calibri Light"/>
          <w:spacing w:val="4"/>
          <w:vertAlign w:val="superscript"/>
        </w:rPr>
        <w:footnoteReference w:id="134"/>
      </w:r>
      <w:r w:rsidRPr="00F91BDD">
        <w:rPr>
          <w:rFonts w:cs="Calibri Light"/>
          <w:spacing w:val="4"/>
        </w:rPr>
        <w:t>.</w:t>
      </w:r>
    </w:p>
    <w:p w14:paraId="2EAE8AD8" w14:textId="77777777" w:rsidR="00795C3E" w:rsidRPr="002B639B" w:rsidRDefault="00795C3E" w:rsidP="00795C3E">
      <w:pPr>
        <w:spacing w:before="120"/>
        <w:textAlignment w:val="baseline"/>
        <w:rPr>
          <w:rFonts w:cs="Calibri Light"/>
          <w:spacing w:val="4"/>
        </w:rPr>
      </w:pPr>
      <w:r w:rsidRPr="00F91BDD">
        <w:rPr>
          <w:rFonts w:cs="Calibri Light"/>
          <w:spacing w:val="4"/>
        </w:rPr>
        <w:t xml:space="preserve">Est </w:t>
      </w:r>
      <w:r w:rsidRPr="00F91BDD">
        <w:rPr>
          <w:rFonts w:cs="Calibri Light"/>
          <w:spacing w:val="4"/>
          <w:u w:val="single"/>
        </w:rPr>
        <w:t>redevable</w:t>
      </w:r>
      <w:r w:rsidRPr="00F91BDD">
        <w:rPr>
          <w:rFonts w:cs="Calibri Light"/>
          <w:spacing w:val="4"/>
        </w:rPr>
        <w:t xml:space="preserve"> de la taxe, le titulaire du droit </w:t>
      </w:r>
      <w:r w:rsidRPr="00F91BDD">
        <w:rPr>
          <w:rFonts w:cs="Calibri Light"/>
          <w:spacing w:val="4"/>
          <w:u w:val="single"/>
        </w:rPr>
        <w:t>réel</w:t>
      </w:r>
      <w:r w:rsidRPr="00F91BDD">
        <w:rPr>
          <w:rFonts w:cs="Calibri Light"/>
          <w:spacing w:val="4"/>
        </w:rPr>
        <w:t xml:space="preserve"> (propriétaire, usufruitier, …) sur tout ou partie d'un immeuble inoccupé à la date du constat et du 1</w:t>
      </w:r>
      <w:r w:rsidRPr="00F91BDD">
        <w:rPr>
          <w:rFonts w:cs="Calibri Light"/>
          <w:spacing w:val="4"/>
          <w:vertAlign w:val="superscript"/>
        </w:rPr>
        <w:t>er</w:t>
      </w:r>
      <w:r w:rsidRPr="00F91BDD">
        <w:rPr>
          <w:rFonts w:cs="Calibri Light"/>
          <w:spacing w:val="4"/>
        </w:rPr>
        <w:t xml:space="preserve"> janvier de l'année d'imposition. En cas de pluralité de titulaires du droit réel, chacun d'entre eux est solidairement redevable. Il ne faut donc plus faire référence à la notion de droit réel de jouissance.</w:t>
      </w:r>
    </w:p>
    <w:p w14:paraId="79115522" w14:textId="77777777" w:rsidR="00795C3E" w:rsidRPr="00F91BDD" w:rsidRDefault="00795C3E" w:rsidP="00795C3E">
      <w:pPr>
        <w:spacing w:before="120"/>
        <w:rPr>
          <w:b/>
          <w:u w:val="single"/>
        </w:rPr>
      </w:pPr>
      <w:r w:rsidRPr="00F91BDD">
        <w:rPr>
          <w:b/>
          <w:u w:val="single"/>
        </w:rPr>
        <w:t>La problématique du constat </w:t>
      </w:r>
    </w:p>
    <w:p w14:paraId="28FC034C" w14:textId="77777777" w:rsidR="00795C3E" w:rsidRPr="00F91BDD" w:rsidRDefault="00795C3E" w:rsidP="00795C3E">
      <w:pPr>
        <w:spacing w:before="120"/>
        <w:textAlignment w:val="baseline"/>
        <w:rPr>
          <w:rFonts w:cs="Calibri Light"/>
        </w:rPr>
      </w:pPr>
      <w:r w:rsidRPr="00F91BDD">
        <w:rPr>
          <w:rFonts w:cs="Calibri Light"/>
        </w:rPr>
        <w:t>Pour rappel, depuis que cette taxe a été rendue aux communes, les recommandations précisaient que la taxe ne peut être appliquée pour la 1</w:t>
      </w:r>
      <w:r w:rsidRPr="00F91BDD">
        <w:rPr>
          <w:rFonts w:cs="Calibri Light"/>
          <w:vertAlign w:val="superscript"/>
        </w:rPr>
        <w:t>ère</w:t>
      </w:r>
      <w:r w:rsidRPr="00F91BDD">
        <w:rPr>
          <w:rFonts w:cs="Calibri Light"/>
        </w:rPr>
        <w:t xml:space="preserve"> fois qu'après l'établissement de 2 constats lesquels doivent être distants </w:t>
      </w:r>
      <w:r w:rsidRPr="00F91BDD">
        <w:rPr>
          <w:rFonts w:cs="Calibri Light"/>
          <w:u w:val="single"/>
        </w:rPr>
        <w:t>d'au moins</w:t>
      </w:r>
      <w:r w:rsidRPr="00F91BDD">
        <w:rPr>
          <w:rFonts w:cs="Calibri Light"/>
        </w:rPr>
        <w:t xml:space="preserve"> 6 mois.</w:t>
      </w:r>
    </w:p>
    <w:p w14:paraId="67173D85" w14:textId="17CC5CB4" w:rsidR="00795C3E" w:rsidRPr="00F91BDD" w:rsidRDefault="00795C3E" w:rsidP="00795C3E">
      <w:pPr>
        <w:spacing w:before="120"/>
        <w:textAlignment w:val="baseline"/>
        <w:rPr>
          <w:rFonts w:cs="Calibri Light"/>
        </w:rPr>
      </w:pPr>
      <w:r w:rsidRPr="6FFC1684">
        <w:rPr>
          <w:rFonts w:cs="Calibri Light"/>
        </w:rPr>
        <w:t xml:space="preserve">Je vous informe </w:t>
      </w:r>
      <w:r w:rsidR="00C63DEB" w:rsidRPr="00EE7B3D">
        <w:rPr>
          <w:rFonts w:cs="Calibri Light"/>
        </w:rPr>
        <w:t>q</w:t>
      </w:r>
      <w:r w:rsidR="00C63DEB" w:rsidRPr="6FFC1684">
        <w:rPr>
          <w:rFonts w:cs="Calibri Light"/>
        </w:rPr>
        <w:t>u’un</w:t>
      </w:r>
      <w:r w:rsidRPr="6FFC1684">
        <w:rPr>
          <w:rFonts w:cs="Calibri Light"/>
        </w:rPr>
        <w:t xml:space="preserve"> jugement du 28 novembre 2013 du Tribunal de Première instance de Mons (mettant en cause la commune de Pont-à-Celles) a décidé qu'en disposant que le délai devant s'écouler entre les deux constats d'inoccupation est fixé à « au moins six mois », ce délai peut être supérieur au gré du pouvoir taxateur et que de ce fait le règlement-taxe violait le principe d'égalité des citoyens devant l'impôt. De manière plus implicite, ce même Tribunal semble censurer l'absence de certitude quant à la procédure de constatation, en ce qui concerne les dates de réalisation des constats.</w:t>
      </w:r>
    </w:p>
    <w:p w14:paraId="6E1A214D" w14:textId="746561B6" w:rsidR="2AE90734" w:rsidRPr="00EE7B3D" w:rsidRDefault="2AE90734" w:rsidP="6FFC1684">
      <w:pPr>
        <w:spacing w:before="120"/>
        <w:rPr>
          <w:rFonts w:cs="Calibri Light"/>
        </w:rPr>
      </w:pPr>
      <w:r w:rsidRPr="00EE7B3D">
        <w:rPr>
          <w:rFonts w:cs="Calibri Light"/>
        </w:rPr>
        <w:t xml:space="preserve">Par ailleurs, </w:t>
      </w:r>
      <w:r w:rsidR="0A3C617E" w:rsidRPr="00EE7B3D">
        <w:rPr>
          <w:rFonts w:cs="Calibri Light"/>
        </w:rPr>
        <w:t xml:space="preserve">les constats se </w:t>
      </w:r>
      <w:r w:rsidR="1247BCCC" w:rsidRPr="00EE7B3D">
        <w:rPr>
          <w:rFonts w:cs="Calibri Light"/>
        </w:rPr>
        <w:t>différencient</w:t>
      </w:r>
      <w:r w:rsidR="0A3C617E" w:rsidRPr="00EE7B3D">
        <w:rPr>
          <w:rFonts w:cs="Calibri Light"/>
        </w:rPr>
        <w:t xml:space="preserve"> des lettres de notification </w:t>
      </w:r>
      <w:r w:rsidR="14B7EBFC" w:rsidRPr="00EE7B3D">
        <w:rPr>
          <w:rFonts w:cs="Calibri Light"/>
        </w:rPr>
        <w:t>q</w:t>
      </w:r>
      <w:r w:rsidR="0A3C617E" w:rsidRPr="00EE7B3D">
        <w:rPr>
          <w:rFonts w:cs="Calibri Light"/>
        </w:rPr>
        <w:t>ui informent de leur existence</w:t>
      </w:r>
      <w:r w:rsidR="14BA89CF" w:rsidRPr="00EE7B3D">
        <w:rPr>
          <w:rFonts w:cs="Calibri Light"/>
        </w:rPr>
        <w:t xml:space="preserve">. Ces courriers ne </w:t>
      </w:r>
      <w:r w:rsidR="0AD5AFAD" w:rsidRPr="00EE7B3D">
        <w:rPr>
          <w:rFonts w:cs="Calibri Light"/>
        </w:rPr>
        <w:t>constituent</w:t>
      </w:r>
      <w:r w:rsidR="14BA89CF" w:rsidRPr="00EE7B3D">
        <w:rPr>
          <w:rFonts w:cs="Calibri Light"/>
        </w:rPr>
        <w:t xml:space="preserve"> pas des </w:t>
      </w:r>
      <w:r w:rsidR="3CF968D4" w:rsidRPr="00EE7B3D">
        <w:rPr>
          <w:rFonts w:cs="Calibri Light"/>
        </w:rPr>
        <w:t>preuves</w:t>
      </w:r>
      <w:r w:rsidR="14BA89CF" w:rsidRPr="00EE7B3D">
        <w:rPr>
          <w:rFonts w:cs="Calibri Light"/>
        </w:rPr>
        <w:t xml:space="preserve"> </w:t>
      </w:r>
      <w:r w:rsidR="3DB4F6EA" w:rsidRPr="00EE7B3D">
        <w:rPr>
          <w:rFonts w:cs="Calibri Light"/>
        </w:rPr>
        <w:t xml:space="preserve">suffisantes du respect de la procédure </w:t>
      </w:r>
      <w:r w:rsidR="3DB4F6EA" w:rsidRPr="00EE7B3D">
        <w:rPr>
          <w:rFonts w:cs="Calibri Light"/>
        </w:rPr>
        <w:lastRenderedPageBreak/>
        <w:t>légale du constat.</w:t>
      </w:r>
      <w:r w:rsidR="4E3ABB33" w:rsidRPr="00EE7B3D">
        <w:rPr>
          <w:rFonts w:cs="Calibri Light"/>
        </w:rPr>
        <w:t xml:space="preserve"> </w:t>
      </w:r>
      <w:r w:rsidR="7AAB8502" w:rsidRPr="00EE7B3D">
        <w:rPr>
          <w:rFonts w:cs="Calibri Light"/>
        </w:rPr>
        <w:t>Certains jugements</w:t>
      </w:r>
      <w:r w:rsidR="4E3ABB33" w:rsidRPr="00EE7B3D">
        <w:rPr>
          <w:rFonts w:cs="Calibri Light"/>
        </w:rPr>
        <w:t xml:space="preserve"> ont déjà considéré que fau</w:t>
      </w:r>
      <w:r w:rsidR="69F990AC" w:rsidRPr="00EE7B3D">
        <w:rPr>
          <w:rFonts w:cs="Calibri Light"/>
        </w:rPr>
        <w:t>t</w:t>
      </w:r>
      <w:r w:rsidR="4E3ABB33" w:rsidRPr="00EE7B3D">
        <w:rPr>
          <w:rFonts w:cs="Calibri Light"/>
        </w:rPr>
        <w:t xml:space="preserve">e de produire les </w:t>
      </w:r>
      <w:r w:rsidR="1A4DDEA9" w:rsidRPr="00EE7B3D">
        <w:rPr>
          <w:rFonts w:cs="Calibri Light"/>
        </w:rPr>
        <w:t>constats</w:t>
      </w:r>
      <w:r w:rsidR="4E3ABB33" w:rsidRPr="00EE7B3D">
        <w:rPr>
          <w:rFonts w:cs="Calibri Light"/>
        </w:rPr>
        <w:t xml:space="preserve"> et de prouver leur notification, la commune n’établit pas la régularité de la taxe, qui doit </w:t>
      </w:r>
      <w:r w:rsidR="25CDF726" w:rsidRPr="00EE7B3D">
        <w:rPr>
          <w:rFonts w:cs="Calibri Light"/>
        </w:rPr>
        <w:t>être dégrevée.</w:t>
      </w:r>
    </w:p>
    <w:p w14:paraId="019FF907" w14:textId="77777777" w:rsidR="00795C3E" w:rsidRPr="00F91BDD" w:rsidRDefault="00795C3E" w:rsidP="00795C3E">
      <w:pPr>
        <w:spacing w:before="120"/>
        <w:textAlignment w:val="baseline"/>
        <w:rPr>
          <w:rFonts w:cs="Calibri Light"/>
        </w:rPr>
      </w:pPr>
      <w:r w:rsidRPr="00F91BDD">
        <w:rPr>
          <w:rFonts w:cs="Calibri Light"/>
        </w:rPr>
        <w:t xml:space="preserve">Je vous invite donc à être particulièrement prudents dans l'établissement de vos constats et de préciser que la période entre les deux constats sera de </w:t>
      </w:r>
      <w:r w:rsidRPr="00F91BDD">
        <w:rPr>
          <w:rFonts w:cs="Calibri Light"/>
          <w:b/>
        </w:rPr>
        <w:t>6 mois minimum et que la durée de cette période sera identique pour tous les redevables</w:t>
      </w:r>
      <w:r w:rsidRPr="00F91BDD">
        <w:rPr>
          <w:rFonts w:cs="Calibri Light"/>
        </w:rPr>
        <w:t>.</w:t>
      </w:r>
    </w:p>
    <w:p w14:paraId="71212F9F" w14:textId="77777777" w:rsidR="00795C3E" w:rsidRPr="00F91BDD" w:rsidRDefault="00795C3E" w:rsidP="00795C3E">
      <w:pPr>
        <w:spacing w:before="120"/>
        <w:rPr>
          <w:rFonts w:cs="Calibri Light"/>
        </w:rPr>
      </w:pPr>
      <w:r w:rsidRPr="00F91BDD">
        <w:rPr>
          <w:rFonts w:cs="Calibri Light"/>
        </w:rPr>
        <w:t>Je vous informe que le Tribunal de 1</w:t>
      </w:r>
      <w:r w:rsidRPr="00F91BDD">
        <w:rPr>
          <w:rFonts w:cs="Calibri Light"/>
          <w:vertAlign w:val="superscript"/>
        </w:rPr>
        <w:t>ère</w:t>
      </w:r>
      <w:r w:rsidRPr="00F91BDD">
        <w:rPr>
          <w:rFonts w:cs="Calibri Light"/>
        </w:rPr>
        <w:t xml:space="preserve"> Instance de Namur, dans son jugement du 7 janvier 2016 relatif à une redevance télévision rappelle que « </w:t>
      </w:r>
      <w:r w:rsidRPr="00F91BDD">
        <w:rPr>
          <w:rFonts w:cs="Calibri Light"/>
          <w:i/>
        </w:rPr>
        <w:t xml:space="preserve">le domicile est le lieu occupé par une personne en vue d’y établir sa résidence réelle et où elle a droit au respect de sa vie privée. Les constatations faites à l’extérieur ne constituent pas une violation de domicile ». </w:t>
      </w:r>
      <w:r w:rsidRPr="00F91BDD">
        <w:rPr>
          <w:rFonts w:cs="Calibri Light"/>
        </w:rPr>
        <w:t xml:space="preserve">Elle a admis que le contrôleur regardant par la fenêtre du domicile du contribuable en question, pour effectuer ces constatations ne constitue pas une violation de son domicile ou de sa vie privée. </w:t>
      </w:r>
    </w:p>
    <w:p w14:paraId="212CDBCE" w14:textId="77777777" w:rsidR="00795C3E" w:rsidRPr="00F91BDD" w:rsidRDefault="00795C3E" w:rsidP="00795C3E">
      <w:pPr>
        <w:spacing w:before="120"/>
        <w:rPr>
          <w:b/>
          <w:u w:val="single"/>
        </w:rPr>
      </w:pPr>
      <w:r w:rsidRPr="00F91BDD">
        <w:rPr>
          <w:b/>
          <w:u w:val="single"/>
        </w:rPr>
        <w:t>La proportionnalité du taux</w:t>
      </w:r>
    </w:p>
    <w:p w14:paraId="50F92236" w14:textId="77777777" w:rsidR="00795C3E" w:rsidRPr="002B639B" w:rsidRDefault="59020915" w:rsidP="00795C3E">
      <w:pPr>
        <w:spacing w:before="120"/>
        <w:textAlignment w:val="baseline"/>
        <w:rPr>
          <w:rFonts w:cs="Calibri Light"/>
          <w:spacing w:val="3"/>
        </w:rPr>
      </w:pPr>
      <w:r w:rsidRPr="00F91BDD">
        <w:rPr>
          <w:rFonts w:cs="Calibri Light"/>
        </w:rPr>
        <w:t>Un jugement récent de la Cour d’appel de Liège énonce que « </w:t>
      </w:r>
      <w:r w:rsidRPr="6FFC1684">
        <w:rPr>
          <w:rFonts w:cs="Calibri Light"/>
          <w:i/>
          <w:iCs/>
        </w:rPr>
        <w:t>S’il est exact que le principe de proportionnalité impose d’adopter des critères de fixation du montant de la taxe qui soient en rapport avec la matière imposable, il y a lieu en l’espèce de tenir compte dans cette appréciation du fait que l’assiette de l’impôt est une situation jugée nuisible que l’on impose dans le but, entre autres, d’en décourager le maintien ; Il ne s’impose pas nécessairement, en un tel cas, de prendre en considération la valeur des biens ou la faculté contributive de leur propriétaire ; la taxe frappant des bâtiments à l’abandon (…) n’apparaît pas disproportionnée ; En effet, seul un tarif conséquent pourra conférer à la taxe cette qualité véritablement dissuasive qui permet d’induire des changements de comportement et une taxe poursuivant un objectif de dissuasion n’est pas disproportionnée au seul motif que son montant est important</w:t>
      </w:r>
      <w:r w:rsidRPr="00F91BDD">
        <w:rPr>
          <w:rFonts w:cs="Calibri Light"/>
        </w:rPr>
        <w:t>. »</w:t>
      </w:r>
      <w:r w:rsidR="00795C3E" w:rsidRPr="00F91BDD">
        <w:rPr>
          <w:rFonts w:cs="Calibri Light"/>
          <w:vertAlign w:val="superscript"/>
        </w:rPr>
        <w:footnoteReference w:id="135"/>
      </w:r>
      <w:r w:rsidRPr="00F91BDD">
        <w:rPr>
          <w:rFonts w:cs="Calibri Light"/>
          <w:spacing w:val="3"/>
        </w:rPr>
        <w:t>.</w:t>
      </w:r>
    </w:p>
    <w:p w14:paraId="56B1FF5D" w14:textId="7804F477" w:rsidR="23364D71" w:rsidRDefault="23364D71" w:rsidP="6FFC1684">
      <w:pPr>
        <w:spacing w:before="120"/>
        <w:rPr>
          <w:b/>
          <w:bCs/>
          <w:highlight w:val="cyan"/>
          <w:u w:val="single"/>
        </w:rPr>
      </w:pPr>
      <w:r w:rsidRPr="00EE7B3D">
        <w:rPr>
          <w:b/>
          <w:bCs/>
          <w:u w:val="single"/>
        </w:rPr>
        <w:t>La constatation du caractère inoccupé</w:t>
      </w:r>
    </w:p>
    <w:p w14:paraId="754C7F3C" w14:textId="1618D8D7" w:rsidR="3C15BF3B" w:rsidRPr="00EE7B3D" w:rsidRDefault="3C15BF3B" w:rsidP="6FFC1684">
      <w:pPr>
        <w:spacing w:before="120"/>
        <w:rPr>
          <w:rFonts w:ascii="Cambria" w:eastAsia="Cambria" w:hAnsi="Cambria" w:cs="Cambria"/>
        </w:rPr>
      </w:pPr>
      <w:r w:rsidRPr="00EE7B3D">
        <w:t>Dans son arrêt du 2 mai 2024</w:t>
      </w:r>
      <w:r w:rsidRPr="00EE7B3D">
        <w:rPr>
          <w:rStyle w:val="Appelnotedebasdep"/>
        </w:rPr>
        <w:footnoteReference w:id="136"/>
      </w:r>
      <w:r w:rsidRPr="00EE7B3D">
        <w:t xml:space="preserve"> la </w:t>
      </w:r>
      <w:r w:rsidR="0F171F0B" w:rsidRPr="00EE7B3D">
        <w:t>C</w:t>
      </w:r>
      <w:r w:rsidRPr="00EE7B3D">
        <w:t xml:space="preserve">our de cassation </w:t>
      </w:r>
      <w:r w:rsidR="574C4D07" w:rsidRPr="00EE7B3D">
        <w:t xml:space="preserve">dit </w:t>
      </w:r>
      <w:r w:rsidR="02C2BB0C" w:rsidRPr="00EE7B3D">
        <w:t>qu’un règlement qui prévoit que la constatation de l’état d’</w:t>
      </w:r>
      <w:r w:rsidR="481F1571" w:rsidRPr="00EE7B3D">
        <w:t xml:space="preserve">un </w:t>
      </w:r>
      <w:r w:rsidR="02C2BB0C" w:rsidRPr="00EE7B3D">
        <w:t xml:space="preserve">immeuble </w:t>
      </w:r>
      <w:r w:rsidR="6C342123" w:rsidRPr="00EE7B3D">
        <w:t>inoccupé par l’administration est valable jusqu’à durée indéterminée et jusqu’à preuve du contraire est parfaitement valable</w:t>
      </w:r>
      <w:r w:rsidR="61E66F03" w:rsidRPr="00EE7B3D">
        <w:t xml:space="preserve">. En l’occurrence la Cour a constaté que </w:t>
      </w:r>
      <w:r w:rsidR="72E456C4" w:rsidRPr="00EE7B3D">
        <w:t>l</w:t>
      </w:r>
      <w:r w:rsidR="61E66F03" w:rsidRPr="00C63DEB">
        <w:t>es constations de 2010 selon lesquelles personne n'est inscrit dans les registres de la population ou sur la liste d'attente pour cet immeuble et qu'il n'y a pas d'inscription à la BCE ne sont pas réfutées. Par conséquent, ces constatations restent en vigueur pour une durée indéterminée, jusqu’à preuve du contraire.</w:t>
      </w:r>
    </w:p>
    <w:p w14:paraId="00A24A30" w14:textId="77777777" w:rsidR="00795C3E" w:rsidRPr="00F91BDD" w:rsidRDefault="00795C3E" w:rsidP="00795C3E">
      <w:pPr>
        <w:spacing w:before="120"/>
        <w:rPr>
          <w:b/>
          <w:u w:val="single"/>
        </w:rPr>
      </w:pPr>
      <w:r w:rsidRPr="00F91BDD">
        <w:rPr>
          <w:b/>
          <w:u w:val="single"/>
        </w:rPr>
        <w:t>La problématique des circonstances indépendantes de sa volonté</w:t>
      </w:r>
    </w:p>
    <w:p w14:paraId="6D04BB5F" w14:textId="77777777" w:rsidR="00795C3E" w:rsidRPr="00F91BDD" w:rsidRDefault="00795C3E" w:rsidP="00795C3E">
      <w:pPr>
        <w:tabs>
          <w:tab w:val="left" w:pos="2410"/>
        </w:tabs>
        <w:spacing w:before="120"/>
        <w:textAlignment w:val="baseline"/>
        <w:rPr>
          <w:rFonts w:cs="Calibri Light"/>
        </w:rPr>
      </w:pPr>
      <w:bookmarkStart w:id="4344" w:name="_Hlk39040182"/>
      <w:r w:rsidRPr="00F91BDD">
        <w:rPr>
          <w:rFonts w:cs="Calibri Light"/>
        </w:rPr>
        <w:lastRenderedPageBreak/>
        <w:t>Un immeuble doit être soustrait du champ d'application de la taxe pour autant que le propriétaire ou le titulaire du droit réel justifie que le maintien en l'état résulte de circonstances indépendantes de sa volonté.</w:t>
      </w:r>
    </w:p>
    <w:bookmarkEnd w:id="4344"/>
    <w:p w14:paraId="69952498" w14:textId="77777777" w:rsidR="00795C3E" w:rsidRPr="00F91BDD" w:rsidRDefault="00795C3E" w:rsidP="00795C3E">
      <w:pPr>
        <w:spacing w:before="120"/>
        <w:textAlignment w:val="baseline"/>
        <w:rPr>
          <w:rFonts w:cs="Calibri Light"/>
        </w:rPr>
      </w:pPr>
      <w:r w:rsidRPr="00F91BDD">
        <w:rPr>
          <w:rFonts w:cs="Calibri Light"/>
        </w:rPr>
        <w:t>À cet égard, il convient de préciser que la notion de «</w:t>
      </w:r>
      <w:r w:rsidRPr="00F91BDD">
        <w:rPr>
          <w:rFonts w:cs="Calibri Light"/>
          <w:b/>
        </w:rPr>
        <w:t xml:space="preserve"> circonstances indépendantes de sa volonté</w:t>
      </w:r>
      <w:r w:rsidRPr="00F91BDD">
        <w:rPr>
          <w:rFonts w:cs="Calibri Light"/>
        </w:rPr>
        <w:t xml:space="preserve"> » n'est pas limitative et doit s'apprécier dans un sens large dans la mesure où la circonstance a un lien étroit avec le logement.</w:t>
      </w:r>
    </w:p>
    <w:p w14:paraId="19A9D4FB" w14:textId="77777777" w:rsidR="00795C3E" w:rsidRPr="00F91BDD" w:rsidRDefault="00795C3E" w:rsidP="00795C3E">
      <w:pPr>
        <w:spacing w:before="120"/>
        <w:textAlignment w:val="baseline"/>
        <w:rPr>
          <w:rFonts w:cs="Calibri Light"/>
        </w:rPr>
      </w:pPr>
      <w:r w:rsidRPr="00F91BDD">
        <w:rPr>
          <w:rFonts w:cs="Calibri Light"/>
        </w:rPr>
        <w:t>Il appartient au propriétaire ou au titulaire de droits réels de justifier à suffisance, de manière probante, la « circonstance indépendante de sa volonté ». À titre d'exemple, pourrait être considéré comme « circonstance indépendante de sa volonté », un bien qui, pour cause de « monument classé », ne peut faire l'objet des transformations requises pour le rendre habitable ou exploitable économiquement.</w:t>
      </w:r>
    </w:p>
    <w:p w14:paraId="235C5B08" w14:textId="77777777" w:rsidR="00795C3E" w:rsidRPr="00F91BDD" w:rsidRDefault="00795C3E" w:rsidP="00795C3E">
      <w:pPr>
        <w:spacing w:before="120"/>
        <w:textAlignment w:val="baseline"/>
        <w:rPr>
          <w:rFonts w:cs="Calibri Light"/>
        </w:rPr>
      </w:pPr>
      <w:r w:rsidRPr="00F91BDD">
        <w:rPr>
          <w:rFonts w:cs="Calibri Light"/>
        </w:rPr>
        <w:t>Il peut cependant être raisonnablement établi que, hormis des cas exceptionnels, après une période d'un an — venant s'ajouter à la période laissée entre le constat et la première taxation — la notion de circonstances indépendantes de la volonté, pour un même fait, devient difficilement justifiable.</w:t>
      </w:r>
    </w:p>
    <w:p w14:paraId="291CFE13" w14:textId="77777777" w:rsidR="00795C3E" w:rsidRPr="00F91BDD" w:rsidRDefault="00795C3E" w:rsidP="00795C3E">
      <w:pPr>
        <w:spacing w:before="120"/>
        <w:rPr>
          <w:b/>
          <w:u w:val="single"/>
        </w:rPr>
      </w:pPr>
      <w:r w:rsidRPr="00F91BDD">
        <w:rPr>
          <w:b/>
          <w:u w:val="single"/>
        </w:rPr>
        <w:t>La problématique de l’exonération des sociétés de logements sociaux et des immeubles appartenant aux pouvoirs publics</w:t>
      </w:r>
    </w:p>
    <w:p w14:paraId="584BF345" w14:textId="77777777" w:rsidR="00795C3E" w:rsidRPr="00F91BDD" w:rsidRDefault="00795C3E" w:rsidP="00795C3E">
      <w:pPr>
        <w:spacing w:before="120"/>
        <w:textAlignment w:val="baseline"/>
        <w:rPr>
          <w:rFonts w:cs="Calibri Light"/>
        </w:rPr>
      </w:pPr>
      <w:r w:rsidRPr="00F91BDD">
        <w:rPr>
          <w:rFonts w:cs="Calibri Light"/>
        </w:rPr>
        <w:t xml:space="preserve">En ce qui concerne la possibilité </w:t>
      </w:r>
      <w:r w:rsidRPr="00F91BDD">
        <w:rPr>
          <w:rFonts w:cs="Calibri Light"/>
          <w:b/>
        </w:rPr>
        <w:t>d'exonérer les sociétés de logements sociaux</w:t>
      </w:r>
      <w:r w:rsidRPr="00F91BDD">
        <w:rPr>
          <w:rFonts w:cs="Calibri Light"/>
        </w:rPr>
        <w:t>, il convient de relever l'arrêt de la Cour d'Appel de Liège du 11 mai 2007 mettant en cause la commune de Schaerbeek c/ x.</w:t>
      </w:r>
    </w:p>
    <w:p w14:paraId="74C08C22" w14:textId="77777777" w:rsidR="00795C3E" w:rsidRPr="00F91BDD" w:rsidRDefault="00795C3E" w:rsidP="00795C3E">
      <w:pPr>
        <w:spacing w:before="120"/>
        <w:textAlignment w:val="baseline"/>
        <w:rPr>
          <w:rFonts w:cs="Calibri Light"/>
        </w:rPr>
      </w:pPr>
      <w:r w:rsidRPr="00F91BDD">
        <w:rPr>
          <w:rFonts w:cs="Calibri Light"/>
        </w:rPr>
        <w:t xml:space="preserve">Dans cet arrêt, la Cour rappelle que, selon le principe d'égalité des citoyens devant l'impôt, un régime fiscal différent peut être établi à l'égard de certaines catégories de contribuables </w:t>
      </w:r>
      <w:r w:rsidRPr="00F91BDD">
        <w:rPr>
          <w:rFonts w:cs="Calibri Light"/>
          <w:b/>
          <w:bCs/>
        </w:rPr>
        <w:t>à condition que ce régime soit objectivement et raisonnablement justifié.</w:t>
      </w:r>
      <w:r w:rsidRPr="00F91BDD">
        <w:rPr>
          <w:rFonts w:cs="Calibri Light"/>
        </w:rPr>
        <w:t xml:space="preserve"> L'existence d'une pareille justification doit s'apprécier par rapport au but et aux effets de la taxe établie et aux liens de proportionnalité raisonnable entre les moyens utilisés et le but poursuivi.</w:t>
      </w:r>
    </w:p>
    <w:p w14:paraId="19CCEE0A" w14:textId="77777777" w:rsidR="00795C3E" w:rsidRPr="00F91BDD" w:rsidRDefault="00795C3E" w:rsidP="00795C3E">
      <w:pPr>
        <w:spacing w:before="120"/>
        <w:textAlignment w:val="baseline"/>
        <w:rPr>
          <w:rFonts w:cs="Calibri Light"/>
          <w:spacing w:val="-1"/>
        </w:rPr>
      </w:pPr>
      <w:r w:rsidRPr="00F91BDD">
        <w:rPr>
          <w:rFonts w:cs="Calibri Light"/>
          <w:spacing w:val="-1"/>
        </w:rPr>
        <w:t>En l'espèce, la Cour relève :</w:t>
      </w:r>
    </w:p>
    <w:p w14:paraId="65D4A882" w14:textId="77777777" w:rsidR="00795C3E" w:rsidRPr="00F91BDD" w:rsidRDefault="00795C3E" w:rsidP="00795C3E">
      <w:pPr>
        <w:spacing w:before="120"/>
        <w:ind w:left="284" w:right="284"/>
        <w:textAlignment w:val="baseline"/>
        <w:rPr>
          <w:rFonts w:cs="Calibri Light"/>
          <w:i/>
        </w:rPr>
      </w:pPr>
      <w:r w:rsidRPr="00F91BDD">
        <w:rPr>
          <w:rFonts w:cs="Calibri Light"/>
        </w:rPr>
        <w:t xml:space="preserve">« </w:t>
      </w:r>
      <w:r w:rsidRPr="00F91BDD">
        <w:rPr>
          <w:rFonts w:cs="Calibri Light"/>
          <w:i/>
        </w:rPr>
        <w:t>Que le but poursuivi par le règlement-taxe résulte de sa référence à la nécessité de pourvoir aux dépenses nécessaires au bon fonctionnement de la commune et à la lutte contre l'abandon et l'inoccupation des immeubles en incitant les propriétaires défaillants à exécuter des travaux de remise en état ;</w:t>
      </w:r>
    </w:p>
    <w:p w14:paraId="2A5169E1" w14:textId="77777777" w:rsidR="00795C3E" w:rsidRPr="00F91BDD" w:rsidRDefault="00795C3E" w:rsidP="00795C3E">
      <w:pPr>
        <w:spacing w:before="120"/>
        <w:ind w:left="284" w:right="284"/>
        <w:textAlignment w:val="baseline"/>
        <w:rPr>
          <w:rFonts w:cs="Calibri Light"/>
          <w:i/>
        </w:rPr>
      </w:pPr>
      <w:r w:rsidRPr="00F91BDD">
        <w:rPr>
          <w:rFonts w:cs="Calibri Light"/>
          <w:i/>
        </w:rPr>
        <w:t>Qu’il n'apparaît pas objectif et proportionnellement raisonnable de la part de la commune de se priver de ressources en dispensant les sociétés de logements sociaux du paiement de la taxe lorsqu'elles laissent des bâtiments à l'abandon ;</w:t>
      </w:r>
    </w:p>
    <w:p w14:paraId="1057B0BC" w14:textId="77777777" w:rsidR="00795C3E" w:rsidRPr="00F91BDD" w:rsidRDefault="00795C3E" w:rsidP="00795C3E">
      <w:pPr>
        <w:spacing w:before="120"/>
        <w:ind w:left="284" w:right="284"/>
        <w:textAlignment w:val="baseline"/>
        <w:rPr>
          <w:rFonts w:cs="Calibri Light"/>
          <w:i/>
          <w:spacing w:val="-2"/>
        </w:rPr>
      </w:pPr>
      <w:r w:rsidRPr="00F91BDD">
        <w:rPr>
          <w:rFonts w:cs="Calibri Light"/>
          <w:i/>
          <w:spacing w:val="-2"/>
        </w:rPr>
        <w:t>Que cette exonération a en outre un effet pervers puisqu'il incite les sociétés de logement à moins se soucier de l'avancement de leurs travaux de réhabilitation que d'autres constructeurs soumis à la taxe ;</w:t>
      </w:r>
    </w:p>
    <w:p w14:paraId="0F23E787" w14:textId="77777777" w:rsidR="00795C3E" w:rsidRPr="00F91BDD" w:rsidRDefault="00795C3E" w:rsidP="00795C3E">
      <w:pPr>
        <w:spacing w:before="120"/>
        <w:ind w:left="284" w:right="284"/>
        <w:textAlignment w:val="baseline"/>
        <w:rPr>
          <w:rFonts w:cs="Calibri Light"/>
        </w:rPr>
      </w:pPr>
      <w:r w:rsidRPr="00F91BDD">
        <w:rPr>
          <w:rFonts w:cs="Calibri Light"/>
          <w:b/>
          <w:bCs/>
          <w:i/>
        </w:rPr>
        <w:lastRenderedPageBreak/>
        <w:t>Que le règlement-taxe est donc discriminatoire sans que cette différence de traitement repose sur un critère objectif et raisonnable et soit justifiée eu égard au but poursuivi et aux effets de la mesure critiquée</w:t>
      </w:r>
      <w:r w:rsidRPr="00F91BDD">
        <w:rPr>
          <w:rFonts w:cs="Calibri Light"/>
        </w:rPr>
        <w:t xml:space="preserve"> ».</w:t>
      </w:r>
    </w:p>
    <w:p w14:paraId="6F75E79A" w14:textId="77777777" w:rsidR="00795C3E" w:rsidRPr="00F91BDD" w:rsidRDefault="00795C3E" w:rsidP="00795C3E">
      <w:pPr>
        <w:spacing w:before="120"/>
        <w:textAlignment w:val="baseline"/>
        <w:rPr>
          <w:rFonts w:cs="Calibri Light"/>
        </w:rPr>
      </w:pPr>
      <w:r w:rsidRPr="00F91BDD">
        <w:rPr>
          <w:rFonts w:cs="Calibri Light"/>
        </w:rPr>
        <w:t xml:space="preserve">Cette position a été réitérée par l'arrêt de la Cour d'appel de Mons du 27 avril 2012 mettant en cause la Ville de Charleroi. La Cour rappelle que seuls les biens du domaine public et ceux du domaine privé de l'État </w:t>
      </w:r>
      <w:r w:rsidRPr="00F91BDD">
        <w:rPr>
          <w:rFonts w:cs="Calibri Light"/>
          <w:b/>
        </w:rPr>
        <w:t xml:space="preserve">entièrement affectés </w:t>
      </w:r>
      <w:r w:rsidRPr="00F91BDD">
        <w:rPr>
          <w:rFonts w:cs="Calibri Light"/>
        </w:rPr>
        <w:t>à un service public ou à un service d'utilité générale ne sont pas soumis à l'impôt.</w:t>
      </w:r>
    </w:p>
    <w:p w14:paraId="1942FCAD" w14:textId="77777777" w:rsidR="00795C3E" w:rsidRPr="00F91BDD" w:rsidRDefault="59020915" w:rsidP="00795C3E">
      <w:pPr>
        <w:spacing w:before="120"/>
        <w:textAlignment w:val="baseline"/>
        <w:rPr>
          <w:rFonts w:cs="Calibri Light"/>
        </w:rPr>
      </w:pPr>
      <w:r w:rsidRPr="00F91BDD">
        <w:rPr>
          <w:rFonts w:cs="Calibri Light"/>
        </w:rPr>
        <w:t>Dans son arrêt du 30 novembre 2021</w:t>
      </w:r>
      <w:r w:rsidR="00795C3E" w:rsidRPr="00F91BDD">
        <w:rPr>
          <w:rStyle w:val="Appelnotedebasdep"/>
          <w:rFonts w:cs="Calibri Light"/>
        </w:rPr>
        <w:footnoteReference w:id="137"/>
      </w:r>
      <w:r w:rsidRPr="00F91BDD">
        <w:rPr>
          <w:rFonts w:cs="Calibri Light"/>
        </w:rPr>
        <w:t xml:space="preserve"> la Cour considère que : « L’exonération pour les organisations de logement social est par ailleurs fondée sur un critère objectif qui s’inscrit dans le but de la taxe, à savoir le fait qu’elles contribuent à la revalorisation du parc de logements en rénovant, améliorant ou adaptant des habitations ou des bâtiments inadaptés. Lorsqu’il peut se produire des cas où ces organisations de logement social mettent plus de temps à effectuer un assainissement et/ou une rénovation, ce qui entraîne une inoccupation plus longue, </w:t>
      </w:r>
      <w:bookmarkStart w:id="4345" w:name="_Hlk129093336"/>
      <w:r w:rsidRPr="00F91BDD">
        <w:rPr>
          <w:rFonts w:cs="Calibri Light"/>
        </w:rPr>
        <w:t>il faut admettre que ce n’est pas parce qu’elles ne veulent pas satisfaire à leur mission principale, mais pour des raisons organisationnelles et parce qu’elles sont limitées par manque de marge de manœuvre financière. À cet égard, il convient de considérer que la taxe entraverait les organisations de logement concernées dans l’accomplissement de leur mission d’intérêt général, plus précisément leur politique de logement</w:t>
      </w:r>
      <w:bookmarkEnd w:id="4345"/>
      <w:r w:rsidRPr="00F91BDD">
        <w:rPr>
          <w:rFonts w:cs="Calibri Light"/>
        </w:rPr>
        <w:t xml:space="preserve">. L’exonération générale inconditionnelle pour les organisations de logement social contribue, en épargnant ces organisations sur le plan de la taxe correspondante, à la réalisation de l’objectif de cette organisation et donc, en soi, à l’objectif du règlement-taxe. Il </w:t>
      </w:r>
      <w:bookmarkStart w:id="4346" w:name="_Hlk129093264"/>
      <w:r w:rsidRPr="00F91BDD">
        <w:rPr>
          <w:rFonts w:cs="Calibri Light"/>
        </w:rPr>
        <w:t>est donc raisonnablement et objectivement justifié que ces organisations de logement social soient exonérées de la taxe sur les habitations déclarées inadaptées et/ou inhabitables</w:t>
      </w:r>
      <w:bookmarkEnd w:id="4346"/>
      <w:r w:rsidRPr="00F91BDD">
        <w:rPr>
          <w:rFonts w:cs="Calibri Light"/>
        </w:rPr>
        <w:t>. »</w:t>
      </w:r>
    </w:p>
    <w:p w14:paraId="39E44AE5" w14:textId="77777777" w:rsidR="00795C3E" w:rsidRPr="00F91BDD" w:rsidRDefault="00795C3E" w:rsidP="00795C3E">
      <w:pPr>
        <w:spacing w:before="120"/>
        <w:textAlignment w:val="baseline"/>
        <w:rPr>
          <w:rFonts w:cs="Calibri Light"/>
        </w:rPr>
      </w:pPr>
      <w:bookmarkStart w:id="4347" w:name="_Hlk137026548"/>
      <w:r w:rsidRPr="00F91BDD">
        <w:rPr>
          <w:rFonts w:cs="Calibri Light"/>
        </w:rPr>
        <w:t>Dans ce même ordre d’idée rappelons également que :</w:t>
      </w:r>
    </w:p>
    <w:p w14:paraId="061A0910" w14:textId="77777777" w:rsidR="00795C3E" w:rsidRPr="00F91BDD" w:rsidRDefault="59020915">
      <w:pPr>
        <w:pStyle w:val="Paragraphedeliste"/>
        <w:numPr>
          <w:ilvl w:val="0"/>
          <w:numId w:val="22"/>
        </w:numPr>
        <w:spacing w:before="120" w:after="120" w:line="240" w:lineRule="auto"/>
        <w:contextualSpacing w:val="0"/>
        <w:textAlignment w:val="baseline"/>
        <w:rPr>
          <w:rFonts w:cs="Calibri Light"/>
        </w:rPr>
      </w:pPr>
      <w:r w:rsidRPr="00F91BDD">
        <w:rPr>
          <w:rFonts w:cs="Calibri Light"/>
        </w:rPr>
        <w:t xml:space="preserve"> dans son arrêt du 14 juin 2000</w:t>
      </w:r>
      <w:r w:rsidR="00795C3E" w:rsidRPr="00F91BDD">
        <w:rPr>
          <w:rStyle w:val="Appelnotedebasdep"/>
          <w:rFonts w:cs="Calibri Light"/>
        </w:rPr>
        <w:footnoteReference w:id="138"/>
      </w:r>
      <w:r w:rsidRPr="00F91BDD">
        <w:rPr>
          <w:rFonts w:cs="Calibri Light"/>
        </w:rPr>
        <w:t xml:space="preserve">, la Cour constitutionnelle </w:t>
      </w:r>
      <w:bookmarkStart w:id="4348" w:name="_Hlk137026294"/>
      <w:r w:rsidRPr="00F91BDD">
        <w:rPr>
          <w:rFonts w:cs="Calibri Light"/>
        </w:rPr>
        <w:t xml:space="preserve">a jugé que </w:t>
      </w:r>
      <w:bookmarkEnd w:id="4348"/>
      <w:r w:rsidRPr="00F91BDD">
        <w:rPr>
          <w:rFonts w:cs="Calibri Light"/>
        </w:rPr>
        <w:t>« </w:t>
      </w:r>
      <w:r w:rsidRPr="6FFC1684">
        <w:rPr>
          <w:rFonts w:cs="Calibri Light"/>
          <w:i/>
          <w:iCs/>
        </w:rPr>
        <w:t>Les agences immobilières sociales agréées par la Région wallonne, la Société régionale wallonne du logement et les sociétés immobilières de service public agréées par celle-ci, qui sont visées par l'exonération contenue à l'article 5, 1°, du décret -soit le décret du 19 novembre 1998, établissant au profit de la Région wallonne une taxe annuelle sur les logements abandonnés ont pour mission légale d'affecter à l'habitation les logements qui leur appartiennent ou qu'elles ont reçu en location ou en gestion. L'autorité publique dispose de moyens spécifiques, prévus par les législations applicables à ces organismes, de contrôler la réalité de cette affectation. ll est donc justifié de les soustraire à la taxe litigieuse, celle-ci visant les propriétaires et autres titulaires de droits réels de jouissance à l'égard desquels la Région ne dispose pas des mêmes pouvoirs</w:t>
      </w:r>
      <w:r w:rsidRPr="00F91BDD">
        <w:rPr>
          <w:rFonts w:cs="Calibri Light"/>
        </w:rPr>
        <w:t> » ;</w:t>
      </w:r>
    </w:p>
    <w:p w14:paraId="2FDA646F" w14:textId="77777777" w:rsidR="00795C3E" w:rsidRPr="00F91BDD" w:rsidRDefault="59020915">
      <w:pPr>
        <w:pStyle w:val="Paragraphedeliste"/>
        <w:numPr>
          <w:ilvl w:val="0"/>
          <w:numId w:val="22"/>
        </w:numPr>
        <w:spacing w:before="120" w:after="120" w:line="240" w:lineRule="auto"/>
        <w:contextualSpacing w:val="0"/>
        <w:textAlignment w:val="baseline"/>
        <w:rPr>
          <w:rFonts w:cs="Calibri Light"/>
        </w:rPr>
      </w:pPr>
      <w:r w:rsidRPr="00F91BDD">
        <w:rPr>
          <w:rFonts w:cs="Calibri Light"/>
        </w:rPr>
        <w:t>dans son arrêt du 6 novembre 2001</w:t>
      </w:r>
      <w:r w:rsidR="00795C3E" w:rsidRPr="00F91BDD">
        <w:rPr>
          <w:rStyle w:val="Appelnotedebasdep"/>
          <w:rFonts w:cs="Calibri Light"/>
        </w:rPr>
        <w:footnoteReference w:id="139"/>
      </w:r>
      <w:r w:rsidRPr="00F91BDD">
        <w:rPr>
          <w:rFonts w:cs="Calibri Light"/>
        </w:rPr>
        <w:t>, le Conseil d'Etat a jugé que « </w:t>
      </w:r>
      <w:r w:rsidRPr="6FFC1684">
        <w:rPr>
          <w:rFonts w:cs="Calibri Light"/>
          <w:i/>
          <w:iCs/>
        </w:rPr>
        <w:t xml:space="preserve">Considérant que le règlement attaqué établit une exonération de la taxe pour «le bien appartenant à une société de logement agréée»; que la catégorie de biens visés, et, à travers elle, la catégorie de propriétaires exonérés de la taxe, reposent sur un critère objectif; Considérant' que les </w:t>
      </w:r>
      <w:r w:rsidRPr="6FFC1684">
        <w:rPr>
          <w:rFonts w:cs="Calibri Light"/>
          <w:i/>
          <w:iCs/>
        </w:rPr>
        <w:lastRenderedPageBreak/>
        <w:t>articles 7 à 13bis du décret de la Région wallonne du 24 octobre 1984 instituant la Société régionale wallonne du logement établissent des règles relatives à l'objet de ces sociétés (article 8), à leur forme juridique (article 9), à l'identité des personnes qui détiennent leur capital (article 10), à certaines de leurs opérations (articles 11 à 12), au contrôle qui s'exerce sur elles (article 13) et aux mesures à prendre en cas de déficit (article 13bis); qu'il en ressort que le capital de ces sociétés est détenu majoritairement par des personnes de droit public, que la Société régionale wallonne du logement, elle-même contrôlée par le gouvernement régional, exerce une tutelle sur leurs activités; que ces sociétés ont notamment pour objet de construire, de transformer, de réhabiliter des immeubles, le cas échéant en les démolissant, en vue d'en faire des habitations sociales; que cette mission peut les amener à être ou devenir propriétaires d'immeubles se trouvant dans une des situations visées à l'article 1</w:t>
      </w:r>
      <w:r w:rsidRPr="6FFC1684">
        <w:rPr>
          <w:rFonts w:cs="Calibri Light"/>
          <w:i/>
          <w:iCs/>
          <w:vertAlign w:val="superscript"/>
        </w:rPr>
        <w:t>er</w:t>
      </w:r>
      <w:r w:rsidRPr="6FFC1684">
        <w:rPr>
          <w:rFonts w:cs="Calibri Light"/>
          <w:i/>
          <w:iCs/>
        </w:rPr>
        <w:t xml:space="preserve"> , § 1</w:t>
      </w:r>
      <w:r w:rsidRPr="6FFC1684">
        <w:rPr>
          <w:rFonts w:cs="Calibri Light"/>
          <w:i/>
          <w:iCs/>
          <w:vertAlign w:val="superscript"/>
        </w:rPr>
        <w:t>er</w:t>
      </w:r>
      <w:r w:rsidRPr="6FFC1684">
        <w:rPr>
          <w:rFonts w:cs="Calibri Light"/>
          <w:i/>
          <w:iCs/>
        </w:rPr>
        <w:t xml:space="preserve"> , du règlement attaqué; qu'il s'agit de sociétés dont la mission première est de remplir une fonction sociale que le législateur wallon, dans le prolongement de la législation étatique précédente, a érigée en service public; que s'il leur est permis de faire des bénéfices, la recherche du profit n'est pas leur raison d'être principale; que ces caractéristiques sont dans un rapport de proportionnalité raisonnable avec l'exonération établie par la disposition attaquée; que la circonstance alléguée ) mais non établie par le dossier) que certaines d'entre elles ne s'acquitteraient pas correctement de cette mission n'est pas de nature à entacher l'acte attaqué d'illégalité; que la circonstance que la ville de Liège est actionnaire de certaines sociétés dont les biens sont exonérés ne peut être retenue comme un Indice de discrimination, dès lors que l'exonération profite, à travers les sociétés agréées, à tous leurs actionnaires, publics ou privés; que le moyen n'est pas fondé.</w:t>
      </w:r>
      <w:r w:rsidRPr="00F91BDD">
        <w:rPr>
          <w:rFonts w:cs="Calibri Light"/>
        </w:rPr>
        <w:t> »</w:t>
      </w:r>
    </w:p>
    <w:bookmarkEnd w:id="4347"/>
    <w:p w14:paraId="684BC3F3" w14:textId="77777777" w:rsidR="00795C3E" w:rsidRPr="00AF15C9" w:rsidRDefault="00795C3E" w:rsidP="00795C3E">
      <w:pPr>
        <w:spacing w:before="120"/>
        <w:textAlignment w:val="baseline"/>
      </w:pPr>
      <w:r w:rsidRPr="00F91BDD">
        <w:rPr>
          <w:rFonts w:cs="Calibri Light"/>
        </w:rPr>
        <w:t>Pour le surplus, je vous renvoie aux commentaires repris sous le point VI.4.6 « Exonération en faveur des bâtiments publics ».</w:t>
      </w:r>
    </w:p>
    <w:p w14:paraId="3DA92203" w14:textId="1A899DAA" w:rsidR="00795C3E" w:rsidRPr="00EF06E6" w:rsidRDefault="00795C3E" w:rsidP="35BD9115">
      <w:pPr>
        <w:pStyle w:val="Titre3"/>
        <w:rPr>
          <w:caps/>
        </w:rPr>
      </w:pPr>
      <w:bookmarkStart w:id="4349" w:name="_Toc516739976"/>
      <w:bookmarkStart w:id="4350" w:name="_Toc516751885"/>
      <w:bookmarkStart w:id="4351" w:name="_Toc516825973"/>
      <w:bookmarkStart w:id="4352" w:name="_Toc516826531"/>
      <w:bookmarkStart w:id="4353" w:name="_Toc516837851"/>
      <w:bookmarkStart w:id="4354" w:name="_Toc516838410"/>
      <w:bookmarkStart w:id="4355" w:name="_Toc516838969"/>
      <w:bookmarkStart w:id="4356" w:name="_Toc516839529"/>
      <w:bookmarkStart w:id="4357" w:name="_Toc517173625"/>
      <w:bookmarkStart w:id="4358" w:name="_Toc517175299"/>
      <w:bookmarkStart w:id="4359" w:name="_Toc517175886"/>
      <w:bookmarkStart w:id="4360" w:name="_Toc517176474"/>
      <w:bookmarkStart w:id="4361" w:name="_Toc517337799"/>
      <w:bookmarkStart w:id="4362" w:name="_Toc517360595"/>
      <w:bookmarkStart w:id="4363" w:name="_Toc516739977"/>
      <w:bookmarkStart w:id="4364" w:name="_Toc516751886"/>
      <w:bookmarkStart w:id="4365" w:name="_Toc516825974"/>
      <w:bookmarkStart w:id="4366" w:name="_Toc516826532"/>
      <w:bookmarkStart w:id="4367" w:name="_Toc516837852"/>
      <w:bookmarkStart w:id="4368" w:name="_Toc516838411"/>
      <w:bookmarkStart w:id="4369" w:name="_Toc516838970"/>
      <w:bookmarkStart w:id="4370" w:name="_Toc516839530"/>
      <w:bookmarkStart w:id="4371" w:name="_Toc517173626"/>
      <w:bookmarkStart w:id="4372" w:name="_Toc517175300"/>
      <w:bookmarkStart w:id="4373" w:name="_Toc517175887"/>
      <w:bookmarkStart w:id="4374" w:name="_Toc517176475"/>
      <w:bookmarkStart w:id="4375" w:name="_Toc517337800"/>
      <w:bookmarkStart w:id="4376" w:name="_Toc517360596"/>
      <w:bookmarkStart w:id="4377" w:name="_Toc516739978"/>
      <w:bookmarkStart w:id="4378" w:name="_Toc516751887"/>
      <w:bookmarkStart w:id="4379" w:name="_Toc516825975"/>
      <w:bookmarkStart w:id="4380" w:name="_Toc516826533"/>
      <w:bookmarkStart w:id="4381" w:name="_Toc516837853"/>
      <w:bookmarkStart w:id="4382" w:name="_Toc516838412"/>
      <w:bookmarkStart w:id="4383" w:name="_Toc516838971"/>
      <w:bookmarkStart w:id="4384" w:name="_Toc516839531"/>
      <w:bookmarkStart w:id="4385" w:name="_Toc517173627"/>
      <w:bookmarkStart w:id="4386" w:name="_Toc517175301"/>
      <w:bookmarkStart w:id="4387" w:name="_Toc517175888"/>
      <w:bookmarkStart w:id="4388" w:name="_Toc517176476"/>
      <w:bookmarkStart w:id="4389" w:name="_Toc517337801"/>
      <w:bookmarkStart w:id="4390" w:name="_Toc517360597"/>
      <w:bookmarkStart w:id="4391" w:name="_Toc516739979"/>
      <w:bookmarkStart w:id="4392" w:name="_Toc516751888"/>
      <w:bookmarkStart w:id="4393" w:name="_Toc516825976"/>
      <w:bookmarkStart w:id="4394" w:name="_Toc516826534"/>
      <w:bookmarkStart w:id="4395" w:name="_Toc516837854"/>
      <w:bookmarkStart w:id="4396" w:name="_Toc516838413"/>
      <w:bookmarkStart w:id="4397" w:name="_Toc516838972"/>
      <w:bookmarkStart w:id="4398" w:name="_Toc516839532"/>
      <w:bookmarkStart w:id="4399" w:name="_Toc517173628"/>
      <w:bookmarkStart w:id="4400" w:name="_Toc517175302"/>
      <w:bookmarkStart w:id="4401" w:name="_Toc517175889"/>
      <w:bookmarkStart w:id="4402" w:name="_Toc517176477"/>
      <w:bookmarkStart w:id="4403" w:name="_Toc517337802"/>
      <w:bookmarkStart w:id="4404" w:name="_Toc517360598"/>
      <w:bookmarkStart w:id="4405" w:name="_Toc516739980"/>
      <w:bookmarkStart w:id="4406" w:name="_Toc516751889"/>
      <w:bookmarkStart w:id="4407" w:name="_Toc516825977"/>
      <w:bookmarkStart w:id="4408" w:name="_Toc516826535"/>
      <w:bookmarkStart w:id="4409" w:name="_Toc516837855"/>
      <w:bookmarkStart w:id="4410" w:name="_Toc516838414"/>
      <w:bookmarkStart w:id="4411" w:name="_Toc516838973"/>
      <w:bookmarkStart w:id="4412" w:name="_Toc516839533"/>
      <w:bookmarkStart w:id="4413" w:name="_Toc517173629"/>
      <w:bookmarkStart w:id="4414" w:name="_Toc517175303"/>
      <w:bookmarkStart w:id="4415" w:name="_Toc517175890"/>
      <w:bookmarkStart w:id="4416" w:name="_Toc517176478"/>
      <w:bookmarkStart w:id="4417" w:name="_Toc517337803"/>
      <w:bookmarkStart w:id="4418" w:name="_Toc517360599"/>
      <w:bookmarkStart w:id="4419" w:name="_Toc516739981"/>
      <w:bookmarkStart w:id="4420" w:name="_Toc516751890"/>
      <w:bookmarkStart w:id="4421" w:name="_Toc516825978"/>
      <w:bookmarkStart w:id="4422" w:name="_Toc516826536"/>
      <w:bookmarkStart w:id="4423" w:name="_Toc516837856"/>
      <w:bookmarkStart w:id="4424" w:name="_Toc516838415"/>
      <w:bookmarkStart w:id="4425" w:name="_Toc516838974"/>
      <w:bookmarkStart w:id="4426" w:name="_Toc516839534"/>
      <w:bookmarkStart w:id="4427" w:name="_Toc517173630"/>
      <w:bookmarkStart w:id="4428" w:name="_Toc517175304"/>
      <w:bookmarkStart w:id="4429" w:name="_Toc517175891"/>
      <w:bookmarkStart w:id="4430" w:name="_Toc517176479"/>
      <w:bookmarkStart w:id="4431" w:name="_Toc517337804"/>
      <w:bookmarkStart w:id="4432" w:name="_Toc517360600"/>
      <w:bookmarkStart w:id="4433" w:name="_Toc516739982"/>
      <w:bookmarkStart w:id="4434" w:name="_Toc516751891"/>
      <w:bookmarkStart w:id="4435" w:name="_Toc516825979"/>
      <w:bookmarkStart w:id="4436" w:name="_Toc516826537"/>
      <w:bookmarkStart w:id="4437" w:name="_Toc516837857"/>
      <w:bookmarkStart w:id="4438" w:name="_Toc516838416"/>
      <w:bookmarkStart w:id="4439" w:name="_Toc516838975"/>
      <w:bookmarkStart w:id="4440" w:name="_Toc516839535"/>
      <w:bookmarkStart w:id="4441" w:name="_Toc517173631"/>
      <w:bookmarkStart w:id="4442" w:name="_Toc517175305"/>
      <w:bookmarkStart w:id="4443" w:name="_Toc517175892"/>
      <w:bookmarkStart w:id="4444" w:name="_Toc517176480"/>
      <w:bookmarkStart w:id="4445" w:name="_Toc517337805"/>
      <w:bookmarkStart w:id="4446" w:name="_Toc517360601"/>
      <w:bookmarkStart w:id="4447" w:name="_Toc516739983"/>
      <w:bookmarkStart w:id="4448" w:name="_Toc516751892"/>
      <w:bookmarkStart w:id="4449" w:name="_Toc516825980"/>
      <w:bookmarkStart w:id="4450" w:name="_Toc516826538"/>
      <w:bookmarkStart w:id="4451" w:name="_Toc516837858"/>
      <w:bookmarkStart w:id="4452" w:name="_Toc516838417"/>
      <w:bookmarkStart w:id="4453" w:name="_Toc516838976"/>
      <w:bookmarkStart w:id="4454" w:name="_Toc516839536"/>
      <w:bookmarkStart w:id="4455" w:name="_Toc517173632"/>
      <w:bookmarkStart w:id="4456" w:name="_Toc517175306"/>
      <w:bookmarkStart w:id="4457" w:name="_Toc517175893"/>
      <w:bookmarkStart w:id="4458" w:name="_Toc517176481"/>
      <w:bookmarkStart w:id="4459" w:name="_Toc517337806"/>
      <w:bookmarkStart w:id="4460" w:name="_Toc517360602"/>
      <w:bookmarkStart w:id="4461" w:name="_Toc516739984"/>
      <w:bookmarkStart w:id="4462" w:name="_Toc516751893"/>
      <w:bookmarkStart w:id="4463" w:name="_Toc516825981"/>
      <w:bookmarkStart w:id="4464" w:name="_Toc516826539"/>
      <w:bookmarkStart w:id="4465" w:name="_Toc516837859"/>
      <w:bookmarkStart w:id="4466" w:name="_Toc516838418"/>
      <w:bookmarkStart w:id="4467" w:name="_Toc516838977"/>
      <w:bookmarkStart w:id="4468" w:name="_Toc516839537"/>
      <w:bookmarkStart w:id="4469" w:name="_Toc517173633"/>
      <w:bookmarkStart w:id="4470" w:name="_Toc517175307"/>
      <w:bookmarkStart w:id="4471" w:name="_Toc517175894"/>
      <w:bookmarkStart w:id="4472" w:name="_Toc517176482"/>
      <w:bookmarkStart w:id="4473" w:name="_Toc517337807"/>
      <w:bookmarkStart w:id="4474" w:name="_Toc517360603"/>
      <w:bookmarkStart w:id="4475" w:name="_Toc516739985"/>
      <w:bookmarkStart w:id="4476" w:name="_Toc516751894"/>
      <w:bookmarkStart w:id="4477" w:name="_Toc516825982"/>
      <w:bookmarkStart w:id="4478" w:name="_Toc516826540"/>
      <w:bookmarkStart w:id="4479" w:name="_Toc516837860"/>
      <w:bookmarkStart w:id="4480" w:name="_Toc516838419"/>
      <w:bookmarkStart w:id="4481" w:name="_Toc516838978"/>
      <w:bookmarkStart w:id="4482" w:name="_Toc516839538"/>
      <w:bookmarkStart w:id="4483" w:name="_Toc517173634"/>
      <w:bookmarkStart w:id="4484" w:name="_Toc517175308"/>
      <w:bookmarkStart w:id="4485" w:name="_Toc517175895"/>
      <w:bookmarkStart w:id="4486" w:name="_Toc517176483"/>
      <w:bookmarkStart w:id="4487" w:name="_Toc517337808"/>
      <w:bookmarkStart w:id="4488" w:name="_Toc517360604"/>
      <w:bookmarkStart w:id="4489" w:name="_Toc516739986"/>
      <w:bookmarkStart w:id="4490" w:name="_Toc516751895"/>
      <w:bookmarkStart w:id="4491" w:name="_Toc516825983"/>
      <w:bookmarkStart w:id="4492" w:name="_Toc516826541"/>
      <w:bookmarkStart w:id="4493" w:name="_Toc516837861"/>
      <w:bookmarkStart w:id="4494" w:name="_Toc516838420"/>
      <w:bookmarkStart w:id="4495" w:name="_Toc516838979"/>
      <w:bookmarkStart w:id="4496" w:name="_Toc516839539"/>
      <w:bookmarkStart w:id="4497" w:name="_Toc517173635"/>
      <w:bookmarkStart w:id="4498" w:name="_Toc517175309"/>
      <w:bookmarkStart w:id="4499" w:name="_Toc517175896"/>
      <w:bookmarkStart w:id="4500" w:name="_Toc517176484"/>
      <w:bookmarkStart w:id="4501" w:name="_Toc517337809"/>
      <w:bookmarkStart w:id="4502" w:name="_Toc517360605"/>
      <w:bookmarkStart w:id="4503" w:name="_Toc516739987"/>
      <w:bookmarkStart w:id="4504" w:name="_Toc516751896"/>
      <w:bookmarkStart w:id="4505" w:name="_Toc516825984"/>
      <w:bookmarkStart w:id="4506" w:name="_Toc516826542"/>
      <w:bookmarkStart w:id="4507" w:name="_Toc516837862"/>
      <w:bookmarkStart w:id="4508" w:name="_Toc516838421"/>
      <w:bookmarkStart w:id="4509" w:name="_Toc516838980"/>
      <w:bookmarkStart w:id="4510" w:name="_Toc516839540"/>
      <w:bookmarkStart w:id="4511" w:name="_Toc517173636"/>
      <w:bookmarkStart w:id="4512" w:name="_Toc517175310"/>
      <w:bookmarkStart w:id="4513" w:name="_Toc517175897"/>
      <w:bookmarkStart w:id="4514" w:name="_Toc517176485"/>
      <w:bookmarkStart w:id="4515" w:name="_Toc517337810"/>
      <w:bookmarkStart w:id="4516" w:name="_Toc517360606"/>
      <w:bookmarkStart w:id="4517" w:name="_Toc516739988"/>
      <w:bookmarkStart w:id="4518" w:name="_Toc516751897"/>
      <w:bookmarkStart w:id="4519" w:name="_Toc516825985"/>
      <w:bookmarkStart w:id="4520" w:name="_Toc516826543"/>
      <w:bookmarkStart w:id="4521" w:name="_Toc516837863"/>
      <w:bookmarkStart w:id="4522" w:name="_Toc516838422"/>
      <w:bookmarkStart w:id="4523" w:name="_Toc516838981"/>
      <w:bookmarkStart w:id="4524" w:name="_Toc516839541"/>
      <w:bookmarkStart w:id="4525" w:name="_Toc517173637"/>
      <w:bookmarkStart w:id="4526" w:name="_Toc517175311"/>
      <w:bookmarkStart w:id="4527" w:name="_Toc517175898"/>
      <w:bookmarkStart w:id="4528" w:name="_Toc517176486"/>
      <w:bookmarkStart w:id="4529" w:name="_Toc517337811"/>
      <w:bookmarkStart w:id="4530" w:name="_Toc517360607"/>
      <w:bookmarkStart w:id="4531" w:name="_Toc516739989"/>
      <w:bookmarkStart w:id="4532" w:name="_Toc516751898"/>
      <w:bookmarkStart w:id="4533" w:name="_Toc516825986"/>
      <w:bookmarkStart w:id="4534" w:name="_Toc516826544"/>
      <w:bookmarkStart w:id="4535" w:name="_Toc516837864"/>
      <w:bookmarkStart w:id="4536" w:name="_Toc516838423"/>
      <w:bookmarkStart w:id="4537" w:name="_Toc516838982"/>
      <w:bookmarkStart w:id="4538" w:name="_Toc516839542"/>
      <w:bookmarkStart w:id="4539" w:name="_Toc517173638"/>
      <w:bookmarkStart w:id="4540" w:name="_Toc517175312"/>
      <w:bookmarkStart w:id="4541" w:name="_Toc517175899"/>
      <w:bookmarkStart w:id="4542" w:name="_Toc517176487"/>
      <w:bookmarkStart w:id="4543" w:name="_Toc517337812"/>
      <w:bookmarkStart w:id="4544" w:name="_Toc517360608"/>
      <w:bookmarkStart w:id="4545" w:name="_Toc516739990"/>
      <w:bookmarkStart w:id="4546" w:name="_Toc516751899"/>
      <w:bookmarkStart w:id="4547" w:name="_Toc516825987"/>
      <w:bookmarkStart w:id="4548" w:name="_Toc516826545"/>
      <w:bookmarkStart w:id="4549" w:name="_Toc516837865"/>
      <w:bookmarkStart w:id="4550" w:name="_Toc516838424"/>
      <w:bookmarkStart w:id="4551" w:name="_Toc516838983"/>
      <w:bookmarkStart w:id="4552" w:name="_Toc516839543"/>
      <w:bookmarkStart w:id="4553" w:name="_Toc517173639"/>
      <w:bookmarkStart w:id="4554" w:name="_Toc517175313"/>
      <w:bookmarkStart w:id="4555" w:name="_Toc517175900"/>
      <w:bookmarkStart w:id="4556" w:name="_Toc517176488"/>
      <w:bookmarkStart w:id="4557" w:name="_Toc517337813"/>
      <w:bookmarkStart w:id="4558" w:name="_Toc517360609"/>
      <w:bookmarkStart w:id="4559" w:name="_Toc516739991"/>
      <w:bookmarkStart w:id="4560" w:name="_Toc516751900"/>
      <w:bookmarkStart w:id="4561" w:name="_Toc516825988"/>
      <w:bookmarkStart w:id="4562" w:name="_Toc516826546"/>
      <w:bookmarkStart w:id="4563" w:name="_Toc516837866"/>
      <w:bookmarkStart w:id="4564" w:name="_Toc516838425"/>
      <w:bookmarkStart w:id="4565" w:name="_Toc516838984"/>
      <w:bookmarkStart w:id="4566" w:name="_Toc516839544"/>
      <w:bookmarkStart w:id="4567" w:name="_Toc517173640"/>
      <w:bookmarkStart w:id="4568" w:name="_Toc517175314"/>
      <w:bookmarkStart w:id="4569" w:name="_Toc517175901"/>
      <w:bookmarkStart w:id="4570" w:name="_Toc517176489"/>
      <w:bookmarkStart w:id="4571" w:name="_Toc517337814"/>
      <w:bookmarkStart w:id="4572" w:name="_Toc517360610"/>
      <w:bookmarkStart w:id="4573" w:name="_Toc516739992"/>
      <w:bookmarkStart w:id="4574" w:name="_Toc516751901"/>
      <w:bookmarkStart w:id="4575" w:name="_Toc516825989"/>
      <w:bookmarkStart w:id="4576" w:name="_Toc516826547"/>
      <w:bookmarkStart w:id="4577" w:name="_Toc516837867"/>
      <w:bookmarkStart w:id="4578" w:name="_Toc516838426"/>
      <w:bookmarkStart w:id="4579" w:name="_Toc516838985"/>
      <w:bookmarkStart w:id="4580" w:name="_Toc516839545"/>
      <w:bookmarkStart w:id="4581" w:name="_Toc517173641"/>
      <w:bookmarkStart w:id="4582" w:name="_Toc517175315"/>
      <w:bookmarkStart w:id="4583" w:name="_Toc517175902"/>
      <w:bookmarkStart w:id="4584" w:name="_Toc517176490"/>
      <w:bookmarkStart w:id="4585" w:name="_Toc517337815"/>
      <w:bookmarkStart w:id="4586" w:name="_Toc517360611"/>
      <w:bookmarkStart w:id="4587" w:name="_Toc516739993"/>
      <w:bookmarkStart w:id="4588" w:name="_Toc516751902"/>
      <w:bookmarkStart w:id="4589" w:name="_Toc516825990"/>
      <w:bookmarkStart w:id="4590" w:name="_Toc516826548"/>
      <w:bookmarkStart w:id="4591" w:name="_Toc516837868"/>
      <w:bookmarkStart w:id="4592" w:name="_Toc516838427"/>
      <w:bookmarkStart w:id="4593" w:name="_Toc516838986"/>
      <w:bookmarkStart w:id="4594" w:name="_Toc516839546"/>
      <w:bookmarkStart w:id="4595" w:name="_Toc517173642"/>
      <w:bookmarkStart w:id="4596" w:name="_Toc517175316"/>
      <w:bookmarkStart w:id="4597" w:name="_Toc517175903"/>
      <w:bookmarkStart w:id="4598" w:name="_Toc517176491"/>
      <w:bookmarkStart w:id="4599" w:name="_Toc517337816"/>
      <w:bookmarkStart w:id="4600" w:name="_Toc517360612"/>
      <w:bookmarkStart w:id="4601" w:name="_Toc516739994"/>
      <w:bookmarkStart w:id="4602" w:name="_Toc516751903"/>
      <w:bookmarkStart w:id="4603" w:name="_Toc516825991"/>
      <w:bookmarkStart w:id="4604" w:name="_Toc516826549"/>
      <w:bookmarkStart w:id="4605" w:name="_Toc516837869"/>
      <w:bookmarkStart w:id="4606" w:name="_Toc516838428"/>
      <w:bookmarkStart w:id="4607" w:name="_Toc516838987"/>
      <w:bookmarkStart w:id="4608" w:name="_Toc516839547"/>
      <w:bookmarkStart w:id="4609" w:name="_Toc517173643"/>
      <w:bookmarkStart w:id="4610" w:name="_Toc517175317"/>
      <w:bookmarkStart w:id="4611" w:name="_Toc517175904"/>
      <w:bookmarkStart w:id="4612" w:name="_Toc517176492"/>
      <w:bookmarkStart w:id="4613" w:name="_Toc517337817"/>
      <w:bookmarkStart w:id="4614" w:name="_Toc517360613"/>
      <w:bookmarkStart w:id="4615" w:name="_Toc516739995"/>
      <w:bookmarkStart w:id="4616" w:name="_Toc516751904"/>
      <w:bookmarkStart w:id="4617" w:name="_Toc516825992"/>
      <w:bookmarkStart w:id="4618" w:name="_Toc516826550"/>
      <w:bookmarkStart w:id="4619" w:name="_Toc516837870"/>
      <w:bookmarkStart w:id="4620" w:name="_Toc516838429"/>
      <w:bookmarkStart w:id="4621" w:name="_Toc516838988"/>
      <w:bookmarkStart w:id="4622" w:name="_Toc516839548"/>
      <w:bookmarkStart w:id="4623" w:name="_Toc517173644"/>
      <w:bookmarkStart w:id="4624" w:name="_Toc517175318"/>
      <w:bookmarkStart w:id="4625" w:name="_Toc517175905"/>
      <w:bookmarkStart w:id="4626" w:name="_Toc517176493"/>
      <w:bookmarkStart w:id="4627" w:name="_Toc517337818"/>
      <w:bookmarkStart w:id="4628" w:name="_Toc517360614"/>
      <w:bookmarkStart w:id="4629" w:name="_Toc516739996"/>
      <w:bookmarkStart w:id="4630" w:name="_Toc516751905"/>
      <w:bookmarkStart w:id="4631" w:name="_Toc516825993"/>
      <w:bookmarkStart w:id="4632" w:name="_Toc516826551"/>
      <w:bookmarkStart w:id="4633" w:name="_Toc516837871"/>
      <w:bookmarkStart w:id="4634" w:name="_Toc516838430"/>
      <w:bookmarkStart w:id="4635" w:name="_Toc516838989"/>
      <w:bookmarkStart w:id="4636" w:name="_Toc516839549"/>
      <w:bookmarkStart w:id="4637" w:name="_Toc517173645"/>
      <w:bookmarkStart w:id="4638" w:name="_Toc517175319"/>
      <w:bookmarkStart w:id="4639" w:name="_Toc517175906"/>
      <w:bookmarkStart w:id="4640" w:name="_Toc517176494"/>
      <w:bookmarkStart w:id="4641" w:name="_Toc517337819"/>
      <w:bookmarkStart w:id="4642" w:name="_Toc517360615"/>
      <w:bookmarkStart w:id="4643" w:name="_Toc516739997"/>
      <w:bookmarkStart w:id="4644" w:name="_Toc516751906"/>
      <w:bookmarkStart w:id="4645" w:name="_Toc516825994"/>
      <w:bookmarkStart w:id="4646" w:name="_Toc516826552"/>
      <w:bookmarkStart w:id="4647" w:name="_Toc516837872"/>
      <w:bookmarkStart w:id="4648" w:name="_Toc516838431"/>
      <w:bookmarkStart w:id="4649" w:name="_Toc516838990"/>
      <w:bookmarkStart w:id="4650" w:name="_Toc516839550"/>
      <w:bookmarkStart w:id="4651" w:name="_Toc517173646"/>
      <w:bookmarkStart w:id="4652" w:name="_Toc517175320"/>
      <w:bookmarkStart w:id="4653" w:name="_Toc517175907"/>
      <w:bookmarkStart w:id="4654" w:name="_Toc517176495"/>
      <w:bookmarkStart w:id="4655" w:name="_Toc517337820"/>
      <w:bookmarkStart w:id="4656" w:name="_Toc517360616"/>
      <w:bookmarkStart w:id="4657" w:name="_Toc516739998"/>
      <w:bookmarkStart w:id="4658" w:name="_Toc516751907"/>
      <w:bookmarkStart w:id="4659" w:name="_Toc516825995"/>
      <w:bookmarkStart w:id="4660" w:name="_Toc516826553"/>
      <w:bookmarkStart w:id="4661" w:name="_Toc516837873"/>
      <w:bookmarkStart w:id="4662" w:name="_Toc516838432"/>
      <w:bookmarkStart w:id="4663" w:name="_Toc516838991"/>
      <w:bookmarkStart w:id="4664" w:name="_Toc516839551"/>
      <w:bookmarkStart w:id="4665" w:name="_Toc517173647"/>
      <w:bookmarkStart w:id="4666" w:name="_Toc517175321"/>
      <w:bookmarkStart w:id="4667" w:name="_Toc517175908"/>
      <w:bookmarkStart w:id="4668" w:name="_Toc517176496"/>
      <w:bookmarkStart w:id="4669" w:name="_Toc517337821"/>
      <w:bookmarkStart w:id="4670" w:name="_Toc517360617"/>
      <w:bookmarkStart w:id="4671" w:name="_Toc516739999"/>
      <w:bookmarkStart w:id="4672" w:name="_Toc516751908"/>
      <w:bookmarkStart w:id="4673" w:name="_Toc516825996"/>
      <w:bookmarkStart w:id="4674" w:name="_Toc516826554"/>
      <w:bookmarkStart w:id="4675" w:name="_Toc516837874"/>
      <w:bookmarkStart w:id="4676" w:name="_Toc516838433"/>
      <w:bookmarkStart w:id="4677" w:name="_Toc516838992"/>
      <w:bookmarkStart w:id="4678" w:name="_Toc516839552"/>
      <w:bookmarkStart w:id="4679" w:name="_Toc517173648"/>
      <w:bookmarkStart w:id="4680" w:name="_Toc517175322"/>
      <w:bookmarkStart w:id="4681" w:name="_Toc517175909"/>
      <w:bookmarkStart w:id="4682" w:name="_Toc517176497"/>
      <w:bookmarkStart w:id="4683" w:name="_Toc517337822"/>
      <w:bookmarkStart w:id="4684" w:name="_Toc517360618"/>
      <w:bookmarkStart w:id="4685" w:name="_Toc516740000"/>
      <w:bookmarkStart w:id="4686" w:name="_Toc516751909"/>
      <w:bookmarkStart w:id="4687" w:name="_Toc516825997"/>
      <w:bookmarkStart w:id="4688" w:name="_Toc516826555"/>
      <w:bookmarkStart w:id="4689" w:name="_Toc516837875"/>
      <w:bookmarkStart w:id="4690" w:name="_Toc516838434"/>
      <w:bookmarkStart w:id="4691" w:name="_Toc516838993"/>
      <w:bookmarkStart w:id="4692" w:name="_Toc516839553"/>
      <w:bookmarkStart w:id="4693" w:name="_Toc517173649"/>
      <w:bookmarkStart w:id="4694" w:name="_Toc517175323"/>
      <w:bookmarkStart w:id="4695" w:name="_Toc517175910"/>
      <w:bookmarkStart w:id="4696" w:name="_Toc517176498"/>
      <w:bookmarkStart w:id="4697" w:name="_Toc517337823"/>
      <w:bookmarkStart w:id="4698" w:name="_Toc517360619"/>
      <w:bookmarkStart w:id="4699" w:name="_Toc516479101"/>
      <w:bookmarkStart w:id="4700" w:name="_Toc516479510"/>
      <w:bookmarkStart w:id="4701" w:name="_Toc516479827"/>
      <w:bookmarkStart w:id="4702" w:name="_Toc516480149"/>
      <w:bookmarkStart w:id="4703" w:name="_Toc516480463"/>
      <w:bookmarkStart w:id="4704" w:name="_Toc516480777"/>
      <w:bookmarkStart w:id="4705" w:name="_Toc516481091"/>
      <w:bookmarkStart w:id="4706" w:name="_Toc516481405"/>
      <w:bookmarkStart w:id="4707" w:name="_Toc516481719"/>
      <w:bookmarkStart w:id="4708" w:name="_Toc516482033"/>
      <w:bookmarkStart w:id="4709" w:name="_Toc516482347"/>
      <w:bookmarkStart w:id="4710" w:name="_Toc516482661"/>
      <w:bookmarkStart w:id="4711" w:name="_Toc516740001"/>
      <w:bookmarkStart w:id="4712" w:name="_Toc516751910"/>
      <w:bookmarkStart w:id="4713" w:name="_Toc516825998"/>
      <w:bookmarkStart w:id="4714" w:name="_Toc516826556"/>
      <w:bookmarkStart w:id="4715" w:name="_Toc516837876"/>
      <w:bookmarkStart w:id="4716" w:name="_Toc516838435"/>
      <w:bookmarkStart w:id="4717" w:name="_Toc516838994"/>
      <w:bookmarkStart w:id="4718" w:name="_Toc516839554"/>
      <w:bookmarkStart w:id="4719" w:name="_Toc517173650"/>
      <w:bookmarkStart w:id="4720" w:name="_Toc517175324"/>
      <w:bookmarkStart w:id="4721" w:name="_Toc517175911"/>
      <w:bookmarkStart w:id="4722" w:name="_Toc517176499"/>
      <w:bookmarkStart w:id="4723" w:name="_Toc517337824"/>
      <w:bookmarkStart w:id="4724" w:name="_Toc517360620"/>
      <w:bookmarkStart w:id="4725" w:name="_Toc516740002"/>
      <w:bookmarkStart w:id="4726" w:name="_Toc516751911"/>
      <w:bookmarkStart w:id="4727" w:name="_Toc516825999"/>
      <w:bookmarkStart w:id="4728" w:name="_Toc516826557"/>
      <w:bookmarkStart w:id="4729" w:name="_Toc516837877"/>
      <w:bookmarkStart w:id="4730" w:name="_Toc516838436"/>
      <w:bookmarkStart w:id="4731" w:name="_Toc516838995"/>
      <w:bookmarkStart w:id="4732" w:name="_Toc516839555"/>
      <w:bookmarkStart w:id="4733" w:name="_Toc517173651"/>
      <w:bookmarkStart w:id="4734" w:name="_Toc517175325"/>
      <w:bookmarkStart w:id="4735" w:name="_Toc517175912"/>
      <w:bookmarkStart w:id="4736" w:name="_Toc517176500"/>
      <w:bookmarkStart w:id="4737" w:name="_Toc517337825"/>
      <w:bookmarkStart w:id="4738" w:name="_Toc517360621"/>
      <w:bookmarkStart w:id="4739" w:name="_Toc516740003"/>
      <w:bookmarkStart w:id="4740" w:name="_Toc516751912"/>
      <w:bookmarkStart w:id="4741" w:name="_Toc516826000"/>
      <w:bookmarkStart w:id="4742" w:name="_Toc516826558"/>
      <w:bookmarkStart w:id="4743" w:name="_Toc516837878"/>
      <w:bookmarkStart w:id="4744" w:name="_Toc516838437"/>
      <w:bookmarkStart w:id="4745" w:name="_Toc516838996"/>
      <w:bookmarkStart w:id="4746" w:name="_Toc516839556"/>
      <w:bookmarkStart w:id="4747" w:name="_Toc517173652"/>
      <w:bookmarkStart w:id="4748" w:name="_Toc517175326"/>
      <w:bookmarkStart w:id="4749" w:name="_Toc517175913"/>
      <w:bookmarkStart w:id="4750" w:name="_Toc517176501"/>
      <w:bookmarkStart w:id="4751" w:name="_Toc517337826"/>
      <w:bookmarkStart w:id="4752" w:name="_Toc517360622"/>
      <w:bookmarkStart w:id="4753" w:name="_Toc516740004"/>
      <w:bookmarkStart w:id="4754" w:name="_Toc516751913"/>
      <w:bookmarkStart w:id="4755" w:name="_Toc516826001"/>
      <w:bookmarkStart w:id="4756" w:name="_Toc516826559"/>
      <w:bookmarkStart w:id="4757" w:name="_Toc516837879"/>
      <w:bookmarkStart w:id="4758" w:name="_Toc516838438"/>
      <w:bookmarkStart w:id="4759" w:name="_Toc516838997"/>
      <w:bookmarkStart w:id="4760" w:name="_Toc516839557"/>
      <w:bookmarkStart w:id="4761" w:name="_Toc517173653"/>
      <w:bookmarkStart w:id="4762" w:name="_Toc517175327"/>
      <w:bookmarkStart w:id="4763" w:name="_Toc517175914"/>
      <w:bookmarkStart w:id="4764" w:name="_Toc517176502"/>
      <w:bookmarkStart w:id="4765" w:name="_Toc517337827"/>
      <w:bookmarkStart w:id="4766" w:name="_Toc517360623"/>
      <w:bookmarkStart w:id="4767" w:name="_Toc516740005"/>
      <w:bookmarkStart w:id="4768" w:name="_Toc516751914"/>
      <w:bookmarkStart w:id="4769" w:name="_Toc516826002"/>
      <w:bookmarkStart w:id="4770" w:name="_Toc516826560"/>
      <w:bookmarkStart w:id="4771" w:name="_Toc516837880"/>
      <w:bookmarkStart w:id="4772" w:name="_Toc516838439"/>
      <w:bookmarkStart w:id="4773" w:name="_Toc516838998"/>
      <w:bookmarkStart w:id="4774" w:name="_Toc516839558"/>
      <w:bookmarkStart w:id="4775" w:name="_Toc517173654"/>
      <w:bookmarkStart w:id="4776" w:name="_Toc517175328"/>
      <w:bookmarkStart w:id="4777" w:name="_Toc517175915"/>
      <w:bookmarkStart w:id="4778" w:name="_Toc517176503"/>
      <w:bookmarkStart w:id="4779" w:name="_Toc517337828"/>
      <w:bookmarkStart w:id="4780" w:name="_Toc517360624"/>
      <w:bookmarkStart w:id="4781" w:name="_Toc516740006"/>
      <w:bookmarkStart w:id="4782" w:name="_Toc516751915"/>
      <w:bookmarkStart w:id="4783" w:name="_Toc516826003"/>
      <w:bookmarkStart w:id="4784" w:name="_Toc516826561"/>
      <w:bookmarkStart w:id="4785" w:name="_Toc516837881"/>
      <w:bookmarkStart w:id="4786" w:name="_Toc516838440"/>
      <w:bookmarkStart w:id="4787" w:name="_Toc516838999"/>
      <w:bookmarkStart w:id="4788" w:name="_Toc516839559"/>
      <w:bookmarkStart w:id="4789" w:name="_Toc517173655"/>
      <w:bookmarkStart w:id="4790" w:name="_Toc517175329"/>
      <w:bookmarkStart w:id="4791" w:name="_Toc517175916"/>
      <w:bookmarkStart w:id="4792" w:name="_Toc517176504"/>
      <w:bookmarkStart w:id="4793" w:name="_Toc517337829"/>
      <w:bookmarkStart w:id="4794" w:name="_Toc517360625"/>
      <w:bookmarkStart w:id="4795" w:name="_Toc516740007"/>
      <w:bookmarkStart w:id="4796" w:name="_Toc516751916"/>
      <w:bookmarkStart w:id="4797" w:name="_Toc516826004"/>
      <w:bookmarkStart w:id="4798" w:name="_Toc516826562"/>
      <w:bookmarkStart w:id="4799" w:name="_Toc516837882"/>
      <w:bookmarkStart w:id="4800" w:name="_Toc516838441"/>
      <w:bookmarkStart w:id="4801" w:name="_Toc516839000"/>
      <w:bookmarkStart w:id="4802" w:name="_Toc516839560"/>
      <w:bookmarkStart w:id="4803" w:name="_Toc517173656"/>
      <w:bookmarkStart w:id="4804" w:name="_Toc517175330"/>
      <w:bookmarkStart w:id="4805" w:name="_Toc517175917"/>
      <w:bookmarkStart w:id="4806" w:name="_Toc517176505"/>
      <w:bookmarkStart w:id="4807" w:name="_Toc517337830"/>
      <w:bookmarkStart w:id="4808" w:name="_Toc517360626"/>
      <w:bookmarkStart w:id="4809" w:name="_Toc516740008"/>
      <w:bookmarkStart w:id="4810" w:name="_Toc516751917"/>
      <w:bookmarkStart w:id="4811" w:name="_Toc516826005"/>
      <w:bookmarkStart w:id="4812" w:name="_Toc516826563"/>
      <w:bookmarkStart w:id="4813" w:name="_Toc516837883"/>
      <w:bookmarkStart w:id="4814" w:name="_Toc516838442"/>
      <w:bookmarkStart w:id="4815" w:name="_Toc516839001"/>
      <w:bookmarkStart w:id="4816" w:name="_Toc516839561"/>
      <w:bookmarkStart w:id="4817" w:name="_Toc517173657"/>
      <w:bookmarkStart w:id="4818" w:name="_Toc517175331"/>
      <w:bookmarkStart w:id="4819" w:name="_Toc517175918"/>
      <w:bookmarkStart w:id="4820" w:name="_Toc517176506"/>
      <w:bookmarkStart w:id="4821" w:name="_Toc517337831"/>
      <w:bookmarkStart w:id="4822" w:name="_Toc517360627"/>
      <w:bookmarkStart w:id="4823" w:name="_Toc516740009"/>
      <w:bookmarkStart w:id="4824" w:name="_Toc516751918"/>
      <w:bookmarkStart w:id="4825" w:name="_Toc516826006"/>
      <w:bookmarkStart w:id="4826" w:name="_Toc516826564"/>
      <w:bookmarkStart w:id="4827" w:name="_Toc516837884"/>
      <w:bookmarkStart w:id="4828" w:name="_Toc516838443"/>
      <w:bookmarkStart w:id="4829" w:name="_Toc516839002"/>
      <w:bookmarkStart w:id="4830" w:name="_Toc516839562"/>
      <w:bookmarkStart w:id="4831" w:name="_Toc517173658"/>
      <w:bookmarkStart w:id="4832" w:name="_Toc517175332"/>
      <w:bookmarkStart w:id="4833" w:name="_Toc517175919"/>
      <w:bookmarkStart w:id="4834" w:name="_Toc517176507"/>
      <w:bookmarkStart w:id="4835" w:name="_Toc517337832"/>
      <w:bookmarkStart w:id="4836" w:name="_Toc517360628"/>
      <w:bookmarkStart w:id="4837" w:name="_Toc516740010"/>
      <w:bookmarkStart w:id="4838" w:name="_Toc516751919"/>
      <w:bookmarkStart w:id="4839" w:name="_Toc516826007"/>
      <w:bookmarkStart w:id="4840" w:name="_Toc516826565"/>
      <w:bookmarkStart w:id="4841" w:name="_Toc516837885"/>
      <w:bookmarkStart w:id="4842" w:name="_Toc516838444"/>
      <w:bookmarkStart w:id="4843" w:name="_Toc516839003"/>
      <w:bookmarkStart w:id="4844" w:name="_Toc516839563"/>
      <w:bookmarkStart w:id="4845" w:name="_Toc517173659"/>
      <w:bookmarkStart w:id="4846" w:name="_Toc517175333"/>
      <w:bookmarkStart w:id="4847" w:name="_Toc517175920"/>
      <w:bookmarkStart w:id="4848" w:name="_Toc517176508"/>
      <w:bookmarkStart w:id="4849" w:name="_Toc517337833"/>
      <w:bookmarkStart w:id="4850" w:name="_Toc517360629"/>
      <w:bookmarkStart w:id="4851" w:name="_Toc516740011"/>
      <w:bookmarkStart w:id="4852" w:name="_Toc516751920"/>
      <w:bookmarkStart w:id="4853" w:name="_Toc516826008"/>
      <w:bookmarkStart w:id="4854" w:name="_Toc516826566"/>
      <w:bookmarkStart w:id="4855" w:name="_Toc516837886"/>
      <w:bookmarkStart w:id="4856" w:name="_Toc516838445"/>
      <w:bookmarkStart w:id="4857" w:name="_Toc516839004"/>
      <w:bookmarkStart w:id="4858" w:name="_Toc516839564"/>
      <w:bookmarkStart w:id="4859" w:name="_Toc517173660"/>
      <w:bookmarkStart w:id="4860" w:name="_Toc517175334"/>
      <w:bookmarkStart w:id="4861" w:name="_Toc517175921"/>
      <w:bookmarkStart w:id="4862" w:name="_Toc517176509"/>
      <w:bookmarkStart w:id="4863" w:name="_Toc517337834"/>
      <w:bookmarkStart w:id="4864" w:name="_Toc517360630"/>
      <w:bookmarkStart w:id="4865" w:name="_Toc516740012"/>
      <w:bookmarkStart w:id="4866" w:name="_Toc516751921"/>
      <w:bookmarkStart w:id="4867" w:name="_Toc516826009"/>
      <w:bookmarkStart w:id="4868" w:name="_Toc516826567"/>
      <w:bookmarkStart w:id="4869" w:name="_Toc516837887"/>
      <w:bookmarkStart w:id="4870" w:name="_Toc516838446"/>
      <w:bookmarkStart w:id="4871" w:name="_Toc516839005"/>
      <w:bookmarkStart w:id="4872" w:name="_Toc516839565"/>
      <w:bookmarkStart w:id="4873" w:name="_Toc517173661"/>
      <w:bookmarkStart w:id="4874" w:name="_Toc517175335"/>
      <w:bookmarkStart w:id="4875" w:name="_Toc517175922"/>
      <w:bookmarkStart w:id="4876" w:name="_Toc517176510"/>
      <w:bookmarkStart w:id="4877" w:name="_Toc517337835"/>
      <w:bookmarkStart w:id="4878" w:name="_Toc517360631"/>
      <w:bookmarkStart w:id="4879" w:name="_Toc516740013"/>
      <w:bookmarkStart w:id="4880" w:name="_Toc516751922"/>
      <w:bookmarkStart w:id="4881" w:name="_Toc516826010"/>
      <w:bookmarkStart w:id="4882" w:name="_Toc516826568"/>
      <w:bookmarkStart w:id="4883" w:name="_Toc516837888"/>
      <w:bookmarkStart w:id="4884" w:name="_Toc516838447"/>
      <w:bookmarkStart w:id="4885" w:name="_Toc516839006"/>
      <w:bookmarkStart w:id="4886" w:name="_Toc516839566"/>
      <w:bookmarkStart w:id="4887" w:name="_Toc517173662"/>
      <w:bookmarkStart w:id="4888" w:name="_Toc517175336"/>
      <w:bookmarkStart w:id="4889" w:name="_Toc517175923"/>
      <w:bookmarkStart w:id="4890" w:name="_Toc517176511"/>
      <w:bookmarkStart w:id="4891" w:name="_Toc517337836"/>
      <w:bookmarkStart w:id="4892" w:name="_Toc517360632"/>
      <w:bookmarkStart w:id="4893" w:name="_Toc516740014"/>
      <w:bookmarkStart w:id="4894" w:name="_Toc516751923"/>
      <w:bookmarkStart w:id="4895" w:name="_Toc516826011"/>
      <w:bookmarkStart w:id="4896" w:name="_Toc516826569"/>
      <w:bookmarkStart w:id="4897" w:name="_Toc516837889"/>
      <w:bookmarkStart w:id="4898" w:name="_Toc516838448"/>
      <w:bookmarkStart w:id="4899" w:name="_Toc516839007"/>
      <w:bookmarkStart w:id="4900" w:name="_Toc516839567"/>
      <w:bookmarkStart w:id="4901" w:name="_Toc517173663"/>
      <w:bookmarkStart w:id="4902" w:name="_Toc517175337"/>
      <w:bookmarkStart w:id="4903" w:name="_Toc517175924"/>
      <w:bookmarkStart w:id="4904" w:name="_Toc517176512"/>
      <w:bookmarkStart w:id="4905" w:name="_Toc517337837"/>
      <w:bookmarkStart w:id="4906" w:name="_Toc517360633"/>
      <w:bookmarkStart w:id="4907" w:name="_Toc516740015"/>
      <w:bookmarkStart w:id="4908" w:name="_Toc516751924"/>
      <w:bookmarkStart w:id="4909" w:name="_Toc516826012"/>
      <w:bookmarkStart w:id="4910" w:name="_Toc516826570"/>
      <w:bookmarkStart w:id="4911" w:name="_Toc516837890"/>
      <w:bookmarkStart w:id="4912" w:name="_Toc516838449"/>
      <w:bookmarkStart w:id="4913" w:name="_Toc516839008"/>
      <w:bookmarkStart w:id="4914" w:name="_Toc516839568"/>
      <w:bookmarkStart w:id="4915" w:name="_Toc517173664"/>
      <w:bookmarkStart w:id="4916" w:name="_Toc517175338"/>
      <w:bookmarkStart w:id="4917" w:name="_Toc517175925"/>
      <w:bookmarkStart w:id="4918" w:name="_Toc517176513"/>
      <w:bookmarkStart w:id="4919" w:name="_Toc517337838"/>
      <w:bookmarkStart w:id="4920" w:name="_Toc517360634"/>
      <w:bookmarkStart w:id="4921" w:name="_Toc516740016"/>
      <w:bookmarkStart w:id="4922" w:name="_Toc516751925"/>
      <w:bookmarkStart w:id="4923" w:name="_Toc516826013"/>
      <w:bookmarkStart w:id="4924" w:name="_Toc516826571"/>
      <w:bookmarkStart w:id="4925" w:name="_Toc516837891"/>
      <w:bookmarkStart w:id="4926" w:name="_Toc516838450"/>
      <w:bookmarkStart w:id="4927" w:name="_Toc516839009"/>
      <w:bookmarkStart w:id="4928" w:name="_Toc516839569"/>
      <w:bookmarkStart w:id="4929" w:name="_Toc517173665"/>
      <w:bookmarkStart w:id="4930" w:name="_Toc517175339"/>
      <w:bookmarkStart w:id="4931" w:name="_Toc517175926"/>
      <w:bookmarkStart w:id="4932" w:name="_Toc517176514"/>
      <w:bookmarkStart w:id="4933" w:name="_Toc517337839"/>
      <w:bookmarkStart w:id="4934" w:name="_Toc517360635"/>
      <w:bookmarkStart w:id="4935" w:name="_Toc143779238"/>
      <w:bookmarkStart w:id="4936" w:name="_Toc208420148"/>
      <w:bookmarkStart w:id="4937" w:name="_Toc225504378"/>
      <w:bookmarkStart w:id="4938" w:name="_Toc225772467"/>
      <w:bookmarkStart w:id="4939" w:name="_Toc233626334"/>
      <w:bookmarkStart w:id="4940" w:name="_Toc512525542"/>
      <w:bookmarkStart w:id="4941" w:name="_Toc515896855"/>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r w:rsidRPr="00EF06E6">
        <w:t>040/367-18 : Piscines privées</w:t>
      </w:r>
      <w:bookmarkEnd w:id="4935"/>
      <w:bookmarkEnd w:id="4936"/>
      <w:bookmarkEnd w:id="4937"/>
      <w:bookmarkEnd w:id="4938"/>
      <w:bookmarkEnd w:id="4939"/>
      <w:r w:rsidRPr="00EF06E6">
        <w:t xml:space="preserve"> </w:t>
      </w:r>
    </w:p>
    <w:bookmarkEnd w:id="4940"/>
    <w:bookmarkEnd w:id="4941"/>
    <w:p w14:paraId="629D9E3B" w14:textId="77777777" w:rsidR="009618C0" w:rsidRPr="009618C0" w:rsidRDefault="009618C0" w:rsidP="009618C0">
      <w:pPr>
        <w:spacing w:after="160" w:line="259" w:lineRule="auto"/>
        <w:rPr>
          <w:rFonts w:cs="Calibri Light"/>
          <w:spacing w:val="1"/>
        </w:rPr>
      </w:pPr>
    </w:p>
    <w:p w14:paraId="53CC1D1E" w14:textId="77777777" w:rsidR="009618C0" w:rsidRPr="009618C0" w:rsidRDefault="009618C0" w:rsidP="009618C0">
      <w:pPr>
        <w:spacing w:after="160" w:line="259" w:lineRule="auto"/>
        <w:rPr>
          <w:rFonts w:cs="Calibri Light"/>
          <w:spacing w:val="1"/>
        </w:rPr>
      </w:pPr>
      <w:r w:rsidRPr="009618C0">
        <w:rPr>
          <w:rFonts w:cs="Calibri Light"/>
          <w:spacing w:val="1"/>
        </w:rPr>
        <w:t xml:space="preserve">Taxe directe. </w:t>
      </w:r>
    </w:p>
    <w:p w14:paraId="5885E003" w14:textId="77777777" w:rsidR="009618C0" w:rsidRPr="009618C0" w:rsidRDefault="009618C0" w:rsidP="009618C0">
      <w:pPr>
        <w:spacing w:after="160" w:line="259" w:lineRule="auto"/>
        <w:rPr>
          <w:rFonts w:cs="Calibri Light"/>
          <w:spacing w:val="1"/>
        </w:rPr>
      </w:pPr>
      <w:r w:rsidRPr="009618C0">
        <w:rPr>
          <w:rFonts w:cs="Calibri Light"/>
          <w:spacing w:val="1"/>
        </w:rPr>
        <w:t xml:space="preserve">Taux maximum recommandé : </w:t>
      </w:r>
    </w:p>
    <w:p w14:paraId="22EFC44F" w14:textId="66D3D3DB" w:rsidR="009618C0" w:rsidRPr="009618C0" w:rsidRDefault="009618C0" w:rsidP="009618C0">
      <w:pPr>
        <w:numPr>
          <w:ilvl w:val="0"/>
          <w:numId w:val="230"/>
        </w:numPr>
        <w:spacing w:after="160" w:line="259" w:lineRule="auto"/>
        <w:rPr>
          <w:rFonts w:cs="Calibri Light"/>
          <w:spacing w:val="1"/>
        </w:rPr>
      </w:pPr>
      <w:r w:rsidRPr="009618C0">
        <w:rPr>
          <w:rFonts w:cs="Calibri Light"/>
          <w:spacing w:val="1"/>
        </w:rPr>
        <w:t xml:space="preserve">450,00 euros /an pour les piscines de moins de 100 m2 ; </w:t>
      </w:r>
    </w:p>
    <w:p w14:paraId="6CA36039" w14:textId="16A8A96D" w:rsidR="009618C0" w:rsidRPr="009618C0" w:rsidRDefault="009618C0" w:rsidP="009618C0">
      <w:pPr>
        <w:numPr>
          <w:ilvl w:val="0"/>
          <w:numId w:val="231"/>
        </w:numPr>
        <w:spacing w:after="160" w:line="259" w:lineRule="auto"/>
        <w:rPr>
          <w:rFonts w:cs="Calibri Light"/>
          <w:spacing w:val="1"/>
        </w:rPr>
      </w:pPr>
      <w:r w:rsidRPr="009618C0">
        <w:rPr>
          <w:rFonts w:cs="Calibri Light"/>
          <w:spacing w:val="1"/>
        </w:rPr>
        <w:t xml:space="preserve">900,00 euros /an pour les piscines de 100 m2 et plus. </w:t>
      </w:r>
    </w:p>
    <w:p w14:paraId="0C5A18CE" w14:textId="2C57F8FB" w:rsidR="009618C0" w:rsidRDefault="009618C0" w:rsidP="009618C0">
      <w:pPr>
        <w:spacing w:after="160" w:line="259" w:lineRule="auto"/>
        <w:rPr>
          <w:rFonts w:cs="Calibri Light"/>
          <w:spacing w:val="1"/>
        </w:rPr>
      </w:pPr>
      <w:r w:rsidRPr="009618C0">
        <w:rPr>
          <w:rFonts w:cs="Calibri Light"/>
          <w:spacing w:val="1"/>
        </w:rPr>
        <w:t>Les règlements qui ne prévoiront pas une exonération pour les piscines dont la surface est inférieure à 10 m2 ne seront dorénavant plus approuvés.</w:t>
      </w:r>
    </w:p>
    <w:p w14:paraId="0C277B3D" w14:textId="77777777" w:rsidR="00E06AB2" w:rsidRPr="00F91BDD" w:rsidRDefault="00E06AB2" w:rsidP="00795C3E">
      <w:pPr>
        <w:spacing w:before="120"/>
        <w:textAlignment w:val="baseline"/>
        <w:rPr>
          <w:rFonts w:cs="Calibri Light"/>
          <w:spacing w:val="1"/>
        </w:rPr>
      </w:pPr>
    </w:p>
    <w:p w14:paraId="516A1C62" w14:textId="1CA69256" w:rsidR="00795C3E" w:rsidRPr="00EF06E6" w:rsidRDefault="00795C3E" w:rsidP="35BD9115">
      <w:pPr>
        <w:pStyle w:val="Titre3"/>
        <w:rPr>
          <w:caps/>
        </w:rPr>
      </w:pPr>
      <w:bookmarkStart w:id="4942" w:name="_Toc143779239"/>
      <w:bookmarkStart w:id="4943" w:name="_Toc208420149"/>
      <w:bookmarkStart w:id="4944" w:name="_Toc225504379"/>
      <w:bookmarkStart w:id="4945" w:name="_Toc225772468"/>
      <w:bookmarkStart w:id="4946" w:name="_Toc233626335"/>
      <w:bookmarkStart w:id="4947" w:name="_Hlk39041837"/>
      <w:bookmarkStart w:id="4948" w:name="_Toc512525543"/>
      <w:bookmarkStart w:id="4949" w:name="_Toc515896856"/>
      <w:r w:rsidRPr="00EF06E6">
        <w:t xml:space="preserve">040/367-19 : Surfaces de bureau et </w:t>
      </w:r>
      <w:bookmarkStart w:id="4950" w:name="_Hlk199228906"/>
      <w:r w:rsidRPr="00EF06E6">
        <w:t>locaux affectés à l'exercice d'une profession libérale</w:t>
      </w:r>
      <w:bookmarkEnd w:id="4942"/>
      <w:bookmarkEnd w:id="4943"/>
      <w:bookmarkEnd w:id="4944"/>
      <w:bookmarkEnd w:id="4945"/>
      <w:bookmarkEnd w:id="4946"/>
      <w:r w:rsidRPr="00EF06E6">
        <w:t xml:space="preserve"> </w:t>
      </w:r>
      <w:bookmarkEnd w:id="4950"/>
    </w:p>
    <w:bookmarkEnd w:id="4947"/>
    <w:p w14:paraId="6ECFCDCA" w14:textId="77777777" w:rsidR="00795C3E" w:rsidRPr="00F91BDD" w:rsidRDefault="00795C3E" w:rsidP="00795C3E">
      <w:pPr>
        <w:spacing w:before="120"/>
      </w:pPr>
      <w:r w:rsidRPr="00F91BDD">
        <w:t>Taxe directe</w:t>
      </w:r>
      <w:bookmarkEnd w:id="4948"/>
      <w:bookmarkEnd w:id="4949"/>
      <w:r>
        <w:t>.</w:t>
      </w:r>
    </w:p>
    <w:p w14:paraId="3516B7B1" w14:textId="3E5CA368" w:rsidR="00795C3E" w:rsidRPr="00F91BDD" w:rsidRDefault="00795C3E" w:rsidP="00795C3E">
      <w:pPr>
        <w:spacing w:before="120"/>
        <w:textAlignment w:val="baseline"/>
        <w:rPr>
          <w:rFonts w:cs="Calibri Light"/>
          <w:spacing w:val="1"/>
        </w:rPr>
      </w:pPr>
      <w:r w:rsidRPr="00F91BDD">
        <w:rPr>
          <w:rFonts w:cs="Calibri Light"/>
          <w:spacing w:val="1"/>
        </w:rPr>
        <w:t xml:space="preserve">Taux maximum recommandé : 9,00 </w:t>
      </w:r>
      <w:r w:rsidR="00C63DEB" w:rsidRPr="00F91BDD">
        <w:rPr>
          <w:rFonts w:cs="Calibri Light"/>
          <w:spacing w:val="1"/>
        </w:rPr>
        <w:t>euros le</w:t>
      </w:r>
      <w:r w:rsidRPr="00F91BDD">
        <w:rPr>
          <w:rFonts w:cs="Calibri Light"/>
          <w:spacing w:val="1"/>
        </w:rPr>
        <w:t xml:space="preserve"> m</w:t>
      </w:r>
      <w:r w:rsidRPr="00F91BDD">
        <w:rPr>
          <w:rFonts w:cs="Calibri Light"/>
          <w:spacing w:val="1"/>
          <w:vertAlign w:val="superscript"/>
        </w:rPr>
        <w:t>2</w:t>
      </w:r>
      <w:r w:rsidRPr="00F91BDD">
        <w:rPr>
          <w:rFonts w:cs="Calibri Light"/>
          <w:spacing w:val="1"/>
        </w:rPr>
        <w:t xml:space="preserve"> par an.</w:t>
      </w:r>
    </w:p>
    <w:p w14:paraId="4391DE23" w14:textId="25453097" w:rsidR="00795C3E" w:rsidRPr="00F91BDD" w:rsidRDefault="00795C3E" w:rsidP="00795C3E">
      <w:pPr>
        <w:spacing w:before="120"/>
        <w:textAlignment w:val="baseline"/>
        <w:rPr>
          <w:rFonts w:cs="Calibri Light"/>
        </w:rPr>
      </w:pPr>
      <w:r w:rsidRPr="00F91BDD">
        <w:rPr>
          <w:rFonts w:cs="Calibri Light"/>
        </w:rPr>
        <w:t>Pour les surfaces inférieures à 50 m</w:t>
      </w:r>
      <w:r w:rsidRPr="00F91BDD">
        <w:rPr>
          <w:rFonts w:cs="Calibri Light"/>
          <w:vertAlign w:val="superscript"/>
        </w:rPr>
        <w:t>2</w:t>
      </w:r>
      <w:r w:rsidRPr="00F91BDD">
        <w:rPr>
          <w:rFonts w:cs="Calibri Light"/>
        </w:rPr>
        <w:t xml:space="preserve">, il est possible de prévoir une taxe forfaitaire. Dans ce cas, le montant maximum recommandé est fixé à 400,00 </w:t>
      </w:r>
      <w:r w:rsidR="00C63DEB" w:rsidRPr="00F91BDD">
        <w:rPr>
          <w:rFonts w:cs="Calibri Light"/>
        </w:rPr>
        <w:t>euros.</w:t>
      </w:r>
    </w:p>
    <w:p w14:paraId="4E03C094" w14:textId="77777777" w:rsidR="00795C3E" w:rsidRPr="00F91BDD" w:rsidRDefault="00795C3E" w:rsidP="00795C3E">
      <w:pPr>
        <w:spacing w:before="120"/>
        <w:textAlignment w:val="baseline"/>
        <w:rPr>
          <w:rFonts w:cs="Calibri Light"/>
        </w:rPr>
      </w:pPr>
      <w:r w:rsidRPr="00F91BDD">
        <w:rPr>
          <w:rFonts w:cs="Calibri Light"/>
        </w:rPr>
        <w:lastRenderedPageBreak/>
        <w:t>Doivent être déduites de la base imposable les surfaces strictement et effectivement réservées au logement dans le même immeuble.</w:t>
      </w:r>
    </w:p>
    <w:p w14:paraId="00FFBBC5" w14:textId="77777777" w:rsidR="00795C3E" w:rsidRPr="00F91BDD" w:rsidRDefault="00795C3E" w:rsidP="00795C3E">
      <w:pPr>
        <w:spacing w:before="120"/>
        <w:textAlignment w:val="baseline"/>
        <w:rPr>
          <w:rFonts w:cs="Calibri Light"/>
        </w:rPr>
      </w:pPr>
      <w:r w:rsidRPr="00F91BDD">
        <w:rPr>
          <w:rFonts w:cs="Calibri Light"/>
        </w:rPr>
        <w:t>Il est loisible à chaque commune de récupérer par voie de redevance, auprès de tout ou partie du secteur tertiaire installé sur le territoire ou dans un périmètre bien délimité de celui-ci, tout ou partie de l'investissement qu'elle a consenti (en concertation) avec ce secteur. C'est ainsi par exemple que des investissements réalisés en concertation avec les partenaires d'un centre-ville (ex : installation de caméras de surveillance), peuvent être récupérés dans le respect du principe d'égalité sur base d'un critère objectif (ex : des m</w:t>
      </w:r>
      <w:r w:rsidRPr="00F91BDD">
        <w:rPr>
          <w:rFonts w:cs="Calibri Light"/>
          <w:vertAlign w:val="superscript"/>
        </w:rPr>
        <w:t>2</w:t>
      </w:r>
      <w:r w:rsidRPr="00F91BDD">
        <w:rPr>
          <w:rFonts w:cs="Calibri Light"/>
        </w:rPr>
        <w:t>). Ce système permet aux communes d'initier, de manière concertée, une politique dynamique de gestion d'un centre-ville.</w:t>
      </w:r>
    </w:p>
    <w:p w14:paraId="6DD32B69" w14:textId="77777777" w:rsidR="00795C3E" w:rsidRPr="00F91BDD" w:rsidRDefault="00795C3E" w:rsidP="00795C3E">
      <w:pPr>
        <w:spacing w:before="120"/>
        <w:textAlignment w:val="baseline"/>
        <w:rPr>
          <w:rFonts w:cs="Calibri Light"/>
        </w:rPr>
      </w:pPr>
      <w:r w:rsidRPr="00F91BDD">
        <w:rPr>
          <w:rFonts w:cs="Calibri Light"/>
        </w:rPr>
        <w:t>Voici à ce propos quelques précisions :</w:t>
      </w:r>
    </w:p>
    <w:p w14:paraId="593559D9" w14:textId="77777777" w:rsidR="00795C3E" w:rsidRPr="00F91BDD" w:rsidRDefault="00795C3E" w:rsidP="00795C3E">
      <w:pPr>
        <w:spacing w:before="120"/>
        <w:textAlignment w:val="baseline"/>
        <w:rPr>
          <w:rFonts w:cs="Calibri Light"/>
        </w:rPr>
      </w:pPr>
      <w:r w:rsidRPr="00F91BDD">
        <w:rPr>
          <w:rFonts w:cs="Calibri Light"/>
        </w:rPr>
        <w:t>L'article budgétaire 367-19 concerne les surfaces de bureau et locaux affectés à l'exercice d'une profession libérale tandis que l'article budgétaire 367-20 concerne les locaux affectés à l'exercice d'un commerce. Les communes sont rendues attentives à deux principes fiscaux qui peuvent trouver une application spécifique en l'occurrence :</w:t>
      </w:r>
    </w:p>
    <w:p w14:paraId="6EC4C534" w14:textId="3ABB05D1" w:rsidR="00795C3E" w:rsidRPr="004E425F" w:rsidRDefault="00795C3E">
      <w:pPr>
        <w:numPr>
          <w:ilvl w:val="0"/>
          <w:numId w:val="20"/>
        </w:numPr>
        <w:tabs>
          <w:tab w:val="left" w:pos="576"/>
        </w:tabs>
        <w:spacing w:before="120" w:after="120" w:line="240" w:lineRule="auto"/>
        <w:textAlignment w:val="baseline"/>
      </w:pPr>
      <w:r w:rsidRPr="004E425F">
        <w:t>Le principe d'égalité des citoyens devant l’impôt ;</w:t>
      </w:r>
    </w:p>
    <w:p w14:paraId="0DCE40E6" w14:textId="77777777" w:rsidR="00795C3E" w:rsidRPr="00F91BDD" w:rsidRDefault="00795C3E">
      <w:pPr>
        <w:numPr>
          <w:ilvl w:val="0"/>
          <w:numId w:val="20"/>
        </w:numPr>
        <w:tabs>
          <w:tab w:val="left" w:pos="576"/>
        </w:tabs>
        <w:spacing w:before="120" w:after="120" w:line="240" w:lineRule="auto"/>
        <w:textAlignment w:val="baseline"/>
        <w:rPr>
          <w:rFonts w:cs="Calibri Light"/>
        </w:rPr>
      </w:pPr>
      <w:r w:rsidRPr="00F91BDD">
        <w:rPr>
          <w:rFonts w:cs="Calibri Light"/>
          <w:spacing w:val="3"/>
        </w:rPr>
        <w:t>Le principe qui interdit toute double taxation ("</w:t>
      </w:r>
      <w:r w:rsidRPr="00F91BDD">
        <w:rPr>
          <w:rFonts w:cs="Calibri Light"/>
          <w:i/>
          <w:spacing w:val="3"/>
        </w:rPr>
        <w:t>non bis in idem</w:t>
      </w:r>
      <w:r w:rsidRPr="00F91BDD">
        <w:rPr>
          <w:rFonts w:cs="Calibri Light"/>
          <w:spacing w:val="3"/>
        </w:rPr>
        <w:t xml:space="preserve">") ce qui reviendrait, en pratique, à </w:t>
      </w:r>
      <w:r w:rsidRPr="00F91BDD">
        <w:rPr>
          <w:rFonts w:cs="Calibri Light"/>
        </w:rPr>
        <w:t xml:space="preserve">frapper de deux ou de plusieurs taxes, distinctes en la forme, une même situation juridique ou de fait. </w:t>
      </w:r>
    </w:p>
    <w:p w14:paraId="3C9C6556" w14:textId="77777777" w:rsidR="00795C3E" w:rsidRPr="00F91BDD" w:rsidRDefault="00795C3E">
      <w:pPr>
        <w:numPr>
          <w:ilvl w:val="0"/>
          <w:numId w:val="20"/>
        </w:numPr>
        <w:tabs>
          <w:tab w:val="left" w:pos="576"/>
        </w:tabs>
        <w:spacing w:before="120" w:after="120" w:line="240" w:lineRule="auto"/>
        <w:textAlignment w:val="baseline"/>
        <w:rPr>
          <w:rFonts w:cs="Calibri Light"/>
        </w:rPr>
      </w:pPr>
      <w:r w:rsidRPr="00F91BDD">
        <w:rPr>
          <w:rFonts w:cs="Calibri Light"/>
        </w:rPr>
        <w:t xml:space="preserve">Sont exonérées de l'impôt, les surfaces de bureaux et les locaux : </w:t>
      </w:r>
    </w:p>
    <w:p w14:paraId="56E86D68" w14:textId="77777777" w:rsidR="00795C3E" w:rsidRPr="00F91BDD" w:rsidRDefault="00795C3E">
      <w:pPr>
        <w:pStyle w:val="Paragraphedeliste"/>
        <w:numPr>
          <w:ilvl w:val="1"/>
          <w:numId w:val="32"/>
        </w:numPr>
        <w:tabs>
          <w:tab w:val="left" w:pos="144"/>
        </w:tabs>
        <w:spacing w:before="120" w:after="120" w:line="240" w:lineRule="auto"/>
        <w:ind w:left="1276"/>
        <w:contextualSpacing w:val="0"/>
        <w:textAlignment w:val="baseline"/>
        <w:rPr>
          <w:rFonts w:cs="Calibri Light"/>
        </w:rPr>
      </w:pPr>
      <w:r w:rsidRPr="00F91BDD">
        <w:rPr>
          <w:rFonts w:cs="Calibri Light"/>
        </w:rPr>
        <w:t xml:space="preserve">servant aux cultes et à la laïcité ; </w:t>
      </w:r>
    </w:p>
    <w:p w14:paraId="2DBA0E77" w14:textId="77777777" w:rsidR="00795C3E" w:rsidRPr="00F91BDD" w:rsidRDefault="00795C3E">
      <w:pPr>
        <w:pStyle w:val="Paragraphedeliste"/>
        <w:numPr>
          <w:ilvl w:val="1"/>
          <w:numId w:val="32"/>
        </w:numPr>
        <w:tabs>
          <w:tab w:val="left" w:pos="144"/>
        </w:tabs>
        <w:spacing w:before="120" w:after="120" w:line="240" w:lineRule="auto"/>
        <w:contextualSpacing w:val="0"/>
        <w:textAlignment w:val="baseline"/>
        <w:rPr>
          <w:rFonts w:cs="Calibri Light"/>
        </w:rPr>
      </w:pPr>
      <w:r w:rsidRPr="00F91BDD">
        <w:rPr>
          <w:rFonts w:cs="Calibri Light"/>
        </w:rPr>
        <w:t xml:space="preserve">des établissements d'enseignement, des hôpitaux, des cliniques, des dispensaires ou œuvres de bienfaisance ; </w:t>
      </w:r>
    </w:p>
    <w:p w14:paraId="55C9C358" w14:textId="77777777" w:rsidR="00795C3E" w:rsidRPr="00262DFC" w:rsidRDefault="00795C3E">
      <w:pPr>
        <w:pStyle w:val="Paragraphedeliste"/>
        <w:numPr>
          <w:ilvl w:val="1"/>
          <w:numId w:val="32"/>
        </w:numPr>
        <w:tabs>
          <w:tab w:val="left" w:pos="144"/>
        </w:tabs>
        <w:spacing w:before="120" w:after="120" w:line="240" w:lineRule="auto"/>
        <w:contextualSpacing w:val="0"/>
        <w:textAlignment w:val="baseline"/>
        <w:rPr>
          <w:rFonts w:cs="Calibri Light"/>
        </w:rPr>
      </w:pPr>
      <w:r w:rsidRPr="00F91BDD">
        <w:rPr>
          <w:rFonts w:cs="Calibri Light"/>
        </w:rPr>
        <w:t>des associations sans but lucratif et autres groupements et associations qui ne poursuivent aucun but lucratif, mentionnés à l'article 181 du code des impôts sur les revenus.</w:t>
      </w:r>
      <w:bookmarkStart w:id="4951" w:name="_Toc512525544"/>
      <w:bookmarkStart w:id="4952" w:name="_Toc515896857"/>
    </w:p>
    <w:p w14:paraId="3857F830" w14:textId="0D61CB66" w:rsidR="00795C3E" w:rsidRPr="00EF06E6" w:rsidRDefault="00795C3E" w:rsidP="35BD9115">
      <w:pPr>
        <w:pStyle w:val="Titre3"/>
        <w:rPr>
          <w:caps/>
        </w:rPr>
      </w:pPr>
      <w:bookmarkStart w:id="4953" w:name="_Toc143779240"/>
      <w:bookmarkStart w:id="4954" w:name="_Toc208420150"/>
      <w:bookmarkStart w:id="4955" w:name="_Toc225504380"/>
      <w:bookmarkStart w:id="4956" w:name="_Toc225772469"/>
      <w:bookmarkStart w:id="4957" w:name="_Toc233626336"/>
      <w:r w:rsidRPr="00EF06E6">
        <w:t>040/367-20 : Surfaces commerciales</w:t>
      </w:r>
      <w:bookmarkEnd w:id="4953"/>
      <w:bookmarkEnd w:id="4954"/>
      <w:bookmarkEnd w:id="4955"/>
      <w:bookmarkEnd w:id="4956"/>
      <w:bookmarkEnd w:id="4957"/>
      <w:r w:rsidRPr="00EF06E6">
        <w:t xml:space="preserve"> </w:t>
      </w:r>
    </w:p>
    <w:p w14:paraId="21D90E86" w14:textId="77777777" w:rsidR="00795C3E" w:rsidRPr="00F91BDD" w:rsidRDefault="00795C3E" w:rsidP="00795C3E">
      <w:pPr>
        <w:spacing w:before="120"/>
      </w:pPr>
      <w:r w:rsidRPr="00F91BDD">
        <w:t xml:space="preserve">Taxe directe - Modèle disponible. </w:t>
      </w:r>
      <w:bookmarkStart w:id="4958" w:name="_Hlk105661027"/>
      <w:bookmarkEnd w:id="4951"/>
      <w:bookmarkEnd w:id="4952"/>
    </w:p>
    <w:p w14:paraId="1F0EF04A" w14:textId="60C1B02B" w:rsidR="00795C3E" w:rsidRPr="004E425F" w:rsidRDefault="00795C3E" w:rsidP="00795C3E">
      <w:pPr>
        <w:spacing w:before="120"/>
        <w:textAlignment w:val="baseline"/>
      </w:pPr>
      <w:r w:rsidRPr="004E425F">
        <w:t xml:space="preserve">Taux maximum recommandé : 5,00 </w:t>
      </w:r>
      <w:r w:rsidR="00C63DEB" w:rsidRPr="004E425F">
        <w:t>euros le</w:t>
      </w:r>
      <w:r w:rsidRPr="004E425F">
        <w:t xml:space="preserve"> m</w:t>
      </w:r>
      <w:r w:rsidRPr="004E425F">
        <w:rPr>
          <w:vertAlign w:val="superscript"/>
        </w:rPr>
        <w:t>2</w:t>
      </w:r>
      <w:r w:rsidRPr="004E425F">
        <w:t xml:space="preserve"> de surface commerciale nette par an et par surface commerciale.</w:t>
      </w:r>
    </w:p>
    <w:p w14:paraId="70DAE766" w14:textId="283FB11C" w:rsidR="15762E36" w:rsidRDefault="15762E36" w:rsidP="1C6C0DED">
      <w:pPr>
        <w:spacing w:before="120"/>
      </w:pPr>
      <w:r>
        <w:t>Vous trouverez, ci-dessous, les définitions de surface commerciale et surface commerciale nette.</w:t>
      </w:r>
    </w:p>
    <w:p w14:paraId="1B2516E9" w14:textId="77777777" w:rsidR="00795C3E" w:rsidRPr="004E425F" w:rsidRDefault="00795C3E" w:rsidP="00795C3E">
      <w:pPr>
        <w:spacing w:before="120"/>
        <w:textAlignment w:val="baseline"/>
      </w:pPr>
      <w:r w:rsidRPr="004E425F">
        <w:t>« Surface commerciale » : l'établissement de commerce de détail ;</w:t>
      </w:r>
    </w:p>
    <w:p w14:paraId="78EC9BD1" w14:textId="77777777" w:rsidR="00795C3E" w:rsidRPr="004E425F" w:rsidRDefault="00795C3E" w:rsidP="00795C3E">
      <w:pPr>
        <w:spacing w:before="120"/>
        <w:textAlignment w:val="baseline"/>
      </w:pPr>
      <w:r w:rsidRPr="004E425F">
        <w:t>Compte tenu de l’objectif de cette taxe, il est recommandé d’exonérer les 400 premiers mètres carrés et, à tout le moins, de motiver en suffisance l’exonération prévue.</w:t>
      </w:r>
    </w:p>
    <w:bookmarkEnd w:id="4958"/>
    <w:p w14:paraId="2822A374" w14:textId="77777777" w:rsidR="00795C3E" w:rsidRPr="004E425F" w:rsidRDefault="00795C3E" w:rsidP="00795C3E">
      <w:pPr>
        <w:spacing w:before="120"/>
        <w:textAlignment w:val="baseline"/>
        <w:rPr>
          <w:spacing w:val="1"/>
        </w:rPr>
      </w:pPr>
      <w:r w:rsidRPr="004E425F">
        <w:lastRenderedPageBreak/>
        <w:t xml:space="preserve">« Établissement de commerce de détail » : l'unité de distribution dont l'activité consiste à revendre de manière habituelle des marchandises à des consommateurs en nom propre et pour compte propre, sans faire subir à ces marchandises d'autre traitement que les manipulations usuelles dans le </w:t>
      </w:r>
      <w:r w:rsidRPr="004E425F">
        <w:rPr>
          <w:spacing w:val="1"/>
        </w:rPr>
        <w:t>commerce ;</w:t>
      </w:r>
    </w:p>
    <w:p w14:paraId="53E55CCD" w14:textId="77777777" w:rsidR="00795C3E" w:rsidRPr="004E425F" w:rsidRDefault="00795C3E" w:rsidP="00795C3E">
      <w:pPr>
        <w:spacing w:before="120"/>
        <w:textAlignment w:val="baseline"/>
      </w:pPr>
      <w:r w:rsidRPr="004E425F">
        <w:t>« Surface commerciale nette » : la surface destinée à la vente et accessible au public y compris les surfaces non couvertes ; cette surface inclut notamment les zones de caisses et les zones situées à l'arrière des caisses.</w:t>
      </w:r>
    </w:p>
    <w:p w14:paraId="2125FF23" w14:textId="77777777" w:rsidR="00795C3E" w:rsidRPr="004E425F" w:rsidRDefault="00795C3E" w:rsidP="00795C3E">
      <w:pPr>
        <w:spacing w:before="120"/>
        <w:textAlignment w:val="baseline"/>
      </w:pPr>
      <w:r w:rsidRPr="004E425F">
        <w:t>Peut être assimilé à un local, tout espace clôturé accessible au public et destiné à l'accomplissement d'actes de commerce (les halls d'entrée utilisés à des fins d'exposition ou de vente de marchandises ne rentrent pas dans la définition de la surface commerciale nette).</w:t>
      </w:r>
    </w:p>
    <w:p w14:paraId="49B9B350" w14:textId="77777777" w:rsidR="00795C3E" w:rsidRPr="004E425F" w:rsidRDefault="00795C3E" w:rsidP="00795C3E">
      <w:pPr>
        <w:spacing w:before="120"/>
        <w:textAlignment w:val="baseline"/>
      </w:pPr>
      <w:r w:rsidRPr="004E425F">
        <w:t>Il est loisible à chaque commune de récupérer par voie de redevance, auprès de tout ou partie du secteur tertiaire installé sur le territoire ou dans un périmètre bien délimité de celui-ci, tout ou partie de l'investissement qu'elle a consenti (en concertation) avec ce secteur. C'est ainsi par exemple que des investissements réalisés en concertation avec les partenaires d'un centre-ville (ex : installation de caméras de surveillance), peuvent être récupérés dans le respect du principe d'égalité sur base d'un critère objectif (ex : des m</w:t>
      </w:r>
      <w:r w:rsidRPr="004E425F">
        <w:rPr>
          <w:vertAlign w:val="superscript"/>
        </w:rPr>
        <w:t>2</w:t>
      </w:r>
      <w:r w:rsidRPr="004E425F">
        <w:t>). Ce système permet aux communes d'initier, de manière concertée, une politique dynamique de gestion d'un centre-ville.</w:t>
      </w:r>
    </w:p>
    <w:p w14:paraId="7420D67B" w14:textId="77777777" w:rsidR="00795C3E" w:rsidRPr="00262DFC" w:rsidRDefault="00795C3E" w:rsidP="00795C3E">
      <w:pPr>
        <w:spacing w:before="120"/>
      </w:pPr>
      <w:r w:rsidRPr="004E425F">
        <w:t>Vu la définition de la surface commerciale reprise ci-dessus, je vous invite à prévoir dans votre règlement-taxe une exonération pour les 400 premiers m².</w:t>
      </w:r>
    </w:p>
    <w:p w14:paraId="2AD12565" w14:textId="2AEDD5F1" w:rsidR="00795C3E" w:rsidRPr="00EF06E6" w:rsidRDefault="00795C3E" w:rsidP="35BD9115">
      <w:pPr>
        <w:pStyle w:val="Titre3"/>
        <w:rPr>
          <w:caps/>
        </w:rPr>
      </w:pPr>
      <w:bookmarkStart w:id="4959" w:name="_Toc516740020"/>
      <w:bookmarkStart w:id="4960" w:name="_Toc516751929"/>
      <w:bookmarkStart w:id="4961" w:name="_Toc516826017"/>
      <w:bookmarkStart w:id="4962" w:name="_Toc516826575"/>
      <w:bookmarkStart w:id="4963" w:name="_Toc516837895"/>
      <w:bookmarkStart w:id="4964" w:name="_Toc516838454"/>
      <w:bookmarkStart w:id="4965" w:name="_Toc516839013"/>
      <w:bookmarkStart w:id="4966" w:name="_Toc516839573"/>
      <w:bookmarkStart w:id="4967" w:name="_Toc517173669"/>
      <w:bookmarkStart w:id="4968" w:name="_Toc517175343"/>
      <w:bookmarkStart w:id="4969" w:name="_Toc517175930"/>
      <w:bookmarkStart w:id="4970" w:name="_Toc517176518"/>
      <w:bookmarkStart w:id="4971" w:name="_Toc517337843"/>
      <w:bookmarkStart w:id="4972" w:name="_Toc517360639"/>
      <w:bookmarkStart w:id="4973" w:name="_Toc143779241"/>
      <w:bookmarkStart w:id="4974" w:name="_Toc208420151"/>
      <w:bookmarkStart w:id="4975" w:name="_Toc225504381"/>
      <w:bookmarkStart w:id="4976" w:name="_Toc225772470"/>
      <w:bookmarkStart w:id="4977" w:name="_Toc233626337"/>
      <w:bookmarkStart w:id="4978" w:name="_Toc512525545"/>
      <w:bookmarkStart w:id="4979" w:name="_Toc5158968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r w:rsidRPr="00EF06E6">
        <w:t>040/367-48 : Eoliennes destinées à la production industrielle d'électricité</w:t>
      </w:r>
      <w:bookmarkEnd w:id="4973"/>
      <w:bookmarkEnd w:id="4974"/>
      <w:bookmarkEnd w:id="4975"/>
      <w:bookmarkEnd w:id="4976"/>
      <w:bookmarkEnd w:id="4977"/>
      <w:r w:rsidRPr="00EF06E6">
        <w:t xml:space="preserve"> </w:t>
      </w:r>
    </w:p>
    <w:p w14:paraId="34945F25" w14:textId="77777777" w:rsidR="00795C3E" w:rsidRPr="00F91BDD" w:rsidRDefault="00795C3E" w:rsidP="00795C3E">
      <w:pPr>
        <w:spacing w:before="120"/>
      </w:pPr>
      <w:r w:rsidRPr="00F91BDD">
        <w:t>Taxe directe</w:t>
      </w:r>
      <w:bookmarkEnd w:id="4978"/>
      <w:bookmarkEnd w:id="4979"/>
      <w:r>
        <w:t xml:space="preserve">. </w:t>
      </w:r>
    </w:p>
    <w:p w14:paraId="3B12E4E9" w14:textId="77777777" w:rsidR="00795C3E" w:rsidRPr="00F91BDD" w:rsidRDefault="00795C3E" w:rsidP="00795C3E">
      <w:pPr>
        <w:spacing w:before="120"/>
        <w:textAlignment w:val="baseline"/>
        <w:rPr>
          <w:rFonts w:cs="Calibri Light"/>
        </w:rPr>
      </w:pPr>
      <w:r w:rsidRPr="00F91BDD">
        <w:rPr>
          <w:rFonts w:cs="Calibri Light"/>
        </w:rPr>
        <w:t>Taux maximum recommandé :</w:t>
      </w:r>
    </w:p>
    <w:p w14:paraId="5EE489A5" w14:textId="77777777" w:rsidR="00795C3E" w:rsidRDefault="00795C3E">
      <w:pPr>
        <w:pStyle w:val="Paragraphedeliste"/>
        <w:numPr>
          <w:ilvl w:val="0"/>
          <w:numId w:val="48"/>
        </w:numPr>
        <w:tabs>
          <w:tab w:val="left" w:pos="144"/>
        </w:tabs>
        <w:spacing w:before="120" w:after="120" w:line="240" w:lineRule="auto"/>
        <w:contextualSpacing w:val="0"/>
        <w:textAlignment w:val="baseline"/>
        <w:rPr>
          <w:rFonts w:cs="Calibri Light"/>
        </w:rPr>
      </w:pPr>
      <w:bookmarkStart w:id="4980" w:name="_Hlk112851635"/>
      <w:r w:rsidRPr="00262DFC">
        <w:rPr>
          <w:rFonts w:cs="Calibri Light"/>
        </w:rPr>
        <w:t>Pour une éolienne d’une puissance nominale jusqu’à 0,5 mégawatt : zéro euro ;</w:t>
      </w:r>
    </w:p>
    <w:p w14:paraId="00817854" w14:textId="37961B77" w:rsidR="00795C3E" w:rsidRPr="00262DFC" w:rsidRDefault="00795C3E">
      <w:pPr>
        <w:pStyle w:val="Paragraphedeliste"/>
        <w:numPr>
          <w:ilvl w:val="0"/>
          <w:numId w:val="48"/>
        </w:numPr>
        <w:tabs>
          <w:tab w:val="left" w:pos="144"/>
        </w:tabs>
        <w:spacing w:before="120" w:after="120" w:line="240" w:lineRule="auto"/>
        <w:contextualSpacing w:val="0"/>
        <w:textAlignment w:val="baseline"/>
        <w:rPr>
          <w:rFonts w:cs="Calibri Light"/>
        </w:rPr>
      </w:pPr>
      <w:r w:rsidRPr="00262DFC">
        <w:rPr>
          <w:rFonts w:cs="Calibri Light"/>
        </w:rPr>
        <w:t>Au-delà</w:t>
      </w:r>
      <w:r w:rsidRPr="00F91BDD">
        <w:t xml:space="preserve"> </w:t>
      </w:r>
      <w:r w:rsidRPr="00262DFC">
        <w:rPr>
          <w:rFonts w:cs="Calibri Light"/>
        </w:rPr>
        <w:t xml:space="preserve">de 0,5 mégawatt le taux est de 500 </w:t>
      </w:r>
      <w:r w:rsidR="00213844" w:rsidRPr="00262DFC">
        <w:rPr>
          <w:rFonts w:cs="Calibri Light"/>
        </w:rPr>
        <w:t>euros par</w:t>
      </w:r>
      <w:r w:rsidRPr="00262DFC">
        <w:rPr>
          <w:rFonts w:cs="Calibri Light"/>
        </w:rPr>
        <w:t xml:space="preserve"> 0,1 mégawatt.</w:t>
      </w:r>
      <w:bookmarkEnd w:id="4980"/>
    </w:p>
    <w:p w14:paraId="7AF33855" w14:textId="77777777" w:rsidR="00213844" w:rsidRDefault="00795C3E" w:rsidP="00213844">
      <w:pPr>
        <w:tabs>
          <w:tab w:val="left" w:pos="144"/>
        </w:tabs>
        <w:spacing w:before="120"/>
        <w:textAlignment w:val="baseline"/>
        <w:rPr>
          <w:rFonts w:cs="Calibri Light"/>
        </w:rPr>
      </w:pPr>
      <w:r w:rsidRPr="00F91BDD">
        <w:rPr>
          <w:rFonts w:cs="Calibri Light"/>
        </w:rPr>
        <w:t>Ainsi :</w:t>
      </w:r>
    </w:p>
    <w:p w14:paraId="18445ECC" w14:textId="77777777" w:rsidR="00213844" w:rsidRDefault="00795C3E">
      <w:pPr>
        <w:pStyle w:val="Paragraphedeliste"/>
        <w:numPr>
          <w:ilvl w:val="0"/>
          <w:numId w:val="134"/>
        </w:numPr>
        <w:tabs>
          <w:tab w:val="left" w:pos="144"/>
        </w:tabs>
        <w:spacing w:before="120"/>
        <w:textAlignment w:val="baseline"/>
        <w:rPr>
          <w:rFonts w:cs="Calibri Light"/>
        </w:rPr>
      </w:pPr>
      <w:r w:rsidRPr="00213844">
        <w:rPr>
          <w:rFonts w:cs="Calibri Light"/>
        </w:rPr>
        <w:t xml:space="preserve">une éolienne de 0,7 mégawatt sera soumise à une taxe de 3.500 euros </w:t>
      </w:r>
    </w:p>
    <w:p w14:paraId="136BBA48" w14:textId="77777777" w:rsidR="00213844" w:rsidRDefault="00795C3E">
      <w:pPr>
        <w:pStyle w:val="Paragraphedeliste"/>
        <w:numPr>
          <w:ilvl w:val="0"/>
          <w:numId w:val="134"/>
        </w:numPr>
        <w:tabs>
          <w:tab w:val="left" w:pos="144"/>
        </w:tabs>
        <w:spacing w:before="120"/>
        <w:textAlignment w:val="baseline"/>
        <w:rPr>
          <w:rFonts w:cs="Calibri Light"/>
        </w:rPr>
      </w:pPr>
      <w:r w:rsidRPr="00213844">
        <w:rPr>
          <w:rFonts w:cs="Calibri Light"/>
        </w:rPr>
        <w:t xml:space="preserve">une éolienne de 1 mégawatt sera soumise à une taxe de 5.000 euros </w:t>
      </w:r>
    </w:p>
    <w:p w14:paraId="7F55F22C" w14:textId="77777777" w:rsidR="00213844" w:rsidRDefault="00795C3E">
      <w:pPr>
        <w:pStyle w:val="Paragraphedeliste"/>
        <w:numPr>
          <w:ilvl w:val="0"/>
          <w:numId w:val="134"/>
        </w:numPr>
        <w:tabs>
          <w:tab w:val="left" w:pos="144"/>
        </w:tabs>
        <w:spacing w:before="120"/>
        <w:textAlignment w:val="baseline"/>
        <w:rPr>
          <w:rFonts w:cs="Calibri Light"/>
        </w:rPr>
      </w:pPr>
      <w:r w:rsidRPr="00213844">
        <w:rPr>
          <w:rFonts w:cs="Calibri Light"/>
        </w:rPr>
        <w:t xml:space="preserve">une éolienne de 2 mégawatts sera soumise à une taxe de 10.000 euros </w:t>
      </w:r>
      <w:bookmarkStart w:id="4981" w:name="_Hlk127352974"/>
    </w:p>
    <w:p w14:paraId="55858195" w14:textId="77777777" w:rsidR="00213844" w:rsidRDefault="00795C3E">
      <w:pPr>
        <w:pStyle w:val="Paragraphedeliste"/>
        <w:numPr>
          <w:ilvl w:val="0"/>
          <w:numId w:val="134"/>
        </w:numPr>
        <w:tabs>
          <w:tab w:val="left" w:pos="144"/>
        </w:tabs>
        <w:spacing w:before="120"/>
        <w:textAlignment w:val="baseline"/>
        <w:rPr>
          <w:rFonts w:cs="Calibri Light"/>
        </w:rPr>
      </w:pPr>
      <w:r w:rsidRPr="00213844">
        <w:rPr>
          <w:rFonts w:cs="Calibri Light"/>
        </w:rPr>
        <w:t xml:space="preserve">une éolienne de 2,3 mégawatts sera soumise à une taxe de 11.500 euros </w:t>
      </w:r>
      <w:bookmarkEnd w:id="4981"/>
    </w:p>
    <w:p w14:paraId="23B10989" w14:textId="77777777" w:rsidR="00213844" w:rsidRDefault="00795C3E">
      <w:pPr>
        <w:pStyle w:val="Paragraphedeliste"/>
        <w:numPr>
          <w:ilvl w:val="0"/>
          <w:numId w:val="134"/>
        </w:numPr>
        <w:tabs>
          <w:tab w:val="left" w:pos="144"/>
        </w:tabs>
        <w:spacing w:before="120"/>
        <w:textAlignment w:val="baseline"/>
        <w:rPr>
          <w:rFonts w:cs="Calibri Light"/>
        </w:rPr>
      </w:pPr>
      <w:r w:rsidRPr="00213844">
        <w:rPr>
          <w:rFonts w:cs="Calibri Light"/>
        </w:rPr>
        <w:t xml:space="preserve">une éolienne de 3 mégawatts sera soumise à une taxe de 15.000 euros </w:t>
      </w:r>
    </w:p>
    <w:p w14:paraId="59F68FDD" w14:textId="77777777" w:rsidR="00213844" w:rsidRDefault="00795C3E">
      <w:pPr>
        <w:pStyle w:val="Paragraphedeliste"/>
        <w:numPr>
          <w:ilvl w:val="0"/>
          <w:numId w:val="134"/>
        </w:numPr>
        <w:tabs>
          <w:tab w:val="left" w:pos="144"/>
        </w:tabs>
        <w:spacing w:before="120"/>
        <w:textAlignment w:val="baseline"/>
        <w:rPr>
          <w:rFonts w:cs="Calibri Light"/>
        </w:rPr>
      </w:pPr>
      <w:r w:rsidRPr="00213844">
        <w:rPr>
          <w:rFonts w:cs="Calibri Light"/>
        </w:rPr>
        <w:t xml:space="preserve">une éolienne de 3,6 mégawatts sera soumise à une taxe de 18.000 euros </w:t>
      </w:r>
      <w:bookmarkStart w:id="4982" w:name="_Toc512523785"/>
      <w:bookmarkStart w:id="4983" w:name="_Toc512525546"/>
    </w:p>
    <w:p w14:paraId="025986C9" w14:textId="59C79D9E" w:rsidR="00795C3E" w:rsidRPr="00213844" w:rsidRDefault="00795C3E" w:rsidP="00213844">
      <w:pPr>
        <w:tabs>
          <w:tab w:val="left" w:pos="144"/>
        </w:tabs>
        <w:spacing w:before="120"/>
        <w:textAlignment w:val="baseline"/>
        <w:rPr>
          <w:rFonts w:cs="Calibri Light"/>
        </w:rPr>
      </w:pPr>
      <w:r w:rsidRPr="00213844">
        <w:rPr>
          <w:rFonts w:cs="Calibri Light"/>
        </w:rPr>
        <w:t>La puissance nominale d’une éolienne est l’énergie que peut produire cette éolienne par unité de temps dans des conditions optimales de fonctionnement et donc la puissance à prendre en considération est celle reprise dans le permis d’urbanisme.</w:t>
      </w:r>
    </w:p>
    <w:p w14:paraId="3F948F2E" w14:textId="77777777" w:rsidR="00795C3E" w:rsidRPr="00F91BDD" w:rsidRDefault="00795C3E" w:rsidP="00795C3E">
      <w:pPr>
        <w:spacing w:before="120"/>
        <w:textAlignment w:val="baseline"/>
        <w:rPr>
          <w:rFonts w:cs="Calibri Light"/>
        </w:rPr>
      </w:pPr>
      <w:r w:rsidRPr="00F91BDD">
        <w:rPr>
          <w:rFonts w:cs="Calibri Light"/>
        </w:rPr>
        <w:lastRenderedPageBreak/>
        <w:t xml:space="preserve">Néanmoins, j’invite les communes à faire preuve de modération dans le choix des taux. Les éoliennes sont en effet un outil important pour la transition énergétique et elles favorisent la diminution de notre empreinte carbone. Dès lors, adapter une fiscalité en adéquation avec cette politique menée par le Gouvernement wallon en faveur du développement durable est indispensable. </w:t>
      </w:r>
    </w:p>
    <w:p w14:paraId="4145C077" w14:textId="77777777" w:rsidR="00795C3E" w:rsidRPr="00F91BDD" w:rsidRDefault="00795C3E" w:rsidP="00795C3E">
      <w:pPr>
        <w:spacing w:before="120"/>
        <w:textAlignment w:val="baseline"/>
        <w:rPr>
          <w:rFonts w:cs="Calibri Light"/>
        </w:rPr>
      </w:pPr>
      <w:r w:rsidRPr="00F91BDD">
        <w:rPr>
          <w:rFonts w:cs="Calibri Light"/>
        </w:rPr>
        <w:t>Je rappelle que le Gouvernement wallon entend œuvrer à la poursuite du développement des énergies renouvelables à un rythme et à un coût sociétal supportables et maitrisés. Cela nécessite de tenir compte de leur potentiel par filière et de leur impact socio-économique et environnemental. Les entreprises wallonnes doivent aussi être encouragées à investir dans cette voie de la transition énergétique. S’inscrire dans cette politique ne peut être que bénéfique pour notre environnement.</w:t>
      </w:r>
      <w:bookmarkEnd w:id="4982"/>
      <w:bookmarkEnd w:id="4983"/>
    </w:p>
    <w:p w14:paraId="2BF55D2A" w14:textId="4104ED37" w:rsidR="00795C3E" w:rsidRPr="00EF06E6" w:rsidRDefault="00795C3E" w:rsidP="35BD9115">
      <w:pPr>
        <w:pStyle w:val="Titre3"/>
        <w:rPr>
          <w:caps/>
        </w:rPr>
      </w:pPr>
      <w:bookmarkStart w:id="4984" w:name="_Hlk34938863"/>
      <w:bookmarkStart w:id="4985" w:name="_Toc143779242"/>
      <w:bookmarkStart w:id="4986" w:name="_Toc208420152"/>
      <w:bookmarkStart w:id="4987" w:name="_Toc225504382"/>
      <w:bookmarkStart w:id="4988" w:name="_Toc225772471"/>
      <w:bookmarkStart w:id="4989" w:name="_Toc233626338"/>
      <w:r w:rsidRPr="00EF06E6">
        <w:t>04002/367-48 : Emplacement de parkings gratuits</w:t>
      </w:r>
      <w:bookmarkEnd w:id="4984"/>
      <w:bookmarkEnd w:id="4985"/>
      <w:bookmarkEnd w:id="4986"/>
      <w:bookmarkEnd w:id="4987"/>
      <w:bookmarkEnd w:id="4988"/>
      <w:bookmarkEnd w:id="4989"/>
    </w:p>
    <w:p w14:paraId="7F03D61E" w14:textId="77777777" w:rsidR="00795C3E" w:rsidRPr="00F91BDD" w:rsidRDefault="00795C3E" w:rsidP="00795C3E">
      <w:pPr>
        <w:spacing w:before="120"/>
        <w:textAlignment w:val="baseline"/>
        <w:rPr>
          <w:rFonts w:cs="Calibri Light"/>
          <w:spacing w:val="3"/>
        </w:rPr>
      </w:pPr>
      <w:bookmarkStart w:id="4990" w:name="_Hlk34939299"/>
      <w:r w:rsidRPr="00F91BDD">
        <w:rPr>
          <w:rFonts w:cs="Calibri Light"/>
          <w:spacing w:val="3"/>
        </w:rPr>
        <w:t>Taxe directe</w:t>
      </w:r>
      <w:r>
        <w:rPr>
          <w:rFonts w:cs="Calibri Light"/>
          <w:spacing w:val="3"/>
        </w:rPr>
        <w:t xml:space="preserve">. </w:t>
      </w:r>
    </w:p>
    <w:p w14:paraId="513A3023" w14:textId="32A6E15C" w:rsidR="00795C3E" w:rsidRPr="00F91BDD" w:rsidRDefault="00795C3E" w:rsidP="00795C3E">
      <w:pPr>
        <w:spacing w:before="120"/>
        <w:textAlignment w:val="baseline"/>
        <w:rPr>
          <w:rFonts w:cs="Calibri Light"/>
          <w:spacing w:val="3"/>
        </w:rPr>
      </w:pPr>
      <w:r w:rsidRPr="00F91BDD">
        <w:rPr>
          <w:rFonts w:cs="Calibri Light"/>
          <w:spacing w:val="3"/>
        </w:rPr>
        <w:t>Cette disposition rencontre l’objectif de la Déclaration de Politique régionale qui vise à renforcer le pouvoir régulateur des villes et communes en matière de fiscalité relative aux grands centres commerciaux de périphérie, afin de les faire participer davantage aux politiques de redynamisation urbaine (révision du plafond autorisé pour la taxe sur les parkings)</w:t>
      </w:r>
      <w:r w:rsidRPr="3A0B0782">
        <w:rPr>
          <w:rFonts w:cs="Calibri Light"/>
        </w:rPr>
        <w:t xml:space="preserve"> en lien avec le pacte fiscal.</w:t>
      </w:r>
    </w:p>
    <w:p w14:paraId="405596A4" w14:textId="77777777" w:rsidR="00795C3E" w:rsidRPr="00F91BDD" w:rsidRDefault="00795C3E" w:rsidP="00795C3E">
      <w:pPr>
        <w:spacing w:before="120"/>
        <w:textAlignment w:val="baseline"/>
        <w:rPr>
          <w:rFonts w:cs="Calibri Light"/>
          <w:spacing w:val="3"/>
        </w:rPr>
      </w:pPr>
      <w:r w:rsidRPr="00F91BDD">
        <w:rPr>
          <w:rFonts w:cs="Calibri Light"/>
          <w:spacing w:val="3"/>
        </w:rPr>
        <w:t>Je vous invite à reprendre cet objectif dans le préambule de votre règlement.</w:t>
      </w:r>
    </w:p>
    <w:p w14:paraId="2E80E8F2" w14:textId="0C92B367" w:rsidR="00795C3E" w:rsidRPr="00F91BDD" w:rsidRDefault="00795C3E" w:rsidP="00795C3E">
      <w:pPr>
        <w:spacing w:before="120"/>
        <w:textAlignment w:val="baseline"/>
        <w:rPr>
          <w:rFonts w:cs="Calibri Light"/>
          <w:spacing w:val="3"/>
        </w:rPr>
      </w:pPr>
      <w:r w:rsidRPr="00F91BDD">
        <w:rPr>
          <w:rFonts w:cs="Calibri Light"/>
          <w:spacing w:val="3"/>
        </w:rPr>
        <w:t xml:space="preserve">Dans ce cadre, le taux maximum préconisé est de 112,00 </w:t>
      </w:r>
      <w:r w:rsidR="00D22E97" w:rsidRPr="00F91BDD">
        <w:rPr>
          <w:rFonts w:cs="Calibri Light"/>
          <w:spacing w:val="3"/>
        </w:rPr>
        <w:t>euros par</w:t>
      </w:r>
      <w:r w:rsidRPr="00F91BDD">
        <w:rPr>
          <w:rFonts w:cs="Calibri Light"/>
          <w:spacing w:val="3"/>
        </w:rPr>
        <w:t xml:space="preserve"> emplacement, nonobstant des situations particulières justifiées pour lesquelles un taux maximum de 150 </w:t>
      </w:r>
      <w:r w:rsidR="00D22E97" w:rsidRPr="00F91BDD">
        <w:rPr>
          <w:rFonts w:cs="Calibri Light"/>
          <w:spacing w:val="3"/>
        </w:rPr>
        <w:t>euros serait</w:t>
      </w:r>
      <w:r w:rsidRPr="00F91BDD">
        <w:rPr>
          <w:rFonts w:cs="Calibri Light"/>
          <w:spacing w:val="3"/>
        </w:rPr>
        <w:t xml:space="preserve"> toléré.</w:t>
      </w:r>
    </w:p>
    <w:p w14:paraId="22755DD0" w14:textId="77777777" w:rsidR="00795C3E" w:rsidRPr="00F91BDD" w:rsidRDefault="00795C3E" w:rsidP="00795C3E">
      <w:pPr>
        <w:spacing w:before="120"/>
        <w:textAlignment w:val="baseline"/>
        <w:rPr>
          <w:rFonts w:cs="Calibri Light"/>
          <w:spacing w:val="3"/>
        </w:rPr>
      </w:pPr>
      <w:r w:rsidRPr="00F91BDD">
        <w:rPr>
          <w:rFonts w:cs="Calibri Light"/>
          <w:spacing w:val="3"/>
        </w:rPr>
        <w:t>Par « emplacement de parking », on entend soit un garage fermé, soit une aire de stationnement de véhicules, un espace clos ou à l’air libre, situés sur ou dans un bien immobilier privé et mis à disposition du public par toute personne physique ou morale exploitant une entreprise de nature industrielle, artisanale, agricole, horticole, commerciale, financière ou de service, ou exerçant une profession libérale.</w:t>
      </w:r>
    </w:p>
    <w:p w14:paraId="0B9CBC7F" w14:textId="77777777" w:rsidR="00795C3E" w:rsidRPr="00F91BDD" w:rsidRDefault="00795C3E" w:rsidP="00795C3E">
      <w:pPr>
        <w:spacing w:before="120"/>
        <w:textAlignment w:val="baseline"/>
        <w:rPr>
          <w:rFonts w:cs="Calibri Light"/>
          <w:spacing w:val="3"/>
        </w:rPr>
      </w:pPr>
      <w:r w:rsidRPr="00F91BDD">
        <w:rPr>
          <w:rFonts w:cs="Calibri Light"/>
          <w:spacing w:val="3"/>
        </w:rPr>
        <w:t>La base imposable est établie en fonction du nombre d’emplacements tels que délimités par les marquages au sol ou par toute délimitation quelconque, en ce compris les emplacements situés sur l’éventuelle plate-forme du dernier niveau d’un bâtiment. En cas d’absence de marquage au sol délimitant les emplacements, la surface d’un emplacement doit être établie forfaitairement (à déterminer par les autorités communales mais la circulaire De Jaeger du 17 juin 1970 définissait les contours de la taxe sur l’absence d’emplacement de parcage prévoyait, pour un emplacement de parcage, une surface minimale de 5,50 m de longueur x 2,50 m de largeur). Dans ce cas, pour la détermination du nombre d’emplacements, il est tenu compte des dégagements nécessaires aux mouvements des véhicules.</w:t>
      </w:r>
    </w:p>
    <w:p w14:paraId="16F81600" w14:textId="77777777" w:rsidR="00795C3E" w:rsidRDefault="00795C3E" w:rsidP="00795C3E">
      <w:pPr>
        <w:spacing w:before="120"/>
        <w:textAlignment w:val="baseline"/>
        <w:rPr>
          <w:rFonts w:cs="Calibri Light"/>
          <w:spacing w:val="3"/>
        </w:rPr>
      </w:pPr>
      <w:r w:rsidRPr="00F91BDD">
        <w:rPr>
          <w:rFonts w:cs="Calibri Light"/>
          <w:spacing w:val="3"/>
        </w:rPr>
        <w:t>Il est recommandé d’exonérer les 30 premiers emplacements ainsi que ceux réservés :</w:t>
      </w:r>
    </w:p>
    <w:p w14:paraId="4670CAE0" w14:textId="77777777" w:rsidR="00795C3E" w:rsidRPr="00262DFC" w:rsidRDefault="00795C3E">
      <w:pPr>
        <w:pStyle w:val="Paragraphedeliste"/>
        <w:numPr>
          <w:ilvl w:val="0"/>
          <w:numId w:val="49"/>
        </w:numPr>
        <w:spacing w:before="120" w:after="120" w:line="240" w:lineRule="auto"/>
        <w:contextualSpacing w:val="0"/>
        <w:textAlignment w:val="baseline"/>
        <w:rPr>
          <w:rFonts w:cs="Calibri Light"/>
          <w:spacing w:val="3"/>
        </w:rPr>
      </w:pPr>
      <w:r w:rsidRPr="00262DFC">
        <w:rPr>
          <w:rFonts w:cs="Calibri Light"/>
        </w:rPr>
        <w:lastRenderedPageBreak/>
        <w:t xml:space="preserve">aux personnes handicapées, ce qui constitue une mesure sociale ; </w:t>
      </w:r>
    </w:p>
    <w:p w14:paraId="7023DB26" w14:textId="77777777" w:rsidR="00795C3E" w:rsidRPr="00262DFC" w:rsidRDefault="00795C3E">
      <w:pPr>
        <w:pStyle w:val="Paragraphedeliste"/>
        <w:numPr>
          <w:ilvl w:val="0"/>
          <w:numId w:val="49"/>
        </w:numPr>
        <w:spacing w:before="120" w:after="120" w:line="240" w:lineRule="auto"/>
        <w:contextualSpacing w:val="0"/>
        <w:textAlignment w:val="baseline"/>
        <w:rPr>
          <w:rFonts w:cs="Calibri Light"/>
          <w:spacing w:val="3"/>
        </w:rPr>
      </w:pPr>
      <w:r w:rsidRPr="00262DFC">
        <w:rPr>
          <w:rFonts w:cs="Calibri Light"/>
        </w:rPr>
        <w:t xml:space="preserve">aux membres du personnel, afin d’inciter la mise à disposition de ce type d’emplacement et ainsi désengorger le parking en voirie ; </w:t>
      </w:r>
    </w:p>
    <w:p w14:paraId="2A9B3099" w14:textId="77777777" w:rsidR="00795C3E" w:rsidRPr="00262DFC" w:rsidRDefault="00795C3E">
      <w:pPr>
        <w:pStyle w:val="Paragraphedeliste"/>
        <w:numPr>
          <w:ilvl w:val="0"/>
          <w:numId w:val="49"/>
        </w:numPr>
        <w:spacing w:before="120" w:after="120" w:line="240" w:lineRule="auto"/>
        <w:contextualSpacing w:val="0"/>
        <w:textAlignment w:val="baseline"/>
        <w:rPr>
          <w:rFonts w:cs="Calibri Light"/>
          <w:spacing w:val="3"/>
        </w:rPr>
      </w:pPr>
      <w:r w:rsidRPr="00262DFC">
        <w:rPr>
          <w:rFonts w:cs="Calibri Light"/>
        </w:rPr>
        <w:t>au covoiturage/navette gratuite organisée.</w:t>
      </w:r>
      <w:bookmarkStart w:id="4991" w:name="_Hlk39073553"/>
      <w:bookmarkEnd w:id="4990"/>
    </w:p>
    <w:p w14:paraId="1EA437B9" w14:textId="743D96D7" w:rsidR="00795C3E" w:rsidRPr="00EF06E6" w:rsidRDefault="00795C3E" w:rsidP="35BD9115">
      <w:pPr>
        <w:pStyle w:val="Titre3"/>
        <w:rPr>
          <w:caps/>
        </w:rPr>
      </w:pPr>
      <w:bookmarkStart w:id="4992" w:name="_Toc143779243"/>
      <w:bookmarkStart w:id="4993" w:name="_Toc208420153"/>
      <w:bookmarkStart w:id="4994" w:name="_Toc225504383"/>
      <w:bookmarkStart w:id="4995" w:name="_Toc225772472"/>
      <w:bookmarkStart w:id="4996" w:name="_Toc233626339"/>
      <w:r w:rsidRPr="00EF06E6">
        <w:t>040/368-02 : Chevaux d’agrément et les poneys (et haras)</w:t>
      </w:r>
      <w:bookmarkEnd w:id="4992"/>
      <w:bookmarkEnd w:id="4993"/>
      <w:bookmarkEnd w:id="4994"/>
      <w:bookmarkEnd w:id="4995"/>
      <w:bookmarkEnd w:id="4996"/>
    </w:p>
    <w:bookmarkEnd w:id="4991"/>
    <w:p w14:paraId="1CFA7B64" w14:textId="77777777" w:rsidR="00795C3E" w:rsidRPr="00F91BDD" w:rsidRDefault="00795C3E" w:rsidP="00795C3E">
      <w:pPr>
        <w:spacing w:before="120"/>
      </w:pPr>
      <w:r w:rsidRPr="00F91BDD">
        <w:t>Taxe directe.</w:t>
      </w:r>
    </w:p>
    <w:p w14:paraId="505C743C" w14:textId="21B78667" w:rsidR="00795C3E" w:rsidRPr="00F91BDD" w:rsidRDefault="00795C3E" w:rsidP="00795C3E">
      <w:pPr>
        <w:spacing w:before="120"/>
        <w:textAlignment w:val="baseline"/>
        <w:rPr>
          <w:rFonts w:cs="Calibri Light"/>
          <w:spacing w:val="-1"/>
        </w:rPr>
      </w:pPr>
      <w:r w:rsidRPr="00F91BDD">
        <w:rPr>
          <w:rFonts w:cs="Calibri Light"/>
        </w:rPr>
        <w:t xml:space="preserve">Les taux maxima recommandés de 110,00 </w:t>
      </w:r>
      <w:r w:rsidR="00D22E97" w:rsidRPr="00F91BDD">
        <w:rPr>
          <w:rFonts w:cs="Calibri Light"/>
        </w:rPr>
        <w:t>euros par</w:t>
      </w:r>
      <w:r w:rsidRPr="00F91BDD">
        <w:rPr>
          <w:rFonts w:cs="Calibri Light"/>
        </w:rPr>
        <w:t xml:space="preserve"> cheval et 30,00 </w:t>
      </w:r>
      <w:r w:rsidR="00D22E97" w:rsidRPr="00F91BDD">
        <w:rPr>
          <w:rFonts w:cs="Calibri Light"/>
        </w:rPr>
        <w:t>euros par</w:t>
      </w:r>
      <w:r w:rsidRPr="00F91BDD">
        <w:rPr>
          <w:rFonts w:cs="Calibri Light"/>
        </w:rPr>
        <w:t xml:space="preserve"> poney peuvent être uniformisés </w:t>
      </w:r>
      <w:r w:rsidRPr="00F91BDD">
        <w:rPr>
          <w:rFonts w:cs="Calibri Light"/>
          <w:spacing w:val="-1"/>
        </w:rPr>
        <w:t>à un taux identique pour les chevaux et les poneys.</w:t>
      </w:r>
    </w:p>
    <w:p w14:paraId="05E3F186" w14:textId="14A759C7" w:rsidR="00795C3E" w:rsidRPr="00F91BDD" w:rsidRDefault="00795C3E" w:rsidP="00795C3E">
      <w:pPr>
        <w:spacing w:before="120"/>
        <w:textAlignment w:val="baseline"/>
        <w:rPr>
          <w:rFonts w:cs="Calibri Light"/>
          <w:spacing w:val="-1"/>
        </w:rPr>
      </w:pPr>
      <w:r w:rsidRPr="00F91BDD">
        <w:rPr>
          <w:rFonts w:cs="Calibri Light"/>
          <w:spacing w:val="-1"/>
        </w:rPr>
        <w:t xml:space="preserve">Dans cette éventualité, le taux uniforme est de 80,00 </w:t>
      </w:r>
      <w:r w:rsidR="00D22E97" w:rsidRPr="00F91BDD">
        <w:rPr>
          <w:rFonts w:cs="Calibri Light"/>
          <w:spacing w:val="-1"/>
        </w:rPr>
        <w:t>euros.</w:t>
      </w:r>
    </w:p>
    <w:p w14:paraId="14B55F59" w14:textId="77777777" w:rsidR="00795C3E" w:rsidRPr="00F91BDD" w:rsidRDefault="00795C3E" w:rsidP="00795C3E">
      <w:pPr>
        <w:spacing w:before="120"/>
        <w:textAlignment w:val="baseline"/>
        <w:rPr>
          <w:rFonts w:cs="Calibri Light"/>
          <w:spacing w:val="-1"/>
        </w:rPr>
      </w:pPr>
      <w:r w:rsidRPr="00F91BDD">
        <w:rPr>
          <w:rFonts w:cs="Calibri Light"/>
          <w:spacing w:val="-1"/>
        </w:rPr>
        <w:t>Ces taux s’appliquent également aux haras.</w:t>
      </w:r>
    </w:p>
    <w:p w14:paraId="0D179F9E" w14:textId="5BC1F070" w:rsidR="00795C3E" w:rsidRPr="00F91BDD" w:rsidRDefault="00795C3E" w:rsidP="00795C3E">
      <w:pPr>
        <w:spacing w:before="120"/>
        <w:textAlignment w:val="baseline"/>
        <w:rPr>
          <w:rFonts w:cs="Calibri Light"/>
        </w:rPr>
      </w:pPr>
      <w:r w:rsidRPr="00F91BDD">
        <w:rPr>
          <w:rFonts w:cs="Calibri Light"/>
        </w:rPr>
        <w:t xml:space="preserve">Pour les exploitants de manèges et les forains, les maximas précités sont réduits de moitié, c’est-à-dire 55,00 </w:t>
      </w:r>
      <w:r w:rsidR="00D22E97" w:rsidRPr="00F91BDD">
        <w:rPr>
          <w:rFonts w:cs="Calibri Light"/>
        </w:rPr>
        <w:t>euros par</w:t>
      </w:r>
      <w:r w:rsidRPr="00F91BDD">
        <w:rPr>
          <w:rFonts w:cs="Calibri Light"/>
        </w:rPr>
        <w:t xml:space="preserve"> cheval, 15,00 </w:t>
      </w:r>
      <w:r w:rsidR="00D22E97" w:rsidRPr="00F91BDD">
        <w:rPr>
          <w:rFonts w:cs="Calibri Light"/>
        </w:rPr>
        <w:t>euros par</w:t>
      </w:r>
      <w:r w:rsidRPr="00F91BDD">
        <w:rPr>
          <w:rFonts w:cs="Calibri Light"/>
        </w:rPr>
        <w:t xml:space="preserve"> poney et 40,00 </w:t>
      </w:r>
      <w:r w:rsidR="00D22E97" w:rsidRPr="00F91BDD">
        <w:rPr>
          <w:rFonts w:cs="Calibri Light"/>
        </w:rPr>
        <w:t>euros pour</w:t>
      </w:r>
      <w:r w:rsidRPr="00F91BDD">
        <w:rPr>
          <w:rFonts w:cs="Calibri Light"/>
        </w:rPr>
        <w:t xml:space="preserve"> un taux uniforme.</w:t>
      </w:r>
    </w:p>
    <w:p w14:paraId="5E533269" w14:textId="77777777" w:rsidR="00795C3E" w:rsidRPr="00F91BDD" w:rsidRDefault="00795C3E" w:rsidP="00795C3E">
      <w:pPr>
        <w:spacing w:before="120"/>
        <w:textAlignment w:val="baseline"/>
        <w:rPr>
          <w:rFonts w:cs="Calibri Light"/>
        </w:rPr>
      </w:pPr>
      <w:r w:rsidRPr="00F91BDD">
        <w:rPr>
          <w:rFonts w:cs="Calibri Light"/>
        </w:rPr>
        <w:t>Par ailleurs, lors de la fixation du taux, il peut être tenu compte de l’intérêt régional visant à préserver la race particulière des chevaux de trait par l’octroi d’une prime.</w:t>
      </w:r>
    </w:p>
    <w:p w14:paraId="38C1C0F5" w14:textId="7C9BDBDD" w:rsidR="00795C3E" w:rsidRPr="002D578B" w:rsidRDefault="00795C3E" w:rsidP="35BD9115">
      <w:pPr>
        <w:pStyle w:val="Titre3"/>
        <w:rPr>
          <w:caps/>
        </w:rPr>
      </w:pPr>
      <w:bookmarkStart w:id="4997" w:name="_Toc512525548"/>
      <w:bookmarkStart w:id="4998" w:name="_Toc515896860"/>
      <w:bookmarkStart w:id="4999" w:name="_Toc143779244"/>
      <w:bookmarkStart w:id="5000" w:name="_Toc208420154"/>
      <w:bookmarkStart w:id="5001" w:name="_Toc225504384"/>
      <w:bookmarkStart w:id="5002" w:name="_Toc225772473"/>
      <w:bookmarkStart w:id="5003" w:name="_Toc233626340"/>
      <w:r w:rsidRPr="00EF06E6">
        <w:t>040/368-05 : Port d'armes</w:t>
      </w:r>
      <w:bookmarkEnd w:id="4997"/>
      <w:bookmarkEnd w:id="4998"/>
      <w:bookmarkEnd w:id="4999"/>
      <w:bookmarkEnd w:id="5000"/>
      <w:bookmarkEnd w:id="5001"/>
      <w:bookmarkEnd w:id="5002"/>
      <w:bookmarkEnd w:id="5003"/>
    </w:p>
    <w:p w14:paraId="7C145689" w14:textId="77777777" w:rsidR="00795C3E" w:rsidRPr="00F91BDD" w:rsidRDefault="00795C3E" w:rsidP="00795C3E">
      <w:pPr>
        <w:spacing w:before="120"/>
        <w:textAlignment w:val="baseline"/>
        <w:rPr>
          <w:rFonts w:cs="Calibri Light"/>
        </w:rPr>
      </w:pPr>
      <w:r w:rsidRPr="00F91BDD">
        <w:rPr>
          <w:rFonts w:cs="Calibri Light"/>
        </w:rPr>
        <w:t>En matière de fiscalité communale, il faut retenir que les communes se sont vu retirer toute compétence pour délivrer les autorisations en matière d'arme. C'est désormais le gouverneur qui est chargé de cette mission. En conséquence, les communes ne peuvent plus percevoir quoi que ce soit en cette matière.</w:t>
      </w:r>
    </w:p>
    <w:p w14:paraId="3348B650" w14:textId="77777777" w:rsidR="00795C3E" w:rsidRPr="009211BF" w:rsidRDefault="00795C3E" w:rsidP="00795C3E">
      <w:pPr>
        <w:spacing w:before="120"/>
        <w:textAlignment w:val="baseline"/>
        <w:rPr>
          <w:rStyle w:val="Titre3Car"/>
          <w:rFonts w:cs="Calibri Light"/>
          <w:b w:val="0"/>
          <w:szCs w:val="24"/>
          <w:lang w:eastAsia="fr-FR"/>
        </w:rPr>
      </w:pPr>
      <w:r w:rsidRPr="00F91BDD">
        <w:rPr>
          <w:rFonts w:cs="Calibri Light"/>
        </w:rPr>
        <w:t>Cependant, la loi prévoyant que la province doit ristourner une partie de la redevance qu'elle perçoit à la commune du domicile du titulaire du permis, cet article 040/368-05 continuera d'être utilisé pour enregistrer les sommes ainsi ristournées.</w:t>
      </w:r>
      <w:bookmarkStart w:id="5004" w:name="_Toc512525549"/>
      <w:bookmarkStart w:id="5005" w:name="_Toc515896861"/>
    </w:p>
    <w:p w14:paraId="0786EE50" w14:textId="52FB17A3" w:rsidR="00795C3E" w:rsidRPr="009211BF" w:rsidRDefault="00795C3E" w:rsidP="35BD9115">
      <w:pPr>
        <w:pStyle w:val="Titre3"/>
        <w:rPr>
          <w:rStyle w:val="Titre3Car"/>
          <w:b/>
          <w:i/>
          <w:caps/>
          <w:sz w:val="26"/>
          <w:szCs w:val="26"/>
          <w:u w:val="none"/>
          <w:lang w:eastAsia="fr-FR"/>
        </w:rPr>
      </w:pPr>
      <w:bookmarkStart w:id="5006" w:name="_Toc208302374"/>
      <w:bookmarkStart w:id="5007" w:name="_Toc208321590"/>
      <w:bookmarkStart w:id="5008" w:name="_Toc208420155"/>
      <w:bookmarkStart w:id="5009" w:name="_Toc225504385"/>
      <w:bookmarkStart w:id="5010" w:name="_Toc225772474"/>
      <w:bookmarkStart w:id="5011" w:name="_Toc233626341"/>
      <w:r w:rsidRPr="00EF06E6">
        <w:t>040/368-08 Redevance pour enlèvement de véhicule de cyclopartage gênant : trottinette électrique, vélo électrique et les cyclomoteurs</w:t>
      </w:r>
      <w:bookmarkEnd w:id="5006"/>
      <w:bookmarkEnd w:id="5007"/>
      <w:bookmarkEnd w:id="5008"/>
      <w:bookmarkEnd w:id="5009"/>
      <w:bookmarkEnd w:id="5010"/>
      <w:bookmarkEnd w:id="5011"/>
      <w:r w:rsidRPr="00EF06E6">
        <w:t xml:space="preserve"> </w:t>
      </w:r>
    </w:p>
    <w:p w14:paraId="5E711EF8" w14:textId="77777777" w:rsidR="00795C3E" w:rsidRPr="00F46AC7" w:rsidRDefault="00795C3E" w:rsidP="00795C3E">
      <w:pPr>
        <w:spacing w:before="120"/>
        <w:textAlignment w:val="baseline"/>
        <w:rPr>
          <w:rFonts w:cs="Calibri Light"/>
          <w:spacing w:val="3"/>
        </w:rPr>
      </w:pPr>
      <w:r w:rsidRPr="00F46AC7">
        <w:rPr>
          <w:rFonts w:cs="Calibri Light"/>
          <w:spacing w:val="3"/>
        </w:rPr>
        <w:t>Redevance forfaitaire de 75 € par enlèvement, majorée de 5 € par jour de garde, applicable aux véhicules cycloportés et objets mobiliers entravant la voie publique.</w:t>
      </w:r>
    </w:p>
    <w:p w14:paraId="34BDFADE" w14:textId="77777777" w:rsidR="00795C3E" w:rsidRPr="00F46AC7" w:rsidRDefault="00795C3E" w:rsidP="00795C3E">
      <w:pPr>
        <w:spacing w:before="120"/>
        <w:textAlignment w:val="baseline"/>
        <w:rPr>
          <w:rFonts w:cs="Calibri Light"/>
          <w:spacing w:val="3"/>
        </w:rPr>
      </w:pPr>
      <w:bookmarkStart w:id="5012" w:name="_Toc208302375"/>
      <w:bookmarkStart w:id="5013" w:name="_Toc208321591"/>
      <w:r w:rsidRPr="00F46AC7">
        <w:rPr>
          <w:rFonts w:cs="Calibri Light"/>
          <w:spacing w:val="3"/>
        </w:rPr>
        <w:t>La mise à disposition croissante de trottinettes électriques et de vélos en libre-service sur le domaine public, bien qu’offrant une solution de mobilité souple et durable, engendre également des nuisances persistantes, notamment en matière de stationnement anarchique. Les utilisateurs tendent en effet à abandonner ces véhicules à l’endroit de leur choix, y compris sur des emplacements inappropriés, entravant parfois la circulation des piétons, des personnes à mobilité réduite ou l’accès aux services.</w:t>
      </w:r>
      <w:bookmarkEnd w:id="5012"/>
      <w:bookmarkEnd w:id="5013"/>
    </w:p>
    <w:p w14:paraId="774DEA44" w14:textId="77777777" w:rsidR="00795C3E" w:rsidRPr="00F46AC7" w:rsidRDefault="00795C3E" w:rsidP="00795C3E">
      <w:pPr>
        <w:spacing w:before="120"/>
        <w:textAlignment w:val="baseline"/>
        <w:rPr>
          <w:rFonts w:cs="Calibri Light"/>
          <w:spacing w:val="3"/>
        </w:rPr>
      </w:pPr>
      <w:bookmarkStart w:id="5014" w:name="_Toc208302376"/>
      <w:bookmarkStart w:id="5015" w:name="_Toc208321592"/>
      <w:r w:rsidRPr="00F46AC7">
        <w:rPr>
          <w:rFonts w:cs="Calibri Light"/>
          <w:spacing w:val="3"/>
        </w:rPr>
        <w:lastRenderedPageBreak/>
        <w:t>Afin d’encadrer cette activité, le décret wallon du 8 juillet 2021 relatif au cyclopartage en flotte libre, modifiant les articles 4 et 12 du décret du 1er avril 2004 sur la mobilité et l’accessibilité locales, offre aux communes un cadre juridique clair pour instituer une redevance à charge des opérateurs de cyclopartage. Les articles 7 et 8 de ce décret prévoient :</w:t>
      </w:r>
      <w:bookmarkEnd w:id="5014"/>
      <w:bookmarkEnd w:id="5015"/>
    </w:p>
    <w:p w14:paraId="032127D2" w14:textId="77777777" w:rsidR="00795C3E" w:rsidRPr="00F46AC7" w:rsidRDefault="00795C3E" w:rsidP="00795C3E">
      <w:pPr>
        <w:spacing w:before="120"/>
        <w:textAlignment w:val="baseline"/>
        <w:rPr>
          <w:rFonts w:cs="Calibri Light"/>
          <w:spacing w:val="3"/>
        </w:rPr>
      </w:pPr>
      <w:bookmarkStart w:id="5016" w:name="_Toc208302377"/>
      <w:bookmarkStart w:id="5017" w:name="_Toc208321593"/>
      <w:r w:rsidRPr="00F46AC7">
        <w:rPr>
          <w:rFonts w:cs="Calibri Light"/>
          <w:spacing w:val="3"/>
        </w:rPr>
        <w:t>Article 7, §1er : le conseil communal peut imposer, pour chaque véhicule utilisé dans le cadre d’un service de cyclopartage en flotte libre, une redevance à charge de l’opérateur, au bénéfice de la commune ;</w:t>
      </w:r>
      <w:bookmarkEnd w:id="5016"/>
      <w:bookmarkEnd w:id="5017"/>
    </w:p>
    <w:p w14:paraId="2A01532B" w14:textId="77777777" w:rsidR="00795C3E" w:rsidRPr="00F46AC7" w:rsidRDefault="00795C3E" w:rsidP="00795C3E">
      <w:pPr>
        <w:spacing w:before="120"/>
        <w:textAlignment w:val="baseline"/>
        <w:rPr>
          <w:rFonts w:cs="Calibri Light"/>
          <w:spacing w:val="3"/>
        </w:rPr>
      </w:pPr>
      <w:bookmarkStart w:id="5018" w:name="_Toc208302378"/>
      <w:bookmarkStart w:id="5019" w:name="_Toc208321594"/>
      <w:r w:rsidRPr="00F46AC7">
        <w:rPr>
          <w:rFonts w:cs="Calibri Light"/>
          <w:spacing w:val="3"/>
        </w:rPr>
        <w:t>Article 7, §2 : le montant de la redevance est librement fixé par le conseil communal, avec la possibilité de distinguer les catégories de véhicules ;</w:t>
      </w:r>
      <w:bookmarkEnd w:id="5018"/>
      <w:bookmarkEnd w:id="5019"/>
    </w:p>
    <w:p w14:paraId="0FE07517" w14:textId="77777777" w:rsidR="00795C3E" w:rsidRPr="00F46AC7" w:rsidRDefault="00795C3E" w:rsidP="00795C3E">
      <w:pPr>
        <w:spacing w:before="120"/>
        <w:textAlignment w:val="baseline"/>
        <w:rPr>
          <w:rFonts w:cs="Calibri Light"/>
          <w:spacing w:val="3"/>
        </w:rPr>
      </w:pPr>
      <w:bookmarkStart w:id="5020" w:name="_Toc208302379"/>
      <w:bookmarkStart w:id="5021" w:name="_Toc208321595"/>
      <w:r w:rsidRPr="00F46AC7">
        <w:rPr>
          <w:rFonts w:cs="Calibri Light"/>
          <w:spacing w:val="3"/>
        </w:rPr>
        <w:t>Article 8 : en cas d’enlèvement ou de saisie de véhicules entravant la circulation ou en infraction, une redevance complémentaire peut également être perçue par la commune, par véhicule concerné.</w:t>
      </w:r>
      <w:bookmarkEnd w:id="5020"/>
      <w:bookmarkEnd w:id="5021"/>
    </w:p>
    <w:p w14:paraId="30F89D04" w14:textId="77777777" w:rsidR="00795C3E" w:rsidRPr="00F46AC7" w:rsidRDefault="00795C3E" w:rsidP="00795C3E">
      <w:pPr>
        <w:spacing w:before="120"/>
        <w:textAlignment w:val="baseline"/>
        <w:rPr>
          <w:rFonts w:cs="Calibri Light"/>
          <w:spacing w:val="3"/>
        </w:rPr>
      </w:pPr>
      <w:bookmarkStart w:id="5022" w:name="_Toc208302380"/>
      <w:bookmarkStart w:id="5023" w:name="_Toc208321596"/>
      <w:r w:rsidRPr="00F46AC7">
        <w:rPr>
          <w:rFonts w:cs="Calibri Light"/>
          <w:spacing w:val="3"/>
        </w:rPr>
        <w:t>Ces dispositions visent à responsabiliser les opérateurs tout en permettant aux communes de financer les infrastructures nécessaires à une intégration harmonieuse de ces services (zones de stationnement, signalisation, gestion logistique, etc.).</w:t>
      </w:r>
      <w:bookmarkEnd w:id="5022"/>
      <w:bookmarkEnd w:id="5023"/>
    </w:p>
    <w:p w14:paraId="4CAC7BFE" w14:textId="5408FCE9" w:rsidR="00795C3E" w:rsidRPr="001C6FB9" w:rsidRDefault="00795C3E" w:rsidP="35BD9115">
      <w:pPr>
        <w:pStyle w:val="Titre3"/>
        <w:rPr>
          <w:caps/>
        </w:rPr>
      </w:pPr>
      <w:bookmarkStart w:id="5024" w:name="_Toc143779245"/>
      <w:bookmarkStart w:id="5025" w:name="_Toc208302381"/>
      <w:bookmarkStart w:id="5026" w:name="_Toc208321597"/>
      <w:bookmarkStart w:id="5027" w:name="_Toc208420156"/>
      <w:bookmarkStart w:id="5028" w:name="_Toc225504386"/>
      <w:bookmarkStart w:id="5029" w:name="_Toc225772475"/>
      <w:bookmarkStart w:id="5030" w:name="_Toc233626342"/>
      <w:r w:rsidRPr="001C6FB9">
        <w:t>040/368-12 : Terrains de tennis privés</w:t>
      </w:r>
      <w:bookmarkEnd w:id="5004"/>
      <w:bookmarkEnd w:id="5005"/>
      <w:bookmarkEnd w:id="5024"/>
      <w:bookmarkEnd w:id="5025"/>
      <w:bookmarkEnd w:id="5026"/>
      <w:bookmarkEnd w:id="5027"/>
      <w:bookmarkEnd w:id="5028"/>
      <w:bookmarkEnd w:id="5029"/>
      <w:bookmarkEnd w:id="5030"/>
      <w:r w:rsidRPr="001C6FB9">
        <w:t xml:space="preserve"> </w:t>
      </w:r>
    </w:p>
    <w:p w14:paraId="101D9B70" w14:textId="77777777" w:rsidR="00795C3E" w:rsidRPr="00F91BDD" w:rsidRDefault="00795C3E" w:rsidP="00795C3E">
      <w:pPr>
        <w:spacing w:before="120"/>
        <w:textAlignment w:val="baseline"/>
        <w:rPr>
          <w:rFonts w:cs="Calibri Light"/>
        </w:rPr>
      </w:pPr>
      <w:r w:rsidRPr="00F91BDD">
        <w:rPr>
          <w:rFonts w:cs="Calibri Light"/>
        </w:rPr>
        <w:t xml:space="preserve">Taxe directe. </w:t>
      </w:r>
    </w:p>
    <w:p w14:paraId="5AE0DB32" w14:textId="27ECEE1C" w:rsidR="00795C3E" w:rsidRPr="009211BF" w:rsidRDefault="00795C3E" w:rsidP="00795C3E">
      <w:pPr>
        <w:spacing w:before="120"/>
        <w:textAlignment w:val="baseline"/>
        <w:rPr>
          <w:rFonts w:cs="Calibri Light"/>
        </w:rPr>
      </w:pPr>
      <w:r w:rsidRPr="00F91BDD">
        <w:rPr>
          <w:rFonts w:cs="Calibri Light"/>
        </w:rPr>
        <w:t xml:space="preserve">Taux maximum recommandé : 900,00 </w:t>
      </w:r>
      <w:r w:rsidR="00D22E97" w:rsidRPr="00F91BDD">
        <w:rPr>
          <w:rFonts w:cs="Calibri Light"/>
        </w:rPr>
        <w:t>euros /</w:t>
      </w:r>
      <w:r w:rsidRPr="00F91BDD">
        <w:rPr>
          <w:rFonts w:cs="Calibri Light"/>
        </w:rPr>
        <w:t>an.</w:t>
      </w:r>
    </w:p>
    <w:p w14:paraId="7F460040" w14:textId="2955E171" w:rsidR="00795C3E" w:rsidRPr="001C6FB9" w:rsidRDefault="00795C3E" w:rsidP="35BD9115">
      <w:pPr>
        <w:pStyle w:val="Titre3"/>
        <w:rPr>
          <w:caps/>
        </w:rPr>
      </w:pPr>
      <w:bookmarkStart w:id="5031" w:name="_Toc143779246"/>
      <w:bookmarkStart w:id="5032" w:name="_Toc208420157"/>
      <w:bookmarkStart w:id="5033" w:name="_Toc225504387"/>
      <w:bookmarkStart w:id="5034" w:name="_Toc225772476"/>
      <w:bookmarkStart w:id="5035" w:name="_Toc233626343"/>
      <w:r w:rsidRPr="001C6FB9">
        <w:t>040/368-15 : Golfs</w:t>
      </w:r>
      <w:bookmarkEnd w:id="5031"/>
      <w:bookmarkEnd w:id="5032"/>
      <w:bookmarkEnd w:id="5033"/>
      <w:bookmarkEnd w:id="5034"/>
      <w:bookmarkEnd w:id="5035"/>
      <w:r w:rsidRPr="001C6FB9">
        <w:t xml:space="preserve"> </w:t>
      </w:r>
    </w:p>
    <w:p w14:paraId="3B849774" w14:textId="77777777" w:rsidR="00795C3E" w:rsidRPr="00F91BDD" w:rsidRDefault="00795C3E" w:rsidP="00795C3E">
      <w:pPr>
        <w:spacing w:before="120"/>
      </w:pPr>
      <w:r w:rsidRPr="00F91BDD">
        <w:t>Taxe directe</w:t>
      </w:r>
      <w:r>
        <w:t xml:space="preserve">. </w:t>
      </w:r>
    </w:p>
    <w:p w14:paraId="68B30EE3" w14:textId="4A7F2FE8" w:rsidR="00795C3E" w:rsidRDefault="00795C3E" w:rsidP="00795C3E">
      <w:pPr>
        <w:spacing w:before="120"/>
        <w:textAlignment w:val="baseline"/>
        <w:rPr>
          <w:rFonts w:cs="Calibri Light"/>
        </w:rPr>
      </w:pPr>
      <w:r w:rsidRPr="00F91BDD">
        <w:rPr>
          <w:rFonts w:cs="Calibri Light"/>
        </w:rPr>
        <w:t xml:space="preserve">Taux maximum recommandé : 11.000,00 </w:t>
      </w:r>
      <w:r w:rsidR="00D22E97" w:rsidRPr="00F91BDD">
        <w:rPr>
          <w:rFonts w:cs="Calibri Light"/>
        </w:rPr>
        <w:t>euros par</w:t>
      </w:r>
      <w:r w:rsidRPr="00F91BDD">
        <w:rPr>
          <w:rFonts w:cs="Calibri Light"/>
        </w:rPr>
        <w:t xml:space="preserve"> an et par terrain de golf. Ce taux peut être modulé selon le nombre de trous, la superficie consacrée à la pratique de ce sport et le droit d'entrée.</w:t>
      </w:r>
    </w:p>
    <w:p w14:paraId="384EFAD3" w14:textId="77777777" w:rsidR="00795C3E" w:rsidRPr="00F91BDD" w:rsidRDefault="00795C3E" w:rsidP="00795C3E">
      <w:pPr>
        <w:spacing w:before="120"/>
        <w:textAlignment w:val="baseline"/>
        <w:rPr>
          <w:rFonts w:cs="Calibri Light"/>
        </w:rPr>
      </w:pPr>
    </w:p>
    <w:p w14:paraId="48F93AC2" w14:textId="0FD9C91E" w:rsidR="00795C3E" w:rsidRPr="00B77537" w:rsidRDefault="00795C3E" w:rsidP="00A60D5D">
      <w:pPr>
        <w:pStyle w:val="Titre2"/>
        <w:rPr>
          <w:caps/>
        </w:rPr>
      </w:pPr>
      <w:bookmarkStart w:id="5036" w:name="_Toc143779247"/>
      <w:bookmarkStart w:id="5037" w:name="_Toc208420158"/>
      <w:bookmarkStart w:id="5038" w:name="_Toc225504388"/>
      <w:bookmarkStart w:id="5039" w:name="_Toc225772477"/>
      <w:bookmarkStart w:id="5040" w:name="_Toc233626344"/>
      <w:r w:rsidRPr="00B77537">
        <w:t>Taxes et redevances spécialement motivées par une situation particulière rencontrée par la commune.</w:t>
      </w:r>
      <w:bookmarkEnd w:id="5036"/>
      <w:bookmarkEnd w:id="5037"/>
      <w:bookmarkEnd w:id="5038"/>
      <w:bookmarkEnd w:id="5039"/>
      <w:bookmarkEnd w:id="5040"/>
    </w:p>
    <w:p w14:paraId="1C4FF09B" w14:textId="77777777" w:rsidR="00795C3E" w:rsidRPr="00F91BDD" w:rsidRDefault="00795C3E" w:rsidP="00795C3E">
      <w:pPr>
        <w:spacing w:before="120"/>
        <w:textAlignment w:val="baseline"/>
      </w:pPr>
      <w:r w:rsidRPr="00F91BDD">
        <w:t>Ces taxes et redevances doivent être liées notamment à des nuisances, sonores, environnementales/écologiques, économiques, urbanistiques, à l’encontre du bien-être animal, du respect la vie privée, …</w:t>
      </w:r>
    </w:p>
    <w:p w14:paraId="41CE32C4" w14:textId="77777777" w:rsidR="00795C3E" w:rsidRPr="00F91BDD" w:rsidRDefault="00795C3E" w:rsidP="00795C3E">
      <w:pPr>
        <w:spacing w:before="120"/>
        <w:textAlignment w:val="baseline"/>
      </w:pPr>
      <w:r w:rsidRPr="00F91BDD">
        <w:t>Il s’agit dans les cas visés de situations particulières et spécifiques à la commune pour lesquelles il ne peut être renvoyé qu’à l’appréciation de la motivation et la justification reprise dans le préambule du règlement.</w:t>
      </w:r>
    </w:p>
    <w:p w14:paraId="1E7E557C" w14:textId="77777777" w:rsidR="00795C3E" w:rsidRPr="00F91BDD" w:rsidRDefault="00795C3E" w:rsidP="00795C3E">
      <w:pPr>
        <w:spacing w:before="120"/>
        <w:textAlignment w:val="baseline"/>
      </w:pPr>
      <w:r w:rsidRPr="00F91BDD">
        <w:lastRenderedPageBreak/>
        <w:t xml:space="preserve">Il est rappelé qu’aucune disposition légale ou réglementaire n'interdit à un Conseil communal, lorsqu'il établit une taxe justifiée par l'état de ses finances, de la faire porter par priorité sur des activités qu'il estime plus critiquables que d'autres ou dont il estime le développement nuisible. </w:t>
      </w:r>
    </w:p>
    <w:p w14:paraId="6FA22613" w14:textId="77777777" w:rsidR="00795C3E" w:rsidRPr="00F91BDD" w:rsidRDefault="00795C3E" w:rsidP="00795C3E">
      <w:pPr>
        <w:spacing w:before="120"/>
        <w:textAlignment w:val="baseline"/>
      </w:pPr>
      <w:r w:rsidRPr="00F91BDD">
        <w:t>Il s'ensuit que si l'objectif principal de la taxe est principalement d'ordre budgétaire, rien ne s'oppose par ailleurs à ce que le Conseil communal poursuive des objectifs accessoires, non financiers, d'incitation ou de dissuasion. Cet objectif accessoire de dissuasion ne doit pas nécessairement ressortir des dispositions du règlement-taxe.</w:t>
      </w:r>
    </w:p>
    <w:p w14:paraId="3A9B914D" w14:textId="77777777" w:rsidR="00795C3E" w:rsidRDefault="00795C3E" w:rsidP="00795C3E">
      <w:pPr>
        <w:spacing w:before="120"/>
        <w:textAlignment w:val="baseline"/>
      </w:pPr>
      <w:r w:rsidRPr="00F91BDD">
        <w:t>Pour de tels règlements-taxes ou redevances, il est demandé à la commune d’adresser préalablement au Ministre de tutelle un dossier circonstancié justifiant spécifiquement l’opportunité d’établir cette taxe et de ne pas l’adopter avant d’avoir reçu l’approbation du Gouvernement.</w:t>
      </w:r>
    </w:p>
    <w:p w14:paraId="7D220E1C" w14:textId="77777777" w:rsidR="00795C3E" w:rsidRPr="00F91BDD" w:rsidRDefault="00795C3E" w:rsidP="00795C3E">
      <w:pPr>
        <w:spacing w:before="120"/>
        <w:textAlignment w:val="baseline"/>
      </w:pPr>
    </w:p>
    <w:p w14:paraId="1E8451E4" w14:textId="05DFA7B1" w:rsidR="00795C3E" w:rsidRPr="00AC5591" w:rsidRDefault="00795C3E" w:rsidP="00AC5591">
      <w:pPr>
        <w:pStyle w:val="Titre3"/>
        <w:numPr>
          <w:ilvl w:val="0"/>
          <w:numId w:val="0"/>
        </w:numPr>
        <w:ind w:left="786" w:hanging="360"/>
        <w:rPr>
          <w:caps/>
        </w:rPr>
      </w:pPr>
      <w:bookmarkStart w:id="5041" w:name="_Toc40185627"/>
      <w:bookmarkStart w:id="5042" w:name="_Toc40186362"/>
      <w:bookmarkStart w:id="5043" w:name="_Toc40185628"/>
      <w:bookmarkStart w:id="5044" w:name="_Toc40186363"/>
      <w:bookmarkStart w:id="5045" w:name="_Toc40185629"/>
      <w:bookmarkStart w:id="5046" w:name="_Toc40186364"/>
      <w:bookmarkStart w:id="5047" w:name="_Toc40185630"/>
      <w:bookmarkStart w:id="5048" w:name="_Toc40186365"/>
      <w:bookmarkStart w:id="5049" w:name="_Toc40185631"/>
      <w:bookmarkStart w:id="5050" w:name="_Toc40186366"/>
      <w:bookmarkStart w:id="5051" w:name="_Toc40185632"/>
      <w:bookmarkStart w:id="5052" w:name="_Toc40186367"/>
      <w:bookmarkStart w:id="5053" w:name="_Toc40185633"/>
      <w:bookmarkStart w:id="5054" w:name="_Toc40186368"/>
      <w:bookmarkStart w:id="5055" w:name="_Toc40185634"/>
      <w:bookmarkStart w:id="5056" w:name="_Toc40186369"/>
      <w:bookmarkStart w:id="5057" w:name="_Toc40185635"/>
      <w:bookmarkStart w:id="5058" w:name="_Toc40186370"/>
      <w:bookmarkStart w:id="5059" w:name="_Toc40185636"/>
      <w:bookmarkStart w:id="5060" w:name="_Toc40186371"/>
      <w:bookmarkStart w:id="5061" w:name="_Toc40185637"/>
      <w:bookmarkStart w:id="5062" w:name="_Toc40186372"/>
      <w:bookmarkStart w:id="5063" w:name="_Toc40185638"/>
      <w:bookmarkStart w:id="5064" w:name="_Toc40186373"/>
      <w:bookmarkStart w:id="5065" w:name="_Toc40185639"/>
      <w:bookmarkStart w:id="5066" w:name="_Toc40186374"/>
      <w:bookmarkStart w:id="5067" w:name="_Toc40185640"/>
      <w:bookmarkStart w:id="5068" w:name="_Toc40186375"/>
      <w:bookmarkStart w:id="5069" w:name="_Toc40185641"/>
      <w:bookmarkStart w:id="5070" w:name="_Toc40186376"/>
      <w:bookmarkStart w:id="5071" w:name="_Toc40185642"/>
      <w:bookmarkStart w:id="5072" w:name="_Toc40186377"/>
      <w:bookmarkStart w:id="5073" w:name="_Toc40185643"/>
      <w:bookmarkStart w:id="5074" w:name="_Toc40186378"/>
      <w:bookmarkStart w:id="5075" w:name="_Toc40185644"/>
      <w:bookmarkStart w:id="5076" w:name="_Toc40186379"/>
      <w:bookmarkStart w:id="5077" w:name="_Toc40185645"/>
      <w:bookmarkStart w:id="5078" w:name="_Toc40186380"/>
      <w:bookmarkStart w:id="5079" w:name="_Toc40185646"/>
      <w:bookmarkStart w:id="5080" w:name="_Toc40186381"/>
      <w:bookmarkStart w:id="5081" w:name="_Toc40185647"/>
      <w:bookmarkStart w:id="5082" w:name="_Toc40186382"/>
      <w:bookmarkStart w:id="5083" w:name="_Toc40185648"/>
      <w:bookmarkStart w:id="5084" w:name="_Toc40186383"/>
      <w:bookmarkStart w:id="5085" w:name="_Toc40185649"/>
      <w:bookmarkStart w:id="5086" w:name="_Toc40186384"/>
      <w:bookmarkStart w:id="5087" w:name="_Toc40185650"/>
      <w:bookmarkStart w:id="5088" w:name="_Toc40186385"/>
      <w:bookmarkStart w:id="5089" w:name="_Toc40185651"/>
      <w:bookmarkStart w:id="5090" w:name="_Toc40186386"/>
      <w:bookmarkStart w:id="5091" w:name="_Toc40185652"/>
      <w:bookmarkStart w:id="5092" w:name="_Toc40186387"/>
      <w:bookmarkStart w:id="5093" w:name="_Toc40185653"/>
      <w:bookmarkStart w:id="5094" w:name="_Toc40186388"/>
      <w:bookmarkStart w:id="5095" w:name="_Toc516245193"/>
      <w:bookmarkStart w:id="5096" w:name="_Toc516473764"/>
      <w:bookmarkStart w:id="5097" w:name="_Toc516474074"/>
      <w:bookmarkStart w:id="5098" w:name="_Toc516474382"/>
      <w:bookmarkStart w:id="5099" w:name="_Toc516474690"/>
      <w:bookmarkStart w:id="5100" w:name="_Toc516475022"/>
      <w:bookmarkStart w:id="5101" w:name="_Toc516479118"/>
      <w:bookmarkStart w:id="5102" w:name="_Toc516479521"/>
      <w:bookmarkStart w:id="5103" w:name="_Toc516479838"/>
      <w:bookmarkStart w:id="5104" w:name="_Toc516480160"/>
      <w:bookmarkStart w:id="5105" w:name="_Toc516480474"/>
      <w:bookmarkStart w:id="5106" w:name="_Toc516480788"/>
      <w:bookmarkStart w:id="5107" w:name="_Toc516481102"/>
      <w:bookmarkStart w:id="5108" w:name="_Toc516481416"/>
      <w:bookmarkStart w:id="5109" w:name="_Toc516481730"/>
      <w:bookmarkStart w:id="5110" w:name="_Toc516482044"/>
      <w:bookmarkStart w:id="5111" w:name="_Toc516482358"/>
      <w:bookmarkStart w:id="5112" w:name="_Toc516482672"/>
      <w:bookmarkStart w:id="5113" w:name="_Toc516740026"/>
      <w:bookmarkStart w:id="5114" w:name="_Toc516751935"/>
      <w:bookmarkStart w:id="5115" w:name="_Toc516826023"/>
      <w:bookmarkStart w:id="5116" w:name="_Toc516826581"/>
      <w:bookmarkStart w:id="5117" w:name="_Toc516837901"/>
      <w:bookmarkStart w:id="5118" w:name="_Toc516838460"/>
      <w:bookmarkStart w:id="5119" w:name="_Toc516839019"/>
      <w:bookmarkStart w:id="5120" w:name="_Toc516839579"/>
      <w:bookmarkStart w:id="5121" w:name="_Toc517173675"/>
      <w:bookmarkStart w:id="5122" w:name="_Toc517175349"/>
      <w:bookmarkStart w:id="5123" w:name="_Toc517175936"/>
      <w:bookmarkStart w:id="5124" w:name="_Toc517176524"/>
      <w:bookmarkStart w:id="5125" w:name="_Toc517337849"/>
      <w:bookmarkStart w:id="5126" w:name="_Toc517360645"/>
      <w:bookmarkStart w:id="5127" w:name="_Toc516229791"/>
      <w:bookmarkStart w:id="5128" w:name="_Toc516230086"/>
      <w:bookmarkStart w:id="5129" w:name="_Toc516230381"/>
      <w:bookmarkStart w:id="5130" w:name="_Toc516230675"/>
      <w:bookmarkStart w:id="5131" w:name="_Toc516230969"/>
      <w:bookmarkStart w:id="5132" w:name="_Toc516231264"/>
      <w:bookmarkStart w:id="5133" w:name="_Toc516231559"/>
      <w:bookmarkStart w:id="5134" w:name="_Toc516231856"/>
      <w:bookmarkStart w:id="5135" w:name="_Toc516242951"/>
      <w:bookmarkStart w:id="5136" w:name="_Toc516243255"/>
      <w:bookmarkStart w:id="5137" w:name="_Toc516245194"/>
      <w:bookmarkStart w:id="5138" w:name="_Toc516473765"/>
      <w:bookmarkStart w:id="5139" w:name="_Toc516474075"/>
      <w:bookmarkStart w:id="5140" w:name="_Toc516474383"/>
      <w:bookmarkStart w:id="5141" w:name="_Toc516474691"/>
      <w:bookmarkStart w:id="5142" w:name="_Toc516475023"/>
      <w:bookmarkStart w:id="5143" w:name="_Toc516479119"/>
      <w:bookmarkStart w:id="5144" w:name="_Toc516479522"/>
      <w:bookmarkStart w:id="5145" w:name="_Toc516479839"/>
      <w:bookmarkStart w:id="5146" w:name="_Toc516480161"/>
      <w:bookmarkStart w:id="5147" w:name="_Toc516480475"/>
      <w:bookmarkStart w:id="5148" w:name="_Toc516480789"/>
      <w:bookmarkStart w:id="5149" w:name="_Toc516481103"/>
      <w:bookmarkStart w:id="5150" w:name="_Toc516481417"/>
      <w:bookmarkStart w:id="5151" w:name="_Toc516481731"/>
      <w:bookmarkStart w:id="5152" w:name="_Toc516482045"/>
      <w:bookmarkStart w:id="5153" w:name="_Toc516482359"/>
      <w:bookmarkStart w:id="5154" w:name="_Toc516482673"/>
      <w:bookmarkStart w:id="5155" w:name="_Toc516740027"/>
      <w:bookmarkStart w:id="5156" w:name="_Toc516751936"/>
      <w:bookmarkStart w:id="5157" w:name="_Toc516826024"/>
      <w:bookmarkStart w:id="5158" w:name="_Toc516826582"/>
      <w:bookmarkStart w:id="5159" w:name="_Toc516837902"/>
      <w:bookmarkStart w:id="5160" w:name="_Toc516838461"/>
      <w:bookmarkStart w:id="5161" w:name="_Toc516839020"/>
      <w:bookmarkStart w:id="5162" w:name="_Toc516839580"/>
      <w:bookmarkStart w:id="5163" w:name="_Toc517173676"/>
      <w:bookmarkStart w:id="5164" w:name="_Toc517175350"/>
      <w:bookmarkStart w:id="5165" w:name="_Toc517175937"/>
      <w:bookmarkStart w:id="5166" w:name="_Toc517176525"/>
      <w:bookmarkStart w:id="5167" w:name="_Toc517337850"/>
      <w:bookmarkStart w:id="5168" w:name="_Toc517360646"/>
      <w:bookmarkStart w:id="5169" w:name="_Hlk73626725"/>
      <w:bookmarkStart w:id="5170" w:name="_Toc512523786"/>
      <w:bookmarkStart w:id="5171" w:name="_Toc512525551"/>
      <w:bookmarkStart w:id="5172" w:name="_Toc515896863"/>
      <w:bookmarkStart w:id="5173" w:name="_Toc143779248"/>
      <w:bookmarkStart w:id="5174" w:name="_Toc208420159"/>
      <w:bookmarkStart w:id="5175" w:name="_Toc225504389"/>
      <w:bookmarkStart w:id="5176" w:name="_Toc225772478"/>
      <w:bookmarkStart w:id="5177" w:name="_Toc233626345"/>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r w:rsidRPr="00B77537">
        <w:t>Centimes additionnels</w:t>
      </w:r>
      <w:bookmarkEnd w:id="5169"/>
      <w:r w:rsidRPr="00B77537">
        <w:t>, décime additionnel et impôts complémentaires</w:t>
      </w:r>
      <w:bookmarkEnd w:id="5170"/>
      <w:bookmarkEnd w:id="5171"/>
      <w:bookmarkEnd w:id="5172"/>
      <w:bookmarkEnd w:id="5173"/>
      <w:bookmarkEnd w:id="5174"/>
      <w:bookmarkEnd w:id="5175"/>
      <w:bookmarkEnd w:id="5176"/>
      <w:bookmarkEnd w:id="5177"/>
    </w:p>
    <w:p w14:paraId="55466C45" w14:textId="01889128" w:rsidR="00795C3E" w:rsidRPr="00622DF8" w:rsidRDefault="00795C3E">
      <w:pPr>
        <w:pStyle w:val="Titre4"/>
        <w:numPr>
          <w:ilvl w:val="0"/>
          <w:numId w:val="90"/>
        </w:numPr>
        <w:rPr>
          <w:caps/>
        </w:rPr>
      </w:pPr>
      <w:bookmarkStart w:id="5178" w:name="_Toc516245196"/>
      <w:bookmarkStart w:id="5179" w:name="_Toc516473767"/>
      <w:bookmarkStart w:id="5180" w:name="_Toc516474077"/>
      <w:bookmarkStart w:id="5181" w:name="_Toc516474385"/>
      <w:bookmarkStart w:id="5182" w:name="_Toc516474693"/>
      <w:bookmarkStart w:id="5183" w:name="_Toc516475025"/>
      <w:bookmarkStart w:id="5184" w:name="_Toc516479121"/>
      <w:bookmarkStart w:id="5185" w:name="_Toc516479524"/>
      <w:bookmarkStart w:id="5186" w:name="_Toc516479841"/>
      <w:bookmarkStart w:id="5187" w:name="_Toc516480163"/>
      <w:bookmarkStart w:id="5188" w:name="_Toc516480477"/>
      <w:bookmarkStart w:id="5189" w:name="_Toc516480791"/>
      <w:bookmarkStart w:id="5190" w:name="_Toc516481105"/>
      <w:bookmarkStart w:id="5191" w:name="_Toc516481419"/>
      <w:bookmarkStart w:id="5192" w:name="_Toc516481733"/>
      <w:bookmarkStart w:id="5193" w:name="_Toc516482047"/>
      <w:bookmarkStart w:id="5194" w:name="_Toc516482361"/>
      <w:bookmarkStart w:id="5195" w:name="_Toc516482675"/>
      <w:bookmarkStart w:id="5196" w:name="_Toc516740029"/>
      <w:bookmarkStart w:id="5197" w:name="_Toc516751938"/>
      <w:bookmarkStart w:id="5198" w:name="_Toc516826026"/>
      <w:bookmarkStart w:id="5199" w:name="_Toc516826584"/>
      <w:bookmarkStart w:id="5200" w:name="_Toc516837904"/>
      <w:bookmarkStart w:id="5201" w:name="_Toc516838463"/>
      <w:bookmarkStart w:id="5202" w:name="_Toc516839022"/>
      <w:bookmarkStart w:id="5203" w:name="_Toc516839582"/>
      <w:bookmarkStart w:id="5204" w:name="_Toc517173678"/>
      <w:bookmarkStart w:id="5205" w:name="_Toc517175352"/>
      <w:bookmarkStart w:id="5206" w:name="_Toc517175939"/>
      <w:bookmarkStart w:id="5207" w:name="_Toc517176527"/>
      <w:bookmarkStart w:id="5208" w:name="_Toc517337852"/>
      <w:bookmarkStart w:id="5209" w:name="_Toc517360648"/>
      <w:bookmarkStart w:id="5210" w:name="_Toc143779249"/>
      <w:bookmarkStart w:id="5211" w:name="_Toc512525552"/>
      <w:bookmarkStart w:id="5212" w:name="_Toc515896864"/>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r w:rsidRPr="009211BF">
        <w:t xml:space="preserve">040/371-01 : </w:t>
      </w:r>
      <w:r w:rsidRPr="001A5F60">
        <w:t>Précompte</w:t>
      </w:r>
      <w:r w:rsidRPr="009211BF">
        <w:t xml:space="preserve"> immobilier - Centimes additionnels</w:t>
      </w:r>
      <w:bookmarkEnd w:id="5210"/>
      <w:r w:rsidRPr="009211BF">
        <w:t xml:space="preserve"> </w:t>
      </w:r>
    </w:p>
    <w:p w14:paraId="09B4881C" w14:textId="77777777" w:rsidR="00795C3E" w:rsidRPr="00F91BDD" w:rsidRDefault="00795C3E" w:rsidP="00795C3E">
      <w:pPr>
        <w:spacing w:before="120"/>
      </w:pPr>
      <w:r w:rsidRPr="00F91BDD">
        <w:t>Rappelons tout d’abord que depuis le 1</w:t>
      </w:r>
      <w:r w:rsidRPr="00F91BDD">
        <w:rPr>
          <w:vertAlign w:val="superscript"/>
        </w:rPr>
        <w:t>er</w:t>
      </w:r>
      <w:r w:rsidRPr="00F91BDD">
        <w:t xml:space="preserve"> janvier 2021, la Région Wallonne assure la perception du précompte immobilier et des additionnels communaux. Le SPW Finances a repris cette mission au SPF finances qui ne sera plus compétent en la matière. </w:t>
      </w:r>
    </w:p>
    <w:p w14:paraId="6DD64301" w14:textId="77777777" w:rsidR="00795C3E" w:rsidRPr="00F91BDD" w:rsidRDefault="00795C3E" w:rsidP="00795C3E">
      <w:pPr>
        <w:spacing w:before="120"/>
      </w:pPr>
      <w:r w:rsidRPr="00F91BDD">
        <w:t>Taxe directe.</w:t>
      </w:r>
      <w:bookmarkEnd w:id="5211"/>
      <w:bookmarkEnd w:id="5212"/>
    </w:p>
    <w:p w14:paraId="4FD57D57" w14:textId="77777777" w:rsidR="00795C3E" w:rsidRPr="00F91BDD" w:rsidRDefault="00795C3E" w:rsidP="00795C3E">
      <w:pPr>
        <w:spacing w:before="120"/>
        <w:textAlignment w:val="baseline"/>
        <w:rPr>
          <w:rFonts w:cs="Calibri Light"/>
          <w:spacing w:val="3"/>
        </w:rPr>
      </w:pPr>
      <w:r w:rsidRPr="00F91BDD">
        <w:rPr>
          <w:rFonts w:cs="Calibri Light"/>
          <w:spacing w:val="3"/>
        </w:rPr>
        <w:t xml:space="preserve">Taux maximum recommandé : </w:t>
      </w:r>
      <w:r w:rsidRPr="00F91BDD">
        <w:rPr>
          <w:rFonts w:cs="Calibri Light"/>
          <w:b/>
          <w:bCs/>
          <w:spacing w:val="3"/>
        </w:rPr>
        <w:t>2600 centimes additionnels.</w:t>
      </w:r>
    </w:p>
    <w:p w14:paraId="4C3655BC" w14:textId="77777777" w:rsidR="00795C3E" w:rsidRPr="00F91BDD" w:rsidRDefault="00795C3E" w:rsidP="00795C3E">
      <w:pPr>
        <w:spacing w:before="120"/>
        <w:textAlignment w:val="baseline"/>
      </w:pPr>
      <w:r w:rsidRPr="00F91BDD">
        <w:t>Les Communes qui souhaitent prévoir un taux supérieur à ce plafond devront motiver spécifiquement leur décision et ne pourront se contenter d’invoquer la nécessité d'équilibrer le budget à l'exercice propre</w:t>
      </w:r>
      <w:bookmarkStart w:id="5213" w:name="_Hlk37766389"/>
      <w:r w:rsidRPr="00F91BDD">
        <w:t>.</w:t>
      </w:r>
      <w:bookmarkEnd w:id="5213"/>
    </w:p>
    <w:p w14:paraId="5B83F30C" w14:textId="77777777" w:rsidR="00795C3E" w:rsidRPr="00F91BDD" w:rsidRDefault="00795C3E" w:rsidP="00795C3E">
      <w:pPr>
        <w:spacing w:before="120"/>
        <w:textAlignment w:val="baseline"/>
      </w:pPr>
      <w:r w:rsidRPr="00F91BDD">
        <w:t>Les pouvoirs locaux souhaitent à juste titre favoriser l'insertion de logements privés dans le secteur locatif social.</w:t>
      </w:r>
    </w:p>
    <w:p w14:paraId="701006D2" w14:textId="77777777" w:rsidR="00795C3E" w:rsidRPr="00F91BDD" w:rsidRDefault="00795C3E" w:rsidP="00795C3E">
      <w:pPr>
        <w:spacing w:before="120"/>
        <w:textAlignment w:val="baseline"/>
      </w:pPr>
      <w:r w:rsidRPr="00F91BDD">
        <w:t>Il y a lieu d'attirer leur attention sur le fait que, pour réaliser cet objectif, il convient d'adopter un mécanisme de subvention au bénéfice des propriétaires prouvant le paiement d'additionnels communaux pour ces logements.</w:t>
      </w:r>
    </w:p>
    <w:p w14:paraId="31E2A2F9" w14:textId="77777777" w:rsidR="00795C3E" w:rsidRPr="00F91BDD" w:rsidRDefault="00795C3E" w:rsidP="00795C3E">
      <w:pPr>
        <w:spacing w:before="120"/>
        <w:textAlignment w:val="baseline"/>
      </w:pPr>
      <w:r w:rsidRPr="00F91BDD">
        <w:t xml:space="preserve">Par contre, les autorités locales ne peuvent décider localement - cette compétence étant régionale </w:t>
      </w:r>
      <w:r w:rsidRPr="00F91BDD">
        <w:softHyphen/>
        <w:t>- d'exonérer des additionnels au précompte immobilier les logements qui sont la propriété de personnes de droit privé insérés dans un circuit locatif social.</w:t>
      </w:r>
    </w:p>
    <w:p w14:paraId="5E92E786" w14:textId="77777777" w:rsidR="00795C3E" w:rsidRPr="00F91BDD" w:rsidRDefault="00795C3E" w:rsidP="00795C3E">
      <w:pPr>
        <w:spacing w:before="120"/>
        <w:textAlignment w:val="baseline"/>
      </w:pPr>
      <w:bookmarkStart w:id="5214" w:name="_Hlk129093541"/>
      <w:r w:rsidRPr="00F91BDD">
        <w:t>Le SPW Intérieur et Action sociale transmettra deux fois par an une prévision budgétaire concernant les additionnels.</w:t>
      </w:r>
    </w:p>
    <w:bookmarkEnd w:id="5214"/>
    <w:p w14:paraId="44C8DAF1" w14:textId="77777777" w:rsidR="00795C3E" w:rsidRPr="00F91BDD" w:rsidRDefault="00795C3E" w:rsidP="00795C3E">
      <w:pPr>
        <w:spacing w:before="120"/>
        <w:textAlignment w:val="baseline"/>
      </w:pPr>
      <w:r w:rsidRPr="00F91BDD">
        <w:lastRenderedPageBreak/>
        <w:t>Les taxes additionnelles sont soumises à la tutelle générale d'annulation avec transmission obligatoire au Gouvernement wallon.</w:t>
      </w:r>
    </w:p>
    <w:p w14:paraId="68843287" w14:textId="77777777" w:rsidR="00795C3E" w:rsidRPr="00F91BDD" w:rsidRDefault="00795C3E" w:rsidP="00795C3E">
      <w:pPr>
        <w:spacing w:before="120"/>
        <w:textAlignment w:val="baseline"/>
      </w:pPr>
      <w:r w:rsidRPr="00F91BDD">
        <w:t>Ainsi, les décisions concernées peuvent être publiées conformément aux articles L 1133-1 et 2 du CDLD dès leur adoption par le Conseil communal mais ne peuvent être mises à exécution avant d'avoir été transmises au Gouvernement wallon.</w:t>
      </w:r>
    </w:p>
    <w:p w14:paraId="32936339" w14:textId="77777777" w:rsidR="00795C3E" w:rsidRPr="00F91BDD" w:rsidRDefault="00795C3E" w:rsidP="00795C3E">
      <w:pPr>
        <w:spacing w:before="120"/>
        <w:textAlignment w:val="baseline"/>
      </w:pPr>
      <w:r w:rsidRPr="00F91BDD">
        <w:t>Puisque les taxes additionnelles sont désormais soumises à une tutelle différente des autres règlements-taxes, la procédure de transmission via e-tutelle est différente. Ce type de dossier doit donc être transmis de manière distincte par rapport aux autres règlements fiscaux.</w:t>
      </w:r>
    </w:p>
    <w:p w14:paraId="5B52570D" w14:textId="77777777" w:rsidR="00795C3E" w:rsidRDefault="59020915" w:rsidP="00795C3E">
      <w:pPr>
        <w:spacing w:before="120"/>
        <w:textAlignment w:val="baseline"/>
        <w:rPr>
          <w:rFonts w:cs="Calibri Light"/>
          <w:i/>
          <w:iCs/>
        </w:rPr>
      </w:pPr>
      <w:r w:rsidRPr="00F91BDD">
        <w:rPr>
          <w:spacing w:val="3"/>
        </w:rPr>
        <w:t>Dans le cadre des "Actions prioritaires pour l'Avenir wallon"</w:t>
      </w:r>
      <w:r w:rsidR="00795C3E" w:rsidRPr="00F91BDD">
        <w:rPr>
          <w:spacing w:val="3"/>
          <w:vertAlign w:val="superscript"/>
        </w:rPr>
        <w:footnoteReference w:id="140"/>
      </w:r>
      <w:r w:rsidRPr="00F91BDD">
        <w:rPr>
          <w:spacing w:val="3"/>
        </w:rPr>
        <w:t>, le Parlement</w:t>
      </w:r>
      <w:r w:rsidRPr="00F91BDD">
        <w:rPr>
          <w:rFonts w:cs="Calibri Light"/>
        </w:rPr>
        <w:t xml:space="preserve"> de Wallonie a décidé que « </w:t>
      </w:r>
      <w:r w:rsidRPr="6FFC1684">
        <w:rPr>
          <w:rFonts w:cs="Calibri Light"/>
          <w:i/>
          <w:iCs/>
        </w:rPr>
        <w:t>tous les investissements en matériel et outillage, acquis ou constitués à l'état neuf à partir du 1</w:t>
      </w:r>
      <w:r w:rsidRPr="6FFC1684">
        <w:rPr>
          <w:rFonts w:cs="Calibri Light"/>
          <w:i/>
          <w:iCs/>
          <w:vertAlign w:val="superscript"/>
        </w:rPr>
        <w:t>er</w:t>
      </w:r>
      <w:r w:rsidRPr="6FFC1684">
        <w:rPr>
          <w:rFonts w:cs="Calibri Light"/>
          <w:i/>
          <w:iCs/>
        </w:rPr>
        <w:t xml:space="preserve"> janvier 2006 sont exonérés du précompte immobilier. Cette mesure s'applique sur tout le territoire de la Région wallonne et à toutes les entreprises. »</w:t>
      </w:r>
    </w:p>
    <w:p w14:paraId="00E2634C" w14:textId="77777777" w:rsidR="00795C3E" w:rsidRPr="009211BF" w:rsidRDefault="00795C3E" w:rsidP="00795C3E">
      <w:pPr>
        <w:spacing w:before="120"/>
        <w:textAlignment w:val="baseline"/>
        <w:rPr>
          <w:rFonts w:cs="Calibri Light"/>
          <w:i/>
        </w:rPr>
      </w:pPr>
    </w:p>
    <w:p w14:paraId="0807F85C" w14:textId="77777777" w:rsidR="00795C3E" w:rsidRPr="00F91BDD" w:rsidRDefault="00795C3E" w:rsidP="00795C3E">
      <w:pPr>
        <w:spacing w:before="120"/>
        <w:textAlignment w:val="baseline"/>
        <w:rPr>
          <w:rFonts w:cs="Calibri Light"/>
          <w:b/>
          <w:bCs/>
          <w:u w:val="single"/>
        </w:rPr>
      </w:pPr>
      <w:r w:rsidRPr="00F91BDD">
        <w:rPr>
          <w:rFonts w:cs="Calibri Light"/>
          <w:b/>
          <w:bCs/>
          <w:u w:val="single"/>
        </w:rPr>
        <w:t>Indicateur-expert communal</w:t>
      </w:r>
    </w:p>
    <w:p w14:paraId="34CF992C" w14:textId="77777777" w:rsidR="00795C3E" w:rsidRPr="00F91BDD" w:rsidRDefault="00795C3E" w:rsidP="00795C3E">
      <w:pPr>
        <w:spacing w:before="120"/>
        <w:textAlignment w:val="baseline"/>
        <w:rPr>
          <w:rFonts w:cs="Calibri Light"/>
          <w:b/>
          <w:bCs/>
        </w:rPr>
      </w:pPr>
      <w:r w:rsidRPr="00F91BDD">
        <w:rPr>
          <w:rFonts w:cs="Calibri Light"/>
          <w:b/>
          <w:bCs/>
        </w:rPr>
        <w:t xml:space="preserve">Vu l'importance des recettes du précompte immobilier, je souhaite vivement que les communes collaborent au mieux avec l'Administration du cadastre afin de permettre à cette administration de tenir parfaitement à jour la </w:t>
      </w:r>
      <w:r w:rsidRPr="00F91BDD">
        <w:rPr>
          <w:rFonts w:cs="Calibri Light"/>
          <w:b/>
          <w:bCs/>
          <w:spacing w:val="2"/>
        </w:rPr>
        <w:t>documentation cadastrale. Les communes doivent prendre conscience que la mise à jour des matrices cadastrales apportera, sans modification de taux, une plus-value à leurs recettes fiscales.</w:t>
      </w:r>
    </w:p>
    <w:p w14:paraId="1B33F15C" w14:textId="77777777" w:rsidR="00795C3E" w:rsidRPr="00F91BDD" w:rsidRDefault="00795C3E" w:rsidP="00795C3E">
      <w:pPr>
        <w:spacing w:before="120"/>
        <w:textAlignment w:val="baseline"/>
        <w:rPr>
          <w:rFonts w:cs="Calibri Light"/>
          <w:b/>
          <w:bCs/>
          <w:spacing w:val="3"/>
        </w:rPr>
      </w:pPr>
      <w:r w:rsidRPr="00F91BDD">
        <w:rPr>
          <w:rFonts w:cs="Calibri Light"/>
          <w:b/>
          <w:bCs/>
          <w:spacing w:val="3"/>
        </w:rPr>
        <w:t>Je tiens à ce sujet à rappeler que le bourgmestre de chaque commune doit désigner un indicateur-expert qui est tenu de participer aux expertises des immeubles, de concert avec le représentant de l'Administration du cadastre, et d'approuver et contresigner le procès-verbal des expertises, dressé par ledit représentant de l'Administration du cadastre.</w:t>
      </w:r>
    </w:p>
    <w:p w14:paraId="32BF1361" w14:textId="77777777" w:rsidR="00795C3E" w:rsidRPr="00F91BDD" w:rsidRDefault="00795C3E" w:rsidP="00795C3E">
      <w:pPr>
        <w:spacing w:before="120"/>
        <w:textAlignment w:val="baseline"/>
        <w:rPr>
          <w:rFonts w:cs="Calibri Light"/>
          <w:spacing w:val="2"/>
        </w:rPr>
      </w:pPr>
      <w:r w:rsidRPr="00F91BDD">
        <w:rPr>
          <w:rFonts w:cs="Calibri Light"/>
          <w:spacing w:val="2"/>
        </w:rPr>
        <w:t>Pour la mise à jour annuelle des documents cadastraux, les agents de l'Administration du cadastre sont amenés à visiter les immeubles repris aux inscriptions des listes 220 afin d'examiner si les nouvelles constructions prévues sont déjà occupées ou si les travaux de transformation, d'agrandissement et de démolition sont terminés. Or, beaucoup de ces visites sur place sont prématurées car les nouvelles constructions et transformations ne sont pas terminées et/ou pas occupées.</w:t>
      </w:r>
    </w:p>
    <w:p w14:paraId="67572DDD" w14:textId="77777777" w:rsidR="00795C3E" w:rsidRPr="008B27A7" w:rsidRDefault="00795C3E" w:rsidP="00795C3E">
      <w:pPr>
        <w:spacing w:before="120"/>
        <w:textAlignment w:val="baseline"/>
        <w:rPr>
          <w:rFonts w:cs="Calibri Light"/>
          <w:strike/>
        </w:rPr>
      </w:pPr>
      <w:r w:rsidRPr="00F91BDD">
        <w:rPr>
          <w:rFonts w:cs="Calibri Light"/>
        </w:rPr>
        <w:t xml:space="preserve">C'est pourquoi, une collaboration plus efficace de la part des communes, via leur indicateur-expert, semble nécessaire dans l'intérêt même des communes qui sont les principales bénéficiaires des recettes du précompte immobilier.  </w:t>
      </w:r>
    </w:p>
    <w:p w14:paraId="168773A2" w14:textId="77777777" w:rsidR="00795C3E" w:rsidRPr="002D578B" w:rsidRDefault="00795C3E">
      <w:pPr>
        <w:pStyle w:val="Titre4"/>
        <w:numPr>
          <w:ilvl w:val="0"/>
          <w:numId w:val="54"/>
        </w:numPr>
        <w:rPr>
          <w:caps/>
        </w:rPr>
      </w:pPr>
      <w:bookmarkStart w:id="5215" w:name="_Toc143779250"/>
      <w:bookmarkStart w:id="5216" w:name="_Toc208420160"/>
      <w:bookmarkStart w:id="5217" w:name="_Hlk39073844"/>
      <w:bookmarkStart w:id="5218" w:name="_Toc512525553"/>
      <w:bookmarkStart w:id="5219" w:name="_Toc515896865"/>
      <w:r w:rsidRPr="002D578B">
        <w:lastRenderedPageBreak/>
        <w:t>040/372-01 : Personnes physiques</w:t>
      </w:r>
      <w:bookmarkEnd w:id="5215"/>
      <w:bookmarkEnd w:id="5216"/>
      <w:r w:rsidRPr="002D578B">
        <w:t xml:space="preserve"> </w:t>
      </w:r>
    </w:p>
    <w:bookmarkEnd w:id="5217"/>
    <w:p w14:paraId="656BBEB4" w14:textId="77777777" w:rsidR="00795C3E" w:rsidRPr="00F91BDD" w:rsidRDefault="00795C3E" w:rsidP="00795C3E">
      <w:pPr>
        <w:spacing w:before="120"/>
      </w:pPr>
      <w:r w:rsidRPr="00F91BDD">
        <w:t>Taxe directe.</w:t>
      </w:r>
      <w:bookmarkEnd w:id="5218"/>
      <w:bookmarkEnd w:id="5219"/>
    </w:p>
    <w:p w14:paraId="717FE9B6" w14:textId="77777777" w:rsidR="00795C3E" w:rsidRPr="00F91BDD" w:rsidRDefault="00795C3E" w:rsidP="00795C3E">
      <w:pPr>
        <w:spacing w:before="120"/>
        <w:rPr>
          <w:rFonts w:cs="Calibri Light"/>
          <w:b/>
          <w:bCs/>
          <w:spacing w:val="-1"/>
        </w:rPr>
      </w:pPr>
      <w:r w:rsidRPr="00F91BDD">
        <w:rPr>
          <w:rFonts w:cs="Calibri Light"/>
          <w:spacing w:val="-1"/>
        </w:rPr>
        <w:t xml:space="preserve">Taux maximum </w:t>
      </w:r>
      <w:r w:rsidRPr="00F91BDD">
        <w:t>recommandé</w:t>
      </w:r>
      <w:r w:rsidRPr="00F91BDD">
        <w:rPr>
          <w:rFonts w:cs="Calibri Light"/>
          <w:spacing w:val="-1"/>
        </w:rPr>
        <w:t xml:space="preserve"> : </w:t>
      </w:r>
      <w:r w:rsidRPr="00F91BDD">
        <w:rPr>
          <w:rFonts w:cs="Calibri Light"/>
          <w:b/>
          <w:bCs/>
          <w:spacing w:val="-1"/>
        </w:rPr>
        <w:t>8,8 %</w:t>
      </w:r>
    </w:p>
    <w:p w14:paraId="5335E1A7" w14:textId="77777777" w:rsidR="00795C3E" w:rsidRPr="00F91BDD" w:rsidRDefault="00795C3E" w:rsidP="00795C3E">
      <w:pPr>
        <w:spacing w:before="120"/>
        <w:textAlignment w:val="baseline"/>
      </w:pPr>
      <w:r w:rsidRPr="00F91BDD">
        <w:t>Les communes qui souhaitent prévoir un taux supérieur à ce plafond devront motiver spécifiquement leur décision et ne pourront se contenter d’invoquer la nécessité d'équilibrer le budget à l'exercice propre.</w:t>
      </w:r>
    </w:p>
    <w:p w14:paraId="551EAB4B" w14:textId="77777777" w:rsidR="00795C3E" w:rsidRPr="00F91BDD" w:rsidRDefault="00795C3E" w:rsidP="00795C3E">
      <w:pPr>
        <w:spacing w:before="120"/>
        <w:textAlignment w:val="baseline"/>
        <w:rPr>
          <w:rFonts w:cs="Calibri Light"/>
        </w:rPr>
      </w:pPr>
      <w:r w:rsidRPr="00F91BDD">
        <w:rPr>
          <w:rFonts w:cs="Calibri Light"/>
        </w:rPr>
        <w:t>Les communes inscriront à leur budget la prévision communiquée deux fois par an par le SPF Finances.</w:t>
      </w:r>
    </w:p>
    <w:p w14:paraId="149E3E1B" w14:textId="77777777" w:rsidR="00795C3E" w:rsidRPr="00F91BDD" w:rsidRDefault="00795C3E" w:rsidP="00795C3E">
      <w:pPr>
        <w:spacing w:before="120"/>
        <w:textAlignment w:val="baseline"/>
        <w:rPr>
          <w:rFonts w:cs="Calibri Light"/>
        </w:rPr>
      </w:pPr>
      <w:r w:rsidRPr="00F91BDD">
        <w:rPr>
          <w:rFonts w:cs="Calibri Light"/>
        </w:rPr>
        <w:t>Lorsqu'une commune modifie son taux d'imposition au moment de l'examen du projet de budget où figure une prévision formée sur une première estimation fournie par le SPF Finances sur base d'un taux initial inférieur à celui modifié, il convient de solliciter une nouvelle estimation liée au nouveau taux envisagé. La prévision de recettes à porter au budget ne peut pas être évaluée en pratiquant une règle de trois basée sur la première estimation des Finances.</w:t>
      </w:r>
    </w:p>
    <w:p w14:paraId="15C14DD4" w14:textId="77777777" w:rsidR="00795C3E" w:rsidRPr="00F91BDD" w:rsidRDefault="00795C3E" w:rsidP="00795C3E">
      <w:pPr>
        <w:spacing w:before="120"/>
        <w:textAlignment w:val="baseline"/>
        <w:rPr>
          <w:rFonts w:cs="Calibri Light"/>
        </w:rPr>
      </w:pPr>
      <w:r w:rsidRPr="00F91BDD">
        <w:rPr>
          <w:rFonts w:cs="Calibri Light"/>
        </w:rPr>
        <w:t>L'article 468 du Code des Impôts sur les revenus permet aux communes de fixer un pourcentage de l'impôt dû à l'Etat comprenant une fraction limitée à une décimale.</w:t>
      </w:r>
    </w:p>
    <w:p w14:paraId="33D38473" w14:textId="68AE7C25" w:rsidR="00795C3E" w:rsidRPr="00F91BDD" w:rsidRDefault="00795C3E" w:rsidP="00795C3E">
      <w:pPr>
        <w:spacing w:before="120"/>
        <w:textAlignment w:val="baseline"/>
        <w:rPr>
          <w:rFonts w:cs="Calibri Light"/>
        </w:rPr>
      </w:pPr>
      <w:r w:rsidRPr="6FFC1684">
        <w:rPr>
          <w:rFonts w:cs="Calibri Light"/>
        </w:rPr>
        <w:t xml:space="preserve">Concernant l'IPP, il ne fait aucun doute qu'en vertu de l'article 360 du code des impôts sur les revenus, une taxe additionnelle votée par une commune pour l'exercice </w:t>
      </w:r>
      <w:r w:rsidR="5333C2E1" w:rsidRPr="6FFC1684">
        <w:rPr>
          <w:rFonts w:cs="Calibri Light"/>
        </w:rPr>
        <w:t>2027</w:t>
      </w:r>
      <w:r w:rsidR="00323C95">
        <w:rPr>
          <w:rFonts w:cs="Calibri Light"/>
        </w:rPr>
        <w:t xml:space="preserve"> </w:t>
      </w:r>
      <w:r w:rsidRPr="6FFC1684">
        <w:rPr>
          <w:rFonts w:cs="Calibri Light"/>
        </w:rPr>
        <w:t xml:space="preserve">frappe d'office les revenus recueillis par le contribuable en </w:t>
      </w:r>
      <w:r w:rsidR="67C95C66" w:rsidRPr="6FFC1684">
        <w:rPr>
          <w:rFonts w:cs="Calibri Light"/>
        </w:rPr>
        <w:t>2026</w:t>
      </w:r>
      <w:r w:rsidRPr="6FFC1684">
        <w:rPr>
          <w:rFonts w:cs="Calibri Light"/>
        </w:rPr>
        <w:t xml:space="preserve">, sans que la commune puisse, au moment où elle vote sa taxe additionnelle pour l'exercice </w:t>
      </w:r>
      <w:r w:rsidR="3A4503AD" w:rsidRPr="6FFC1684">
        <w:rPr>
          <w:rFonts w:cs="Calibri Light"/>
        </w:rPr>
        <w:t>2027</w:t>
      </w:r>
      <w:r w:rsidRPr="6FFC1684">
        <w:rPr>
          <w:rFonts w:cs="Calibri Light"/>
        </w:rPr>
        <w:t xml:space="preserve">, décider de la faire porter sur les revenus </w:t>
      </w:r>
      <w:r w:rsidR="748FB313" w:rsidRPr="6FFC1684">
        <w:rPr>
          <w:rFonts w:cs="Calibri Light"/>
        </w:rPr>
        <w:t>2027</w:t>
      </w:r>
      <w:r w:rsidRPr="6FFC1684">
        <w:rPr>
          <w:rFonts w:cs="Calibri Light"/>
        </w:rPr>
        <w:t>.</w:t>
      </w:r>
    </w:p>
    <w:p w14:paraId="548CFFBA" w14:textId="5206B631" w:rsidR="00795C3E" w:rsidRPr="00F91BDD" w:rsidRDefault="00795C3E" w:rsidP="00795C3E">
      <w:pPr>
        <w:spacing w:before="120"/>
        <w:textAlignment w:val="baseline"/>
        <w:rPr>
          <w:rFonts w:cs="Calibri Light"/>
        </w:rPr>
      </w:pPr>
      <w:r w:rsidRPr="6FFC1684">
        <w:rPr>
          <w:rFonts w:cs="Calibri Light"/>
        </w:rPr>
        <w:t xml:space="preserve">Ainsi donc, une augmentation du taux de la taxe additionnelle à l'IPP décidée par une commune pour l'exercice </w:t>
      </w:r>
      <w:r w:rsidR="234D3787" w:rsidRPr="6FFC1684">
        <w:rPr>
          <w:rFonts w:cs="Calibri Light"/>
        </w:rPr>
        <w:t>2027</w:t>
      </w:r>
      <w:r w:rsidRPr="6FFC1684">
        <w:rPr>
          <w:rFonts w:cs="Calibri Light"/>
        </w:rPr>
        <w:t xml:space="preserve">trouve à s'appliquer aux revenus recueillis par le redevable en </w:t>
      </w:r>
      <w:r w:rsidR="45DF6C98" w:rsidRPr="6FFC1684">
        <w:rPr>
          <w:rFonts w:cs="Calibri Light"/>
        </w:rPr>
        <w:t>2026</w:t>
      </w:r>
      <w:r w:rsidRPr="6FFC1684">
        <w:rPr>
          <w:rFonts w:cs="Calibri Light"/>
        </w:rPr>
        <w:t>.</w:t>
      </w:r>
    </w:p>
    <w:p w14:paraId="403B5524" w14:textId="77777777" w:rsidR="00795C3E" w:rsidRPr="00F91BDD" w:rsidRDefault="00795C3E" w:rsidP="00795C3E">
      <w:pPr>
        <w:spacing w:before="120"/>
        <w:textAlignment w:val="baseline"/>
        <w:rPr>
          <w:rFonts w:cs="Calibri Light"/>
        </w:rPr>
      </w:pPr>
      <w:r w:rsidRPr="00F91BDD">
        <w:rPr>
          <w:rFonts w:cs="Calibri Light"/>
          <w:spacing w:val="-1"/>
        </w:rPr>
        <w:t>Le règlement-taxe doit entrer en vigueur avant le 31 janvier de l’exercice d’imposition, sous peine de voir la taxe enrôlée sur base du taux de l’exercice précédent.</w:t>
      </w:r>
    </w:p>
    <w:p w14:paraId="3F3E265D" w14:textId="77777777" w:rsidR="00795C3E" w:rsidRPr="00F91BDD" w:rsidRDefault="00795C3E" w:rsidP="00795C3E">
      <w:pPr>
        <w:spacing w:before="120"/>
        <w:textAlignment w:val="baseline"/>
        <w:rPr>
          <w:rFonts w:cs="Calibri Light"/>
        </w:rPr>
      </w:pPr>
      <w:r w:rsidRPr="00F91BDD">
        <w:rPr>
          <w:rFonts w:cs="Calibri Light"/>
        </w:rPr>
        <w:t xml:space="preserve">Les taxes additionnelles sont soumises à la tutelle générale d'annulation avec transmission obligatoire — dans les 15 jours — au Gouvernement wallon. </w:t>
      </w:r>
    </w:p>
    <w:p w14:paraId="4E5280EC" w14:textId="77777777" w:rsidR="00795C3E" w:rsidRPr="00F91BDD" w:rsidRDefault="00795C3E" w:rsidP="00795C3E">
      <w:pPr>
        <w:spacing w:before="120"/>
        <w:textAlignment w:val="baseline"/>
        <w:rPr>
          <w:rFonts w:cs="Calibri Light"/>
        </w:rPr>
      </w:pPr>
      <w:r w:rsidRPr="00F91BDD">
        <w:rPr>
          <w:rFonts w:cs="Calibri Light"/>
        </w:rPr>
        <w:t>Ainsi, les décisions concernées peuvent être publiées conformément aux articles L 1133-1 à 3 du CDLD dès leur adoption par le Conseil communal mais ne peuvent être mises à exécution avant d'avoir été transmises au Gouvernement wallon.</w:t>
      </w:r>
    </w:p>
    <w:p w14:paraId="4E28ADFB" w14:textId="77777777" w:rsidR="00795C3E" w:rsidRPr="00F91BDD" w:rsidRDefault="00795C3E" w:rsidP="00795C3E">
      <w:pPr>
        <w:spacing w:before="120"/>
        <w:textAlignment w:val="baseline"/>
        <w:rPr>
          <w:rFonts w:cs="Calibri Light"/>
        </w:rPr>
      </w:pPr>
      <w:r w:rsidRPr="00F91BDD">
        <w:rPr>
          <w:rFonts w:cs="Calibri Light"/>
        </w:rPr>
        <w:t>Puisque les taxes additionnelles sont désormais soumises à une tutelle différente des autres règlements-taxes, je vous invite vivement à transmettre ce type de dossier de manière distincte par rapport aux autres règlements fiscaux.</w:t>
      </w:r>
    </w:p>
    <w:p w14:paraId="09A764A2" w14:textId="77777777" w:rsidR="00795C3E" w:rsidRPr="002D578B" w:rsidRDefault="00795C3E">
      <w:pPr>
        <w:pStyle w:val="Titre4"/>
        <w:numPr>
          <w:ilvl w:val="0"/>
          <w:numId w:val="54"/>
        </w:numPr>
        <w:rPr>
          <w:caps/>
        </w:rPr>
      </w:pPr>
      <w:bookmarkStart w:id="5220" w:name="_Toc516245199"/>
      <w:bookmarkStart w:id="5221" w:name="_Toc516473770"/>
      <w:bookmarkStart w:id="5222" w:name="_Toc516474080"/>
      <w:bookmarkStart w:id="5223" w:name="_Toc516474388"/>
      <w:bookmarkStart w:id="5224" w:name="_Toc516474696"/>
      <w:bookmarkStart w:id="5225" w:name="_Toc516475028"/>
      <w:bookmarkStart w:id="5226" w:name="_Toc516479126"/>
      <w:bookmarkStart w:id="5227" w:name="_Toc516479527"/>
      <w:bookmarkStart w:id="5228" w:name="_Toc516479844"/>
      <w:bookmarkStart w:id="5229" w:name="_Toc516480166"/>
      <w:bookmarkStart w:id="5230" w:name="_Toc516480480"/>
      <w:bookmarkStart w:id="5231" w:name="_Toc516480794"/>
      <w:bookmarkStart w:id="5232" w:name="_Toc516481108"/>
      <w:bookmarkStart w:id="5233" w:name="_Toc516481422"/>
      <w:bookmarkStart w:id="5234" w:name="_Toc516481736"/>
      <w:bookmarkStart w:id="5235" w:name="_Toc516482050"/>
      <w:bookmarkStart w:id="5236" w:name="_Toc516482364"/>
      <w:bookmarkStart w:id="5237" w:name="_Toc516482678"/>
      <w:bookmarkStart w:id="5238" w:name="_Toc516740032"/>
      <w:bookmarkStart w:id="5239" w:name="_Toc516751941"/>
      <w:bookmarkStart w:id="5240" w:name="_Toc516826029"/>
      <w:bookmarkStart w:id="5241" w:name="_Toc516826587"/>
      <w:bookmarkStart w:id="5242" w:name="_Toc516837907"/>
      <w:bookmarkStart w:id="5243" w:name="_Toc516838466"/>
      <w:bookmarkStart w:id="5244" w:name="_Toc516839025"/>
      <w:bookmarkStart w:id="5245" w:name="_Toc516839585"/>
      <w:bookmarkStart w:id="5246" w:name="_Toc517173681"/>
      <w:bookmarkStart w:id="5247" w:name="_Toc517175355"/>
      <w:bookmarkStart w:id="5248" w:name="_Toc517175942"/>
      <w:bookmarkStart w:id="5249" w:name="_Toc517176530"/>
      <w:bookmarkStart w:id="5250" w:name="_Toc517337855"/>
      <w:bookmarkStart w:id="5251" w:name="_Toc517360651"/>
      <w:bookmarkStart w:id="5252" w:name="_Toc512525554"/>
      <w:bookmarkStart w:id="5253" w:name="_Toc515896866"/>
      <w:bookmarkStart w:id="5254" w:name="_Toc143779251"/>
      <w:bookmarkStart w:id="5255" w:name="_Toc208420161"/>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r w:rsidRPr="002D578B">
        <w:lastRenderedPageBreak/>
        <w:t>040/373-01 : Véhicules automobiles</w:t>
      </w:r>
      <w:bookmarkEnd w:id="5252"/>
      <w:bookmarkEnd w:id="5253"/>
      <w:bookmarkEnd w:id="5254"/>
      <w:bookmarkEnd w:id="5255"/>
    </w:p>
    <w:p w14:paraId="75CC4449" w14:textId="77777777" w:rsidR="00795C3E" w:rsidRPr="00F91BDD" w:rsidRDefault="00795C3E" w:rsidP="00795C3E">
      <w:pPr>
        <w:spacing w:before="120"/>
        <w:textAlignment w:val="baseline"/>
        <w:rPr>
          <w:rFonts w:cs="Calibri Light"/>
        </w:rPr>
      </w:pPr>
      <w:bookmarkStart w:id="5256" w:name="_Hlk103786794"/>
      <w:r w:rsidRPr="00F91BDD">
        <w:rPr>
          <w:rFonts w:cs="Calibri Light"/>
        </w:rPr>
        <w:t xml:space="preserve">Jusqu'à présent, les communes reçoivent d'office un décime additionnel à la taxe de circulation sur les véhicules automobiles. </w:t>
      </w:r>
    </w:p>
    <w:p w14:paraId="38648F85" w14:textId="77777777" w:rsidR="00795C3E" w:rsidRPr="00F91BDD" w:rsidRDefault="00795C3E" w:rsidP="00795C3E">
      <w:pPr>
        <w:spacing w:before="120"/>
        <w:textAlignment w:val="baseline"/>
        <w:rPr>
          <w:rFonts w:cs="Calibri Light"/>
        </w:rPr>
      </w:pPr>
      <w:r w:rsidRPr="00F91BDD">
        <w:rPr>
          <w:rFonts w:cs="Calibri Light"/>
        </w:rPr>
        <w:t>Depuis le 1</w:t>
      </w:r>
      <w:r w:rsidRPr="00F91BDD">
        <w:rPr>
          <w:rFonts w:cs="Calibri Light"/>
          <w:vertAlign w:val="superscript"/>
        </w:rPr>
        <w:t>er</w:t>
      </w:r>
      <w:r w:rsidRPr="00F91BDD">
        <w:rPr>
          <w:rFonts w:cs="Calibri Light"/>
        </w:rPr>
        <w:t xml:space="preserve"> janvier 2014, c'est le SPW Finances qui perçoit cette taxe et versera ce décime aux communes. </w:t>
      </w:r>
    </w:p>
    <w:p w14:paraId="04E2A37B" w14:textId="77777777" w:rsidR="00795C3E" w:rsidRPr="00F91BDD" w:rsidRDefault="00795C3E" w:rsidP="00795C3E">
      <w:pPr>
        <w:spacing w:before="120"/>
        <w:textAlignment w:val="baseline"/>
        <w:rPr>
          <w:rFonts w:cs="Calibri Light"/>
        </w:rPr>
      </w:pPr>
      <w:r w:rsidRPr="00F91BDD">
        <w:rPr>
          <w:rFonts w:cs="Calibri Light"/>
        </w:rPr>
        <w:t>Dans le cadre de la législation actuelle, on ne peut concevoir une taxation des véhicules immatriculés à l'étranger.</w:t>
      </w:r>
    </w:p>
    <w:p w14:paraId="05A66813" w14:textId="77777777" w:rsidR="00795C3E" w:rsidRPr="00F91BDD" w:rsidRDefault="00795C3E" w:rsidP="00795C3E">
      <w:pPr>
        <w:spacing w:before="120"/>
        <w:textAlignment w:val="baseline"/>
        <w:rPr>
          <w:rFonts w:cs="Calibri Light"/>
          <w:b/>
          <w:bCs/>
        </w:rPr>
      </w:pPr>
      <w:r w:rsidRPr="00F91BDD">
        <w:rPr>
          <w:rFonts w:cs="Calibri Light"/>
          <w:b/>
          <w:bCs/>
        </w:rPr>
        <w:t>Je rappelle que, concernant le leasing de flotte de véhicules, de fonction ou de service, il existe des effets indirects de la contractualisation avec des sociétés non établies sur le sol wallon.</w:t>
      </w:r>
    </w:p>
    <w:p w14:paraId="5BF351D4" w14:textId="77777777" w:rsidR="00795C3E" w:rsidRPr="00F91BDD" w:rsidRDefault="00795C3E" w:rsidP="00795C3E">
      <w:pPr>
        <w:spacing w:before="120"/>
        <w:textAlignment w:val="baseline"/>
        <w:rPr>
          <w:rFonts w:cstheme="minorHAnsi"/>
        </w:rPr>
      </w:pPr>
      <w:r w:rsidRPr="00F91BDD">
        <w:rPr>
          <w:rFonts w:cs="Calibri Light"/>
        </w:rPr>
        <w:t>Pour ces véhicules, la fiscalité (taxe de circulation et de mise en circulation) ainsi que les additionnels communaux y appliqués bénéficie en effet à la Région et aux communes sur le territoire desquelles la société de leasing est établie, en ce compris par conséquent le d</w:t>
      </w:r>
      <w:r w:rsidRPr="00F91BDD">
        <w:rPr>
          <w:rFonts w:cstheme="minorHAnsi"/>
        </w:rPr>
        <w:t>écime additionnel</w:t>
      </w:r>
      <w:r w:rsidRPr="00F91BDD">
        <w:rPr>
          <w:rFonts w:cstheme="minorHAnsi"/>
          <w:lang w:eastAsia="fr-BE"/>
        </w:rPr>
        <w:t xml:space="preserve"> (Article 4 de la </w:t>
      </w:r>
      <w:r w:rsidRPr="00F91BDD">
        <w:rPr>
          <w:rFonts w:cstheme="minorHAnsi"/>
        </w:rPr>
        <w:t>Loi spéciale du 16 janvier 1989 relative au financement des Communautés et des Régions.)</w:t>
      </w:r>
    </w:p>
    <w:p w14:paraId="2097234F" w14:textId="77777777" w:rsidR="00795C3E" w:rsidRPr="00F91BDD" w:rsidRDefault="00795C3E" w:rsidP="00795C3E">
      <w:pPr>
        <w:spacing w:before="120"/>
        <w:textAlignment w:val="baseline"/>
        <w:rPr>
          <w:rFonts w:cs="Calibri Light"/>
        </w:rPr>
      </w:pPr>
      <w:r w:rsidRPr="00F91BDD">
        <w:rPr>
          <w:rFonts w:cs="Calibri Light"/>
        </w:rPr>
        <w:t>Or, la majorité des sociétés de leasing sont établies en dehors du territoire de la Région wallonne.</w:t>
      </w:r>
      <w:bookmarkEnd w:id="5256"/>
    </w:p>
    <w:p w14:paraId="613259C0" w14:textId="77777777" w:rsidR="00795C3E" w:rsidRPr="002D578B" w:rsidRDefault="00795C3E">
      <w:pPr>
        <w:pStyle w:val="Titre4"/>
        <w:numPr>
          <w:ilvl w:val="0"/>
          <w:numId w:val="54"/>
        </w:numPr>
        <w:rPr>
          <w:caps/>
        </w:rPr>
      </w:pPr>
      <w:bookmarkStart w:id="5257" w:name="_Toc512525555"/>
      <w:bookmarkStart w:id="5258" w:name="_Toc515896867"/>
      <w:bookmarkStart w:id="5259" w:name="_Toc143779252"/>
      <w:bookmarkStart w:id="5260" w:name="_Toc208420162"/>
      <w:r w:rsidRPr="002D578B">
        <w:t>04001/377-01 : Sites d'activité économique désaffectés</w:t>
      </w:r>
      <w:bookmarkEnd w:id="5257"/>
      <w:bookmarkEnd w:id="5258"/>
      <w:bookmarkEnd w:id="5259"/>
      <w:r w:rsidRPr="002D578B">
        <w:t xml:space="preserve"> (Taxe additionnelle)</w:t>
      </w:r>
      <w:bookmarkStart w:id="5261" w:name="_Hlk103789214"/>
      <w:bookmarkEnd w:id="5260"/>
    </w:p>
    <w:p w14:paraId="63AA0299" w14:textId="77777777" w:rsidR="00795C3E" w:rsidRPr="00F91BDD" w:rsidRDefault="00795C3E" w:rsidP="00795C3E">
      <w:pPr>
        <w:spacing w:before="120"/>
        <w:textAlignment w:val="baseline"/>
        <w:rPr>
          <w:rFonts w:cs="Calibri Light"/>
        </w:rPr>
      </w:pPr>
      <w:bookmarkStart w:id="5262" w:name="_Hlk102040805"/>
      <w:r w:rsidRPr="00F91BDD">
        <w:rPr>
          <w:rFonts w:cs="Calibri Light"/>
        </w:rPr>
        <w:t>Le décret du 27 mai 2004 instituant une taxe régionale sur les sites d'activité économique désaffectés permet aujourd'hui à la Région de taxer les sites de plus de 1.000 m</w:t>
      </w:r>
      <w:r w:rsidRPr="00F91BDD">
        <w:rPr>
          <w:rFonts w:cs="Calibri Light"/>
          <w:vertAlign w:val="superscript"/>
        </w:rPr>
        <w:t>2</w:t>
      </w:r>
      <w:r w:rsidRPr="00F91BDD">
        <w:rPr>
          <w:rFonts w:cs="Calibri Light"/>
        </w:rPr>
        <w:t xml:space="preserve">. </w:t>
      </w:r>
    </w:p>
    <w:p w14:paraId="0C329E59" w14:textId="77777777" w:rsidR="00795C3E" w:rsidRPr="00F91BDD" w:rsidRDefault="00795C3E" w:rsidP="00795C3E">
      <w:pPr>
        <w:spacing w:before="120"/>
        <w:textAlignment w:val="baseline"/>
        <w:rPr>
          <w:rFonts w:cs="Calibri Light"/>
        </w:rPr>
      </w:pPr>
      <w:r w:rsidRPr="00F91BDD">
        <w:rPr>
          <w:rFonts w:cs="Calibri Light"/>
        </w:rPr>
        <w:t xml:space="preserve">Concernant cette taxe régionale, si le décret dispose que les communes qui participent annuellement au recensement et à la mise à jour de la liste des sites susceptibles d'être concernés par la présente taxe, peuvent lever des centimes additionnels à la taxe régionale, l’opérationnalisation complète du décret, notamment en ce qui concerne l’intervention des communes et l’application des additionnels, n’a toujours pas été finalisée. </w:t>
      </w:r>
    </w:p>
    <w:p w14:paraId="0CF16BFD" w14:textId="77777777" w:rsidR="00795C3E" w:rsidRPr="00F91BDD" w:rsidRDefault="00795C3E" w:rsidP="00795C3E">
      <w:pPr>
        <w:spacing w:before="120"/>
        <w:textAlignment w:val="baseline"/>
        <w:rPr>
          <w:rFonts w:cs="Calibri Light"/>
        </w:rPr>
      </w:pPr>
      <w:r w:rsidRPr="00F91BDD">
        <w:rPr>
          <w:rFonts w:cs="Calibri Light"/>
        </w:rPr>
        <w:t xml:space="preserve">Dans l’éventualité d’une telle effectivité, le taux maximum recommandé est de 150 centimes additionnels. </w:t>
      </w:r>
    </w:p>
    <w:p w14:paraId="24C89078" w14:textId="77777777" w:rsidR="00795C3E" w:rsidRPr="00F91BDD" w:rsidRDefault="59020915" w:rsidP="00795C3E">
      <w:pPr>
        <w:spacing w:before="120"/>
        <w:textAlignment w:val="baseline"/>
      </w:pPr>
      <w:r w:rsidRPr="00F91BDD">
        <w:rPr>
          <w:rFonts w:cs="Calibri Light"/>
        </w:rPr>
        <w:t>Puisque cette procédure n’est, à l’heure actuelle, toujours pas établie, il n’y a pas d’inconvénient à lever une taxe communale sur ces sites qui s’inspirerait, se fonderait, serait proportionnée à la taxe régionale</w:t>
      </w:r>
      <w:bookmarkEnd w:id="5261"/>
      <w:r w:rsidR="00795C3E" w:rsidRPr="00F91BDD">
        <w:rPr>
          <w:rStyle w:val="Appelnotedebasdep"/>
          <w:rFonts w:cs="Calibri Light"/>
        </w:rPr>
        <w:footnoteReference w:id="141"/>
      </w:r>
      <w:r w:rsidRPr="00F91BDD">
        <w:rPr>
          <w:rFonts w:cs="Calibri Light"/>
        </w:rPr>
        <w:t>.</w:t>
      </w:r>
      <w:bookmarkEnd w:id="5262"/>
      <w:r w:rsidRPr="00F91BDD">
        <w:rPr>
          <w:rFonts w:cs="Calibri Light"/>
        </w:rPr>
        <w:t xml:space="preserve"> Les recettes de cette taxe devraient être enregistrées à l’article 04003/367-48 – Sites d’activité économique désaffectés. </w:t>
      </w:r>
      <w:r w:rsidRPr="00F91BDD">
        <w:t>Pour information complémentaire, les taux de la taxe régionale sont indexés chaque année en fonction de l'évolution de l'indice des prix à la consommation entre les mois de juin de l'année précédente et de l'année en cours. Ainsi ils sont fixés pour l’exercice 2024 comme suit (MB 11.09.2023) :</w:t>
      </w:r>
    </w:p>
    <w:p w14:paraId="3D5B10FA" w14:textId="77777777" w:rsidR="00795C3E" w:rsidRDefault="00795C3E">
      <w:pPr>
        <w:pStyle w:val="Paragraphedeliste"/>
        <w:numPr>
          <w:ilvl w:val="0"/>
          <w:numId w:val="50"/>
        </w:numPr>
        <w:spacing w:before="120" w:after="120" w:line="240" w:lineRule="auto"/>
        <w:contextualSpacing w:val="0"/>
        <w:textAlignment w:val="baseline"/>
      </w:pPr>
      <w:r w:rsidRPr="00F91BDD">
        <w:lastRenderedPageBreak/>
        <w:t>par are de surface bâtie : 550 euros non indexés et 831,94 euros indexés) ;</w:t>
      </w:r>
    </w:p>
    <w:p w14:paraId="69A7284D" w14:textId="77777777" w:rsidR="00795C3E" w:rsidRPr="00F91BDD" w:rsidRDefault="00795C3E">
      <w:pPr>
        <w:pStyle w:val="Paragraphedeliste"/>
        <w:numPr>
          <w:ilvl w:val="0"/>
          <w:numId w:val="50"/>
        </w:numPr>
        <w:spacing w:before="120" w:after="120" w:line="240" w:lineRule="auto"/>
        <w:contextualSpacing w:val="0"/>
        <w:textAlignment w:val="baseline"/>
      </w:pPr>
      <w:r w:rsidRPr="00F91BDD">
        <w:t>par are de surface non bâtie : 70 euros non indexés</w:t>
      </w:r>
      <w:r w:rsidRPr="00F91BDD" w:rsidDel="007F3D48">
        <w:t xml:space="preserve"> </w:t>
      </w:r>
      <w:r w:rsidRPr="00F91BDD">
        <w:t>et 105,87 euros indexés.</w:t>
      </w:r>
    </w:p>
    <w:p w14:paraId="4CC1F7E0" w14:textId="77777777" w:rsidR="00795C3E" w:rsidRPr="00F91BDD" w:rsidRDefault="00795C3E" w:rsidP="00795C3E">
      <w:pPr>
        <w:spacing w:before="120"/>
        <w:textAlignment w:val="baseline"/>
      </w:pPr>
      <w:r w:rsidRPr="00F91BDD">
        <w:t>Au vu de ce qui précède, le taux maximum recommandé de la taxe communale est de :</w:t>
      </w:r>
    </w:p>
    <w:p w14:paraId="484F276A" w14:textId="77777777" w:rsidR="00795C3E" w:rsidRDefault="00795C3E">
      <w:pPr>
        <w:pStyle w:val="Paragraphedeliste"/>
        <w:numPr>
          <w:ilvl w:val="0"/>
          <w:numId w:val="51"/>
        </w:numPr>
        <w:spacing w:before="120" w:after="120" w:line="240" w:lineRule="auto"/>
        <w:contextualSpacing w:val="0"/>
        <w:textAlignment w:val="baseline"/>
      </w:pPr>
      <w:r w:rsidRPr="00F91BDD">
        <w:t>par are de surface bâtie : 825 EUR non indexé (= 550 EUR * 1,5) et de 1.247,91 EUR indexé (=831,94 euros *1,5) ;</w:t>
      </w:r>
    </w:p>
    <w:p w14:paraId="1FA7DB96" w14:textId="77777777" w:rsidR="00795C3E" w:rsidRDefault="00795C3E">
      <w:pPr>
        <w:pStyle w:val="Paragraphedeliste"/>
        <w:numPr>
          <w:ilvl w:val="0"/>
          <w:numId w:val="51"/>
        </w:numPr>
        <w:spacing w:before="120" w:after="120" w:line="240" w:lineRule="auto"/>
        <w:contextualSpacing w:val="0"/>
        <w:textAlignment w:val="baseline"/>
      </w:pPr>
      <w:r w:rsidRPr="00F91BDD">
        <w:t>par are de surface non bâtie : 105 EUR non indexé (= 70 EUR * 1,5) et de 158,81 EUR indexé (=105,87 euros *1,5).</w:t>
      </w:r>
    </w:p>
    <w:p w14:paraId="255BCCDF" w14:textId="77777777" w:rsidR="00E54099" w:rsidRDefault="00E54099" w:rsidP="00E54099">
      <w:pPr>
        <w:spacing w:before="120" w:after="120" w:line="240" w:lineRule="auto"/>
        <w:textAlignment w:val="baseline"/>
      </w:pPr>
    </w:p>
    <w:p w14:paraId="6215D1D2" w14:textId="77777777" w:rsidR="00E54099" w:rsidRDefault="00E54099" w:rsidP="00E54099">
      <w:pPr>
        <w:spacing w:before="120" w:after="120" w:line="240" w:lineRule="auto"/>
        <w:textAlignment w:val="baseline"/>
      </w:pPr>
    </w:p>
    <w:p w14:paraId="209B1EF3" w14:textId="76447F3A" w:rsidR="00E54099" w:rsidRDefault="0E6E6BDD" w:rsidP="00F63709">
      <w:pPr>
        <w:pStyle w:val="Titre1"/>
      </w:pPr>
      <w:bookmarkStart w:id="5263" w:name="_Toc225504390"/>
      <w:bookmarkStart w:id="5264" w:name="_Toc225772479"/>
      <w:bookmarkStart w:id="5265" w:name="_Toc233626346"/>
      <w:r w:rsidRPr="00F63709">
        <w:t>TABLEAU</w:t>
      </w:r>
      <w:r>
        <w:t xml:space="preserve"> </w:t>
      </w:r>
      <w:r w:rsidR="6BE1AC07">
        <w:t xml:space="preserve">DES TAUX INDEXES </w:t>
      </w:r>
      <w:r w:rsidR="75988BB9">
        <w:t>2027</w:t>
      </w:r>
      <w:bookmarkEnd w:id="5263"/>
      <w:bookmarkEnd w:id="5264"/>
      <w:bookmarkEnd w:id="5265"/>
    </w:p>
    <w:p w14:paraId="5F0D22CE" w14:textId="77777777" w:rsidR="00E54099" w:rsidRDefault="00E54099" w:rsidP="00AF2BBF">
      <w:pPr>
        <w:spacing w:before="120"/>
        <w:jc w:val="center"/>
        <w:textAlignment w:val="baseline"/>
        <w:rPr>
          <w:rFonts w:cs="Calibri Light"/>
          <w:spacing w:val="5"/>
        </w:rPr>
      </w:pPr>
    </w:p>
    <w:tbl>
      <w:tblPr>
        <w:tblStyle w:val="Grilledetableauclaire"/>
        <w:tblW w:w="11761" w:type="dxa"/>
        <w:jc w:val="center"/>
        <w:tblLayout w:type="fixed"/>
        <w:tblLook w:val="04A0" w:firstRow="1" w:lastRow="0" w:firstColumn="1" w:lastColumn="0" w:noHBand="0" w:noVBand="1"/>
      </w:tblPr>
      <w:tblGrid>
        <w:gridCol w:w="2689"/>
        <w:gridCol w:w="1275"/>
        <w:gridCol w:w="2268"/>
        <w:gridCol w:w="2268"/>
        <w:gridCol w:w="3261"/>
      </w:tblGrid>
      <w:tr w:rsidR="00B24786" w:rsidRPr="00F91BDD" w14:paraId="339726AD" w14:textId="16FFE3EC"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15FD3525" w14:textId="77777777" w:rsidR="00B24786" w:rsidRPr="00F768B6" w:rsidRDefault="00B24786" w:rsidP="00AF2BBF">
            <w:pPr>
              <w:tabs>
                <w:tab w:val="left" w:pos="360"/>
                <w:tab w:val="left" w:pos="504"/>
              </w:tabs>
              <w:spacing w:before="120"/>
              <w:jc w:val="center"/>
              <w:textAlignment w:val="baseline"/>
              <w:rPr>
                <w:rFonts w:cstheme="majorHAnsi"/>
                <w:spacing w:val="-6"/>
              </w:rPr>
            </w:pPr>
          </w:p>
        </w:tc>
        <w:tc>
          <w:tcPr>
            <w:tcW w:w="1275" w:type="dxa"/>
            <w:tcBorders>
              <w:top w:val="single" w:sz="4" w:space="0" w:color="auto"/>
              <w:left w:val="single" w:sz="4" w:space="0" w:color="auto"/>
              <w:bottom w:val="single" w:sz="4" w:space="0" w:color="auto"/>
              <w:right w:val="single" w:sz="4" w:space="0" w:color="auto"/>
            </w:tcBorders>
          </w:tcPr>
          <w:p w14:paraId="2DEC8D08" w14:textId="77777777" w:rsidR="00B24786" w:rsidRPr="002E3F63" w:rsidRDefault="00B24786" w:rsidP="00AF2BBF">
            <w:pPr>
              <w:tabs>
                <w:tab w:val="left" w:pos="360"/>
                <w:tab w:val="left" w:pos="504"/>
              </w:tabs>
              <w:spacing w:before="120"/>
              <w:jc w:val="center"/>
              <w:textAlignment w:val="baseline"/>
              <w:rPr>
                <w:rFonts w:cstheme="majorHAnsi"/>
                <w:b/>
                <w:bCs/>
                <w:spacing w:val="-6"/>
              </w:rPr>
            </w:pPr>
            <w:r w:rsidRPr="002E3F63">
              <w:rPr>
                <w:rFonts w:cstheme="majorHAnsi"/>
                <w:b/>
                <w:bCs/>
                <w:spacing w:val="-6"/>
              </w:rPr>
              <w:t>Taxe ou redevance</w:t>
            </w:r>
          </w:p>
        </w:tc>
        <w:tc>
          <w:tcPr>
            <w:tcW w:w="2268" w:type="dxa"/>
            <w:tcBorders>
              <w:top w:val="single" w:sz="4" w:space="0" w:color="auto"/>
              <w:bottom w:val="single" w:sz="4" w:space="0" w:color="auto"/>
            </w:tcBorders>
          </w:tcPr>
          <w:p w14:paraId="18E3C436" w14:textId="11D8B6F5" w:rsidR="00B24786" w:rsidRPr="002E3F63" w:rsidRDefault="7F085376" w:rsidP="00AF2BBF">
            <w:pPr>
              <w:tabs>
                <w:tab w:val="left" w:pos="360"/>
                <w:tab w:val="left" w:pos="504"/>
              </w:tabs>
              <w:spacing w:before="120"/>
              <w:jc w:val="center"/>
              <w:textAlignment w:val="baseline"/>
              <w:rPr>
                <w:rFonts w:cstheme="majorBidi"/>
                <w:b/>
                <w:bCs/>
                <w:spacing w:val="-6"/>
              </w:rPr>
            </w:pPr>
            <w:r w:rsidRPr="42E2FCEB">
              <w:rPr>
                <w:rFonts w:cstheme="majorBidi"/>
                <w:b/>
                <w:bCs/>
                <w:spacing w:val="-6"/>
              </w:rPr>
              <w:t>Montant NON indexé</w:t>
            </w:r>
            <w:r w:rsidR="76143C09" w:rsidRPr="42E2FCEB">
              <w:rPr>
                <w:rFonts w:cstheme="majorBidi"/>
                <w:b/>
                <w:bCs/>
                <w:spacing w:val="-6"/>
              </w:rPr>
              <w:t xml:space="preserve"> maximum</w:t>
            </w:r>
          </w:p>
        </w:tc>
        <w:tc>
          <w:tcPr>
            <w:tcW w:w="2268" w:type="dxa"/>
            <w:tcBorders>
              <w:top w:val="single" w:sz="4" w:space="0" w:color="auto"/>
              <w:left w:val="single" w:sz="4" w:space="0" w:color="auto"/>
              <w:bottom w:val="single" w:sz="4" w:space="0" w:color="auto"/>
              <w:right w:val="single" w:sz="4" w:space="0" w:color="auto"/>
            </w:tcBorders>
          </w:tcPr>
          <w:p w14:paraId="10E9B1EA" w14:textId="77777777" w:rsidR="01C1E901" w:rsidRDefault="6B9B560F" w:rsidP="00AF2BBF">
            <w:pPr>
              <w:tabs>
                <w:tab w:val="left" w:pos="360"/>
                <w:tab w:val="left" w:pos="504"/>
              </w:tabs>
              <w:spacing w:before="120"/>
              <w:jc w:val="center"/>
              <w:rPr>
                <w:rFonts w:ascii="Cambria" w:eastAsia="Cambria" w:hAnsi="Cambria" w:cs="Cambria"/>
                <w:b/>
                <w:bCs/>
              </w:rPr>
            </w:pPr>
            <w:r w:rsidRPr="42E2FCEB">
              <w:rPr>
                <w:rFonts w:ascii="Cambria" w:eastAsia="Cambria" w:hAnsi="Cambria" w:cs="Cambria"/>
                <w:b/>
                <w:bCs/>
              </w:rPr>
              <w:t>Montant indexé (24,79 %)</w:t>
            </w:r>
          </w:p>
          <w:p w14:paraId="0115B0AF" w14:textId="2911C1E6" w:rsidR="00B610D1" w:rsidRPr="01C1E901" w:rsidRDefault="76143C09" w:rsidP="00AF2BBF">
            <w:pPr>
              <w:tabs>
                <w:tab w:val="left" w:pos="360"/>
                <w:tab w:val="left" w:pos="504"/>
              </w:tabs>
              <w:spacing w:before="120"/>
              <w:jc w:val="center"/>
              <w:rPr>
                <w:rFonts w:ascii="Cambria" w:eastAsia="Cambria" w:hAnsi="Cambria" w:cs="Cambria"/>
                <w:b/>
                <w:bCs/>
              </w:rPr>
            </w:pPr>
            <w:r w:rsidRPr="42E2FCEB">
              <w:rPr>
                <w:rFonts w:ascii="Cambria" w:eastAsia="Cambria" w:hAnsi="Cambria" w:cs="Cambria"/>
                <w:b/>
                <w:bCs/>
              </w:rPr>
              <w:t>maximum</w:t>
            </w:r>
          </w:p>
        </w:tc>
        <w:tc>
          <w:tcPr>
            <w:tcW w:w="3261" w:type="dxa"/>
            <w:tcBorders>
              <w:top w:val="single" w:sz="4" w:space="0" w:color="auto"/>
              <w:left w:val="single" w:sz="4" w:space="0" w:color="auto"/>
              <w:bottom w:val="single" w:sz="4" w:space="0" w:color="auto"/>
              <w:right w:val="single" w:sz="4" w:space="0" w:color="auto"/>
            </w:tcBorders>
          </w:tcPr>
          <w:p w14:paraId="71D78AD4" w14:textId="3FEAAC6F" w:rsidR="00B24786" w:rsidRPr="002E3F63" w:rsidRDefault="00B24786" w:rsidP="00AF2BBF">
            <w:pPr>
              <w:tabs>
                <w:tab w:val="left" w:pos="360"/>
                <w:tab w:val="left" w:pos="504"/>
              </w:tabs>
              <w:spacing w:before="120"/>
              <w:jc w:val="center"/>
              <w:textAlignment w:val="baseline"/>
              <w:rPr>
                <w:rFonts w:cstheme="majorHAnsi"/>
                <w:b/>
                <w:bCs/>
                <w:spacing w:val="-6"/>
              </w:rPr>
            </w:pPr>
            <w:r w:rsidRPr="002E3F63">
              <w:rPr>
                <w:rFonts w:cstheme="majorHAnsi"/>
                <w:b/>
                <w:bCs/>
                <w:spacing w:val="-6"/>
              </w:rPr>
              <w:t>Base taxable</w:t>
            </w:r>
          </w:p>
        </w:tc>
      </w:tr>
      <w:tr w:rsidR="00B24786" w:rsidRPr="00F91BDD" w14:paraId="70E995D6" w14:textId="74F5ECC2"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48B38421" w14:textId="17356FE1" w:rsidR="00B24786" w:rsidRPr="00F768B6" w:rsidRDefault="00B24786">
            <w:pPr>
              <w:pStyle w:val="Titre3"/>
              <w:numPr>
                <w:ilvl w:val="0"/>
                <w:numId w:val="124"/>
              </w:numPr>
              <w:jc w:val="center"/>
            </w:pPr>
            <w:bookmarkStart w:id="5266" w:name="_Toc225504391"/>
            <w:bookmarkStart w:id="5267" w:name="_Toc225772480"/>
            <w:bookmarkStart w:id="5268" w:name="_Toc233626347"/>
            <w:r w:rsidRPr="21B2FD55">
              <w:t>040/361</w:t>
            </w:r>
            <w:bookmarkEnd w:id="5266"/>
            <w:bookmarkEnd w:id="5267"/>
            <w:bookmarkEnd w:id="5268"/>
          </w:p>
        </w:tc>
        <w:tc>
          <w:tcPr>
            <w:tcW w:w="1275" w:type="dxa"/>
            <w:tcBorders>
              <w:top w:val="single" w:sz="4" w:space="0" w:color="auto"/>
              <w:left w:val="single" w:sz="4" w:space="0" w:color="auto"/>
              <w:bottom w:val="single" w:sz="4" w:space="0" w:color="auto"/>
              <w:right w:val="single" w:sz="4" w:space="0" w:color="auto"/>
            </w:tcBorders>
          </w:tcPr>
          <w:p w14:paraId="29E0B231" w14:textId="77777777" w:rsidR="00B24786" w:rsidRPr="00F768B6" w:rsidRDefault="00B24786" w:rsidP="00AF2BBF">
            <w:pPr>
              <w:tabs>
                <w:tab w:val="left" w:pos="360"/>
                <w:tab w:val="left" w:pos="504"/>
              </w:tabs>
              <w:spacing w:before="120"/>
              <w:jc w:val="center"/>
              <w:textAlignment w:val="baseline"/>
              <w:rPr>
                <w:rFonts w:cstheme="majorHAnsi"/>
                <w:spacing w:val="-6"/>
              </w:rPr>
            </w:pPr>
          </w:p>
        </w:tc>
        <w:tc>
          <w:tcPr>
            <w:tcW w:w="2268" w:type="dxa"/>
            <w:tcBorders>
              <w:top w:val="single" w:sz="4" w:space="0" w:color="auto"/>
              <w:bottom w:val="single" w:sz="4" w:space="0" w:color="auto"/>
            </w:tcBorders>
          </w:tcPr>
          <w:p w14:paraId="78E3EF62" w14:textId="77777777" w:rsidR="00B24786" w:rsidRPr="00F768B6" w:rsidRDefault="00B24786" w:rsidP="00AF2BBF">
            <w:pPr>
              <w:tabs>
                <w:tab w:val="left" w:pos="360"/>
                <w:tab w:val="left" w:pos="504"/>
              </w:tabs>
              <w:spacing w:before="120"/>
              <w:jc w:val="center"/>
              <w:textAlignment w:val="baseline"/>
              <w:rPr>
                <w:rFonts w:cstheme="majorHAnsi"/>
                <w:spacing w:val="-6"/>
              </w:rPr>
            </w:pPr>
          </w:p>
        </w:tc>
        <w:tc>
          <w:tcPr>
            <w:tcW w:w="2268" w:type="dxa"/>
            <w:tcBorders>
              <w:top w:val="single" w:sz="4" w:space="0" w:color="auto"/>
              <w:left w:val="single" w:sz="4" w:space="0" w:color="auto"/>
              <w:bottom w:val="single" w:sz="4" w:space="0" w:color="auto"/>
              <w:right w:val="single" w:sz="4" w:space="0" w:color="auto"/>
            </w:tcBorders>
          </w:tcPr>
          <w:p w14:paraId="3A76F408" w14:textId="3D96BCFE"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1988D786" w14:textId="77777777" w:rsidR="00B24786" w:rsidRPr="00F768B6" w:rsidRDefault="00B24786" w:rsidP="00AF2BBF">
            <w:pPr>
              <w:tabs>
                <w:tab w:val="left" w:pos="360"/>
                <w:tab w:val="left" w:pos="504"/>
              </w:tabs>
              <w:spacing w:before="120"/>
              <w:jc w:val="center"/>
              <w:textAlignment w:val="baseline"/>
              <w:rPr>
                <w:rFonts w:cstheme="majorHAnsi"/>
                <w:spacing w:val="-6"/>
              </w:rPr>
            </w:pPr>
          </w:p>
        </w:tc>
      </w:tr>
      <w:tr w:rsidR="00B24786" w:rsidRPr="00F91BDD" w14:paraId="6570D79C" w14:textId="31C0EBB3"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4C26199F" w14:textId="37D044FF" w:rsidR="00B24786" w:rsidRPr="00F768B6" w:rsidRDefault="00B24786" w:rsidP="00AF2BBF">
            <w:pPr>
              <w:pStyle w:val="Titre3"/>
              <w:numPr>
                <w:ilvl w:val="0"/>
                <w:numId w:val="0"/>
              </w:numPr>
              <w:ind w:left="786"/>
              <w:rPr>
                <w:caps/>
              </w:rPr>
            </w:pPr>
            <w:bookmarkStart w:id="5269" w:name="_Toc225504392"/>
            <w:bookmarkStart w:id="5270" w:name="_Toc225772481"/>
            <w:bookmarkStart w:id="5271" w:name="_Toc233626348"/>
            <w:r w:rsidRPr="21B2FD55">
              <w:t>040/361-01 : Conservation des véhicules (saisis ou déplacés par la police)</w:t>
            </w:r>
            <w:bookmarkEnd w:id="5269"/>
            <w:bookmarkEnd w:id="5270"/>
            <w:bookmarkEnd w:id="5271"/>
          </w:p>
        </w:tc>
        <w:tc>
          <w:tcPr>
            <w:tcW w:w="1275" w:type="dxa"/>
            <w:tcBorders>
              <w:top w:val="single" w:sz="4" w:space="0" w:color="auto"/>
              <w:left w:val="single" w:sz="4" w:space="0" w:color="auto"/>
              <w:bottom w:val="single" w:sz="4" w:space="0" w:color="auto"/>
              <w:right w:val="single" w:sz="4" w:space="0" w:color="auto"/>
            </w:tcBorders>
          </w:tcPr>
          <w:p w14:paraId="6CB1C24C" w14:textId="77777777" w:rsidR="00B24786" w:rsidRPr="00F768B6" w:rsidRDefault="00B24786" w:rsidP="00AF2BBF">
            <w:pPr>
              <w:tabs>
                <w:tab w:val="left" w:pos="360"/>
                <w:tab w:val="left" w:pos="504"/>
              </w:tabs>
              <w:spacing w:before="120"/>
              <w:jc w:val="center"/>
              <w:textAlignment w:val="baseline"/>
              <w:rPr>
                <w:rFonts w:cstheme="majorHAnsi"/>
                <w:spacing w:val="-6"/>
              </w:rPr>
            </w:pPr>
            <w:r w:rsidRPr="00F768B6">
              <w:rPr>
                <w:rFonts w:cstheme="majorHAnsi"/>
                <w:spacing w:val="-6"/>
              </w:rPr>
              <w:t>Redevance</w:t>
            </w:r>
          </w:p>
        </w:tc>
        <w:tc>
          <w:tcPr>
            <w:tcW w:w="2268" w:type="dxa"/>
            <w:tcBorders>
              <w:top w:val="single" w:sz="4" w:space="0" w:color="auto"/>
              <w:bottom w:val="single" w:sz="4" w:space="0" w:color="auto"/>
            </w:tcBorders>
          </w:tcPr>
          <w:p w14:paraId="140565EE" w14:textId="77777777" w:rsidR="00B24786" w:rsidRPr="00F768B6" w:rsidRDefault="00B24786" w:rsidP="00AF2BBF">
            <w:pPr>
              <w:tabs>
                <w:tab w:val="left" w:pos="360"/>
                <w:tab w:val="left" w:pos="504"/>
              </w:tabs>
              <w:spacing w:before="120"/>
              <w:jc w:val="center"/>
              <w:textAlignment w:val="baseline"/>
              <w:rPr>
                <w:rFonts w:cstheme="majorHAnsi"/>
                <w:spacing w:val="-6"/>
              </w:rPr>
            </w:pPr>
          </w:p>
        </w:tc>
        <w:tc>
          <w:tcPr>
            <w:tcW w:w="2268" w:type="dxa"/>
            <w:tcBorders>
              <w:top w:val="single" w:sz="4" w:space="0" w:color="auto"/>
              <w:left w:val="single" w:sz="4" w:space="0" w:color="auto"/>
              <w:bottom w:val="single" w:sz="4" w:space="0" w:color="auto"/>
              <w:right w:val="single" w:sz="4" w:space="0" w:color="auto"/>
            </w:tcBorders>
          </w:tcPr>
          <w:p w14:paraId="65D86301" w14:textId="5ADD421A"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511EF876" w14:textId="77777777" w:rsidR="00B24786" w:rsidRPr="00F768B6" w:rsidRDefault="00B24786" w:rsidP="00AF2BBF">
            <w:pPr>
              <w:tabs>
                <w:tab w:val="left" w:pos="360"/>
                <w:tab w:val="left" w:pos="504"/>
              </w:tabs>
              <w:spacing w:before="120"/>
              <w:jc w:val="center"/>
              <w:textAlignment w:val="baseline"/>
              <w:rPr>
                <w:rFonts w:cstheme="majorHAnsi"/>
                <w:spacing w:val="-6"/>
              </w:rPr>
            </w:pPr>
          </w:p>
        </w:tc>
      </w:tr>
      <w:tr w:rsidR="00B24786" w:rsidRPr="00F91BDD" w14:paraId="70AE434C" w14:textId="2C2E96D1" w:rsidTr="065BA9F9">
        <w:trPr>
          <w:jc w:val="center"/>
        </w:trPr>
        <w:tc>
          <w:tcPr>
            <w:tcW w:w="2689" w:type="dxa"/>
            <w:tcBorders>
              <w:top w:val="single" w:sz="4" w:space="0" w:color="auto"/>
              <w:left w:val="single" w:sz="4" w:space="0" w:color="auto"/>
              <w:bottom w:val="single" w:sz="4" w:space="0" w:color="auto"/>
              <w:right w:val="single" w:sz="4" w:space="0" w:color="auto"/>
            </w:tcBorders>
            <w:hideMark/>
          </w:tcPr>
          <w:p w14:paraId="350C7A9A" w14:textId="77777777" w:rsidR="00B24786" w:rsidRPr="00F768B6" w:rsidRDefault="00B24786" w:rsidP="00AF2BBF">
            <w:pPr>
              <w:tabs>
                <w:tab w:val="left" w:pos="360"/>
                <w:tab w:val="left" w:pos="504"/>
              </w:tabs>
              <w:spacing w:before="120"/>
              <w:jc w:val="center"/>
              <w:textAlignment w:val="baseline"/>
              <w:rPr>
                <w:rFonts w:cstheme="majorHAnsi"/>
                <w:spacing w:val="-6"/>
              </w:rPr>
            </w:pPr>
            <w:r w:rsidRPr="00F768B6">
              <w:rPr>
                <w:rFonts w:cstheme="majorHAnsi"/>
                <w:spacing w:val="-6"/>
              </w:rPr>
              <w:t>Enlèvement du véhicule</w:t>
            </w:r>
          </w:p>
        </w:tc>
        <w:tc>
          <w:tcPr>
            <w:tcW w:w="1275" w:type="dxa"/>
            <w:tcBorders>
              <w:top w:val="single" w:sz="4" w:space="0" w:color="auto"/>
              <w:left w:val="single" w:sz="4" w:space="0" w:color="auto"/>
              <w:bottom w:val="single" w:sz="4" w:space="0" w:color="auto"/>
              <w:right w:val="single" w:sz="4" w:space="0" w:color="auto"/>
            </w:tcBorders>
          </w:tcPr>
          <w:p w14:paraId="3AC8343F" w14:textId="77777777" w:rsidR="00B24786" w:rsidRPr="00F768B6" w:rsidRDefault="00B24786" w:rsidP="00AF2BBF">
            <w:pPr>
              <w:tabs>
                <w:tab w:val="left" w:pos="360"/>
                <w:tab w:val="left" w:pos="504"/>
              </w:tabs>
              <w:spacing w:before="120"/>
              <w:jc w:val="center"/>
              <w:textAlignment w:val="baseline"/>
              <w:rPr>
                <w:rFonts w:cstheme="majorHAnsi"/>
                <w:spacing w:val="-6"/>
              </w:rPr>
            </w:pPr>
          </w:p>
        </w:tc>
        <w:tc>
          <w:tcPr>
            <w:tcW w:w="2268" w:type="dxa"/>
            <w:tcBorders>
              <w:top w:val="single" w:sz="4" w:space="0" w:color="auto"/>
              <w:bottom w:val="single" w:sz="4" w:space="0" w:color="auto"/>
            </w:tcBorders>
          </w:tcPr>
          <w:p w14:paraId="3A1B6AD1" w14:textId="68E90F10" w:rsidR="00B24786" w:rsidRPr="00F768B6" w:rsidRDefault="00B24786" w:rsidP="00AF2BBF">
            <w:pPr>
              <w:tabs>
                <w:tab w:val="left" w:pos="360"/>
                <w:tab w:val="left" w:pos="504"/>
              </w:tabs>
              <w:spacing w:before="120"/>
              <w:jc w:val="center"/>
              <w:textAlignment w:val="baseline"/>
              <w:rPr>
                <w:rFonts w:cstheme="majorHAnsi"/>
                <w:spacing w:val="-6"/>
              </w:rPr>
            </w:pPr>
            <w:r w:rsidRPr="00F768B6">
              <w:rPr>
                <w:rFonts w:cstheme="majorHAnsi"/>
                <w:spacing w:val="-6"/>
              </w:rPr>
              <w:t>151,00 euros</w:t>
            </w:r>
          </w:p>
        </w:tc>
        <w:tc>
          <w:tcPr>
            <w:tcW w:w="2268" w:type="dxa"/>
            <w:tcBorders>
              <w:top w:val="single" w:sz="4" w:space="0" w:color="auto"/>
              <w:left w:val="single" w:sz="4" w:space="0" w:color="auto"/>
              <w:bottom w:val="single" w:sz="4" w:space="0" w:color="auto"/>
              <w:right w:val="single" w:sz="4" w:space="0" w:color="auto"/>
            </w:tcBorders>
          </w:tcPr>
          <w:p w14:paraId="2B5EB007" w14:textId="72BC23C4"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188,43 euros</w:t>
            </w:r>
          </w:p>
        </w:tc>
        <w:tc>
          <w:tcPr>
            <w:tcW w:w="3261" w:type="dxa"/>
            <w:tcBorders>
              <w:top w:val="single" w:sz="4" w:space="0" w:color="auto"/>
              <w:left w:val="single" w:sz="4" w:space="0" w:color="auto"/>
              <w:bottom w:val="single" w:sz="4" w:space="0" w:color="auto"/>
              <w:right w:val="single" w:sz="4" w:space="0" w:color="auto"/>
            </w:tcBorders>
          </w:tcPr>
          <w:p w14:paraId="125CA280" w14:textId="438DE2DC" w:rsidR="00B24786" w:rsidRPr="00F768B6" w:rsidRDefault="00B24786" w:rsidP="00AF2BBF">
            <w:pPr>
              <w:tabs>
                <w:tab w:val="left" w:pos="360"/>
                <w:tab w:val="left" w:pos="504"/>
              </w:tabs>
              <w:spacing w:before="120"/>
              <w:jc w:val="center"/>
              <w:textAlignment w:val="baseline"/>
              <w:rPr>
                <w:rFonts w:cstheme="majorHAnsi"/>
                <w:spacing w:val="-6"/>
              </w:rPr>
            </w:pPr>
            <w:r>
              <w:rPr>
                <w:rFonts w:cstheme="majorHAnsi"/>
                <w:spacing w:val="-6"/>
              </w:rPr>
              <w:t xml:space="preserve">Par </w:t>
            </w:r>
            <w:r w:rsidR="0079666A">
              <w:rPr>
                <w:rFonts w:cstheme="majorHAnsi"/>
                <w:spacing w:val="-6"/>
              </w:rPr>
              <w:t>enlèvement</w:t>
            </w:r>
          </w:p>
        </w:tc>
      </w:tr>
      <w:tr w:rsidR="00B24786" w:rsidRPr="00F91BDD" w14:paraId="2C4F6B38" w14:textId="06D2C26C" w:rsidTr="065BA9F9">
        <w:trPr>
          <w:jc w:val="center"/>
        </w:trPr>
        <w:tc>
          <w:tcPr>
            <w:tcW w:w="2689" w:type="dxa"/>
            <w:tcBorders>
              <w:top w:val="single" w:sz="4" w:space="0" w:color="auto"/>
              <w:left w:val="single" w:sz="4" w:space="0" w:color="auto"/>
              <w:bottom w:val="single" w:sz="4" w:space="0" w:color="auto"/>
              <w:right w:val="single" w:sz="4" w:space="0" w:color="auto"/>
            </w:tcBorders>
            <w:hideMark/>
          </w:tcPr>
          <w:p w14:paraId="6858B1F8" w14:textId="77777777" w:rsidR="00B24786" w:rsidRPr="00F768B6" w:rsidRDefault="00B24786" w:rsidP="00AF2BBF">
            <w:pPr>
              <w:tabs>
                <w:tab w:val="left" w:pos="360"/>
                <w:tab w:val="left" w:pos="504"/>
              </w:tabs>
              <w:spacing w:before="120"/>
              <w:jc w:val="center"/>
              <w:textAlignment w:val="baseline"/>
              <w:rPr>
                <w:rFonts w:cstheme="majorHAnsi"/>
                <w:spacing w:val="-6"/>
              </w:rPr>
            </w:pPr>
            <w:r w:rsidRPr="00F768B6">
              <w:rPr>
                <w:rFonts w:cstheme="majorHAnsi"/>
                <w:spacing w:val="-6"/>
              </w:rPr>
              <w:t>Frais de garde</w:t>
            </w:r>
          </w:p>
        </w:tc>
        <w:tc>
          <w:tcPr>
            <w:tcW w:w="1275" w:type="dxa"/>
            <w:tcBorders>
              <w:top w:val="single" w:sz="4" w:space="0" w:color="auto"/>
              <w:left w:val="single" w:sz="4" w:space="0" w:color="auto"/>
              <w:bottom w:val="single" w:sz="4" w:space="0" w:color="auto"/>
              <w:right w:val="single" w:sz="4" w:space="0" w:color="auto"/>
            </w:tcBorders>
          </w:tcPr>
          <w:p w14:paraId="2DB07580" w14:textId="77777777" w:rsidR="00B24786" w:rsidRPr="00F768B6" w:rsidRDefault="00B24786" w:rsidP="00AF2BBF">
            <w:pPr>
              <w:tabs>
                <w:tab w:val="left" w:pos="360"/>
                <w:tab w:val="left" w:pos="504"/>
              </w:tabs>
              <w:spacing w:before="120"/>
              <w:jc w:val="center"/>
              <w:textAlignment w:val="baseline"/>
              <w:rPr>
                <w:rFonts w:cstheme="majorHAnsi"/>
                <w:spacing w:val="-6"/>
              </w:rPr>
            </w:pPr>
          </w:p>
        </w:tc>
        <w:tc>
          <w:tcPr>
            <w:tcW w:w="2268" w:type="dxa"/>
            <w:tcBorders>
              <w:top w:val="single" w:sz="4" w:space="0" w:color="auto"/>
              <w:bottom w:val="single" w:sz="4" w:space="0" w:color="auto"/>
            </w:tcBorders>
          </w:tcPr>
          <w:p w14:paraId="779195B7" w14:textId="77777777" w:rsidR="00B24786" w:rsidRPr="00F768B6" w:rsidRDefault="00B24786" w:rsidP="00AF2BBF">
            <w:pPr>
              <w:tabs>
                <w:tab w:val="left" w:pos="360"/>
                <w:tab w:val="left" w:pos="504"/>
              </w:tabs>
              <w:spacing w:before="120"/>
              <w:jc w:val="center"/>
              <w:textAlignment w:val="baseline"/>
              <w:rPr>
                <w:rFonts w:cstheme="majorHAnsi"/>
                <w:spacing w:val="-6"/>
              </w:rPr>
            </w:pPr>
          </w:p>
        </w:tc>
        <w:tc>
          <w:tcPr>
            <w:tcW w:w="2268" w:type="dxa"/>
            <w:tcBorders>
              <w:top w:val="single" w:sz="4" w:space="0" w:color="auto"/>
              <w:left w:val="single" w:sz="4" w:space="0" w:color="auto"/>
              <w:bottom w:val="single" w:sz="4" w:space="0" w:color="auto"/>
              <w:right w:val="single" w:sz="4" w:space="0" w:color="auto"/>
            </w:tcBorders>
          </w:tcPr>
          <w:p w14:paraId="0D9C9338" w14:textId="753DB383"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5E796C5E" w14:textId="77777777" w:rsidR="00B24786" w:rsidRPr="00F768B6" w:rsidRDefault="00B24786" w:rsidP="00AF2BBF">
            <w:pPr>
              <w:tabs>
                <w:tab w:val="left" w:pos="360"/>
                <w:tab w:val="left" w:pos="504"/>
              </w:tabs>
              <w:spacing w:before="120"/>
              <w:jc w:val="center"/>
              <w:textAlignment w:val="baseline"/>
              <w:rPr>
                <w:rFonts w:cstheme="majorHAnsi"/>
                <w:spacing w:val="-6"/>
              </w:rPr>
            </w:pPr>
          </w:p>
        </w:tc>
      </w:tr>
      <w:tr w:rsidR="00B24786" w:rsidRPr="00F91BDD" w14:paraId="4FF133DB" w14:textId="733F48C2" w:rsidTr="065BA9F9">
        <w:trPr>
          <w:jc w:val="center"/>
        </w:trPr>
        <w:tc>
          <w:tcPr>
            <w:tcW w:w="2689" w:type="dxa"/>
            <w:tcBorders>
              <w:top w:val="single" w:sz="4" w:space="0" w:color="auto"/>
              <w:left w:val="single" w:sz="4" w:space="0" w:color="auto"/>
              <w:bottom w:val="single" w:sz="4" w:space="0" w:color="auto"/>
              <w:right w:val="single" w:sz="4" w:space="0" w:color="auto"/>
            </w:tcBorders>
            <w:hideMark/>
          </w:tcPr>
          <w:p w14:paraId="7DD116E3" w14:textId="77777777" w:rsidR="00B24786" w:rsidRPr="00F768B6" w:rsidRDefault="00B24786">
            <w:pPr>
              <w:numPr>
                <w:ilvl w:val="0"/>
                <w:numId w:val="21"/>
              </w:numPr>
              <w:tabs>
                <w:tab w:val="left" w:pos="360"/>
                <w:tab w:val="left" w:pos="504"/>
              </w:tabs>
              <w:spacing w:before="120" w:after="120"/>
              <w:jc w:val="center"/>
              <w:textAlignment w:val="baseline"/>
              <w:rPr>
                <w:rFonts w:cstheme="majorHAnsi"/>
                <w:spacing w:val="-6"/>
              </w:rPr>
            </w:pPr>
            <w:r w:rsidRPr="00F768B6">
              <w:rPr>
                <w:rFonts w:cstheme="majorHAnsi"/>
                <w:spacing w:val="-6"/>
              </w:rPr>
              <w:t>Cyclomoteur</w:t>
            </w:r>
          </w:p>
        </w:tc>
        <w:tc>
          <w:tcPr>
            <w:tcW w:w="1275" w:type="dxa"/>
            <w:tcBorders>
              <w:top w:val="single" w:sz="4" w:space="0" w:color="auto"/>
              <w:left w:val="single" w:sz="4" w:space="0" w:color="auto"/>
              <w:bottom w:val="single" w:sz="4" w:space="0" w:color="auto"/>
              <w:right w:val="single" w:sz="4" w:space="0" w:color="auto"/>
            </w:tcBorders>
          </w:tcPr>
          <w:p w14:paraId="5967F09C" w14:textId="77777777" w:rsidR="00B24786" w:rsidRPr="00F768B6" w:rsidRDefault="00B24786" w:rsidP="00AF2BBF">
            <w:pPr>
              <w:tabs>
                <w:tab w:val="left" w:pos="360"/>
                <w:tab w:val="left" w:pos="504"/>
              </w:tabs>
              <w:spacing w:before="120"/>
              <w:jc w:val="center"/>
              <w:textAlignment w:val="baseline"/>
              <w:rPr>
                <w:rFonts w:cstheme="majorHAnsi"/>
                <w:spacing w:val="-6"/>
              </w:rPr>
            </w:pPr>
          </w:p>
        </w:tc>
        <w:tc>
          <w:tcPr>
            <w:tcW w:w="2268" w:type="dxa"/>
            <w:tcBorders>
              <w:top w:val="single" w:sz="4" w:space="0" w:color="auto"/>
              <w:bottom w:val="single" w:sz="4" w:space="0" w:color="auto"/>
            </w:tcBorders>
          </w:tcPr>
          <w:p w14:paraId="7CC08BD6" w14:textId="4FF3D80A" w:rsidR="00B24786" w:rsidRPr="00F768B6" w:rsidRDefault="00B24786" w:rsidP="00AF2BBF">
            <w:pPr>
              <w:tabs>
                <w:tab w:val="left" w:pos="360"/>
                <w:tab w:val="left" w:pos="504"/>
              </w:tabs>
              <w:spacing w:before="120"/>
              <w:jc w:val="center"/>
              <w:textAlignment w:val="baseline"/>
              <w:rPr>
                <w:rFonts w:cstheme="majorHAnsi"/>
                <w:spacing w:val="-6"/>
              </w:rPr>
            </w:pPr>
            <w:r w:rsidRPr="00F768B6">
              <w:rPr>
                <w:rFonts w:cstheme="majorHAnsi"/>
                <w:spacing w:val="-6"/>
              </w:rPr>
              <w:t>3,50 euros par jour</w:t>
            </w:r>
          </w:p>
        </w:tc>
        <w:tc>
          <w:tcPr>
            <w:tcW w:w="2268" w:type="dxa"/>
            <w:tcBorders>
              <w:top w:val="single" w:sz="4" w:space="0" w:color="auto"/>
              <w:left w:val="single" w:sz="4" w:space="0" w:color="auto"/>
              <w:bottom w:val="single" w:sz="4" w:space="0" w:color="auto"/>
              <w:right w:val="single" w:sz="4" w:space="0" w:color="auto"/>
            </w:tcBorders>
          </w:tcPr>
          <w:p w14:paraId="4C5B0B7D" w14:textId="54E5D1B0"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4,37 euros</w:t>
            </w:r>
          </w:p>
        </w:tc>
        <w:tc>
          <w:tcPr>
            <w:tcW w:w="3261" w:type="dxa"/>
            <w:tcBorders>
              <w:top w:val="single" w:sz="4" w:space="0" w:color="auto"/>
              <w:left w:val="single" w:sz="4" w:space="0" w:color="auto"/>
              <w:bottom w:val="single" w:sz="4" w:space="0" w:color="auto"/>
              <w:right w:val="single" w:sz="4" w:space="0" w:color="auto"/>
            </w:tcBorders>
          </w:tcPr>
          <w:p w14:paraId="5DD728EB" w14:textId="5A467686" w:rsidR="00B24786" w:rsidRPr="00F768B6" w:rsidRDefault="164026E2" w:rsidP="00AF2BBF">
            <w:pPr>
              <w:tabs>
                <w:tab w:val="left" w:pos="360"/>
                <w:tab w:val="left" w:pos="504"/>
              </w:tabs>
              <w:spacing w:before="120"/>
              <w:jc w:val="center"/>
              <w:textAlignment w:val="baseline"/>
              <w:rPr>
                <w:rFonts w:cstheme="majorBidi"/>
                <w:spacing w:val="-6"/>
              </w:rPr>
            </w:pPr>
            <w:r w:rsidRPr="1C6C0DED">
              <w:rPr>
                <w:rFonts w:cstheme="majorBidi"/>
              </w:rPr>
              <w:t>Par jour</w:t>
            </w:r>
          </w:p>
        </w:tc>
      </w:tr>
      <w:tr w:rsidR="00B24786" w:rsidRPr="00F91BDD" w14:paraId="2219286E" w14:textId="2249B5AF" w:rsidTr="065BA9F9">
        <w:trPr>
          <w:jc w:val="center"/>
        </w:trPr>
        <w:tc>
          <w:tcPr>
            <w:tcW w:w="2689" w:type="dxa"/>
            <w:tcBorders>
              <w:top w:val="single" w:sz="4" w:space="0" w:color="auto"/>
              <w:left w:val="single" w:sz="4" w:space="0" w:color="auto"/>
              <w:bottom w:val="single" w:sz="4" w:space="0" w:color="auto"/>
              <w:right w:val="single" w:sz="4" w:space="0" w:color="auto"/>
            </w:tcBorders>
            <w:hideMark/>
          </w:tcPr>
          <w:p w14:paraId="735F29C7" w14:textId="77777777" w:rsidR="00B24786" w:rsidRPr="00F768B6" w:rsidRDefault="00B24786">
            <w:pPr>
              <w:numPr>
                <w:ilvl w:val="0"/>
                <w:numId w:val="21"/>
              </w:numPr>
              <w:tabs>
                <w:tab w:val="left" w:pos="360"/>
                <w:tab w:val="left" w:pos="504"/>
              </w:tabs>
              <w:spacing w:before="120" w:after="120"/>
              <w:jc w:val="center"/>
              <w:textAlignment w:val="baseline"/>
              <w:rPr>
                <w:rFonts w:cstheme="majorHAnsi"/>
                <w:spacing w:val="-6"/>
              </w:rPr>
            </w:pPr>
            <w:r w:rsidRPr="00F768B6">
              <w:rPr>
                <w:rFonts w:cstheme="majorHAnsi"/>
                <w:spacing w:val="-6"/>
              </w:rPr>
              <w:t>Motocyclette</w:t>
            </w:r>
          </w:p>
        </w:tc>
        <w:tc>
          <w:tcPr>
            <w:tcW w:w="1275" w:type="dxa"/>
            <w:tcBorders>
              <w:top w:val="single" w:sz="4" w:space="0" w:color="auto"/>
              <w:left w:val="single" w:sz="4" w:space="0" w:color="auto"/>
              <w:bottom w:val="single" w:sz="4" w:space="0" w:color="auto"/>
              <w:right w:val="single" w:sz="4" w:space="0" w:color="auto"/>
            </w:tcBorders>
          </w:tcPr>
          <w:p w14:paraId="24D2B39A" w14:textId="77777777" w:rsidR="00B24786" w:rsidRPr="00F768B6" w:rsidRDefault="00B24786" w:rsidP="00AF2BBF">
            <w:pPr>
              <w:tabs>
                <w:tab w:val="left" w:pos="360"/>
                <w:tab w:val="left" w:pos="504"/>
              </w:tabs>
              <w:spacing w:before="120"/>
              <w:jc w:val="center"/>
              <w:textAlignment w:val="baseline"/>
              <w:rPr>
                <w:rFonts w:cstheme="majorHAnsi"/>
                <w:spacing w:val="-6"/>
              </w:rPr>
            </w:pPr>
          </w:p>
        </w:tc>
        <w:tc>
          <w:tcPr>
            <w:tcW w:w="2268" w:type="dxa"/>
            <w:tcBorders>
              <w:top w:val="single" w:sz="4" w:space="0" w:color="auto"/>
              <w:bottom w:val="single" w:sz="4" w:space="0" w:color="auto"/>
            </w:tcBorders>
          </w:tcPr>
          <w:p w14:paraId="7A8BFE1A" w14:textId="58B3E1CE" w:rsidR="00B24786" w:rsidRPr="00F768B6" w:rsidRDefault="00B24786" w:rsidP="00AF2BBF">
            <w:pPr>
              <w:tabs>
                <w:tab w:val="left" w:pos="360"/>
                <w:tab w:val="left" w:pos="504"/>
              </w:tabs>
              <w:spacing w:before="120"/>
              <w:jc w:val="center"/>
              <w:textAlignment w:val="baseline"/>
              <w:rPr>
                <w:rFonts w:cstheme="majorHAnsi"/>
                <w:spacing w:val="-6"/>
              </w:rPr>
            </w:pPr>
            <w:r w:rsidRPr="00F768B6">
              <w:rPr>
                <w:rFonts w:cstheme="majorHAnsi"/>
                <w:spacing w:val="-6"/>
              </w:rPr>
              <w:t>3,50 euros par jour</w:t>
            </w:r>
          </w:p>
        </w:tc>
        <w:tc>
          <w:tcPr>
            <w:tcW w:w="2268" w:type="dxa"/>
            <w:tcBorders>
              <w:top w:val="single" w:sz="4" w:space="0" w:color="auto"/>
              <w:left w:val="single" w:sz="4" w:space="0" w:color="auto"/>
              <w:bottom w:val="single" w:sz="4" w:space="0" w:color="auto"/>
              <w:right w:val="single" w:sz="4" w:space="0" w:color="auto"/>
            </w:tcBorders>
          </w:tcPr>
          <w:p w14:paraId="5A5A8FDC" w14:textId="67102285"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4,37 euros</w:t>
            </w:r>
          </w:p>
        </w:tc>
        <w:tc>
          <w:tcPr>
            <w:tcW w:w="3261" w:type="dxa"/>
            <w:tcBorders>
              <w:top w:val="single" w:sz="4" w:space="0" w:color="auto"/>
              <w:left w:val="single" w:sz="4" w:space="0" w:color="auto"/>
              <w:bottom w:val="single" w:sz="4" w:space="0" w:color="auto"/>
              <w:right w:val="single" w:sz="4" w:space="0" w:color="auto"/>
            </w:tcBorders>
          </w:tcPr>
          <w:p w14:paraId="00CBCD26" w14:textId="04A4D5AD" w:rsidR="00B24786" w:rsidRPr="00F768B6" w:rsidRDefault="620CEC4F" w:rsidP="00AF2BBF">
            <w:pPr>
              <w:tabs>
                <w:tab w:val="left" w:pos="360"/>
                <w:tab w:val="left" w:pos="504"/>
              </w:tabs>
              <w:spacing w:before="120"/>
              <w:jc w:val="center"/>
              <w:textAlignment w:val="baseline"/>
              <w:rPr>
                <w:rFonts w:cstheme="majorBidi"/>
                <w:spacing w:val="-6"/>
              </w:rPr>
            </w:pPr>
            <w:r w:rsidRPr="1C6C0DED">
              <w:rPr>
                <w:rFonts w:cstheme="majorBidi"/>
              </w:rPr>
              <w:t>Par jour</w:t>
            </w:r>
          </w:p>
        </w:tc>
      </w:tr>
      <w:tr w:rsidR="00B24786" w:rsidRPr="00F91BDD" w14:paraId="65C11279" w14:textId="2589E4BA" w:rsidTr="065BA9F9">
        <w:trPr>
          <w:jc w:val="center"/>
        </w:trPr>
        <w:tc>
          <w:tcPr>
            <w:tcW w:w="2689" w:type="dxa"/>
            <w:tcBorders>
              <w:top w:val="single" w:sz="4" w:space="0" w:color="auto"/>
              <w:left w:val="single" w:sz="4" w:space="0" w:color="auto"/>
              <w:bottom w:val="single" w:sz="4" w:space="0" w:color="auto"/>
              <w:right w:val="single" w:sz="4" w:space="0" w:color="auto"/>
            </w:tcBorders>
            <w:hideMark/>
          </w:tcPr>
          <w:p w14:paraId="3A30C766" w14:textId="77777777" w:rsidR="00B24786" w:rsidRPr="00F768B6" w:rsidRDefault="00B24786">
            <w:pPr>
              <w:numPr>
                <w:ilvl w:val="0"/>
                <w:numId w:val="21"/>
              </w:numPr>
              <w:tabs>
                <w:tab w:val="left" w:pos="360"/>
                <w:tab w:val="left" w:pos="504"/>
              </w:tabs>
              <w:spacing w:before="120" w:after="120"/>
              <w:jc w:val="center"/>
              <w:textAlignment w:val="baseline"/>
              <w:rPr>
                <w:rFonts w:cstheme="majorHAnsi"/>
                <w:spacing w:val="-6"/>
              </w:rPr>
            </w:pPr>
            <w:r w:rsidRPr="00F768B6">
              <w:rPr>
                <w:rFonts w:cstheme="majorHAnsi"/>
                <w:spacing w:val="-6"/>
              </w:rPr>
              <w:t>Voiture, voitures mixtes et minibus y compris les fausses camionnettes</w:t>
            </w:r>
          </w:p>
        </w:tc>
        <w:tc>
          <w:tcPr>
            <w:tcW w:w="1275" w:type="dxa"/>
            <w:tcBorders>
              <w:top w:val="single" w:sz="4" w:space="0" w:color="auto"/>
              <w:left w:val="single" w:sz="4" w:space="0" w:color="auto"/>
              <w:bottom w:val="single" w:sz="4" w:space="0" w:color="auto"/>
              <w:right w:val="single" w:sz="4" w:space="0" w:color="auto"/>
            </w:tcBorders>
          </w:tcPr>
          <w:p w14:paraId="7C5E59CF" w14:textId="77777777" w:rsidR="00B24786" w:rsidRPr="00F768B6" w:rsidRDefault="00B24786" w:rsidP="00AF2BBF">
            <w:pPr>
              <w:tabs>
                <w:tab w:val="left" w:pos="360"/>
                <w:tab w:val="left" w:pos="504"/>
              </w:tabs>
              <w:spacing w:before="120"/>
              <w:jc w:val="center"/>
              <w:textAlignment w:val="baseline"/>
              <w:rPr>
                <w:rFonts w:cstheme="majorHAnsi"/>
                <w:spacing w:val="-6"/>
              </w:rPr>
            </w:pPr>
          </w:p>
        </w:tc>
        <w:tc>
          <w:tcPr>
            <w:tcW w:w="2268" w:type="dxa"/>
            <w:tcBorders>
              <w:top w:val="single" w:sz="4" w:space="0" w:color="auto"/>
              <w:bottom w:val="single" w:sz="4" w:space="0" w:color="auto"/>
            </w:tcBorders>
          </w:tcPr>
          <w:p w14:paraId="06CB8727" w14:textId="07EA8471" w:rsidR="00B24786" w:rsidRPr="00F768B6" w:rsidRDefault="00B24786" w:rsidP="00AF2BBF">
            <w:pPr>
              <w:tabs>
                <w:tab w:val="left" w:pos="360"/>
                <w:tab w:val="left" w:pos="504"/>
              </w:tabs>
              <w:spacing w:before="120"/>
              <w:jc w:val="center"/>
              <w:textAlignment w:val="baseline"/>
              <w:rPr>
                <w:rFonts w:cstheme="majorHAnsi"/>
                <w:spacing w:val="-6"/>
              </w:rPr>
            </w:pPr>
            <w:r w:rsidRPr="00F768B6">
              <w:rPr>
                <w:rFonts w:cstheme="majorHAnsi"/>
                <w:spacing w:val="-6"/>
              </w:rPr>
              <w:t>7,00 euros par jour</w:t>
            </w:r>
          </w:p>
        </w:tc>
        <w:tc>
          <w:tcPr>
            <w:tcW w:w="2268" w:type="dxa"/>
            <w:tcBorders>
              <w:top w:val="single" w:sz="4" w:space="0" w:color="auto"/>
              <w:left w:val="single" w:sz="4" w:space="0" w:color="auto"/>
              <w:bottom w:val="single" w:sz="4" w:space="0" w:color="auto"/>
              <w:right w:val="single" w:sz="4" w:space="0" w:color="auto"/>
            </w:tcBorders>
          </w:tcPr>
          <w:p w14:paraId="5AEE64F2" w14:textId="338BF881"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8,74 euros</w:t>
            </w:r>
          </w:p>
        </w:tc>
        <w:tc>
          <w:tcPr>
            <w:tcW w:w="3261" w:type="dxa"/>
            <w:tcBorders>
              <w:top w:val="single" w:sz="4" w:space="0" w:color="auto"/>
              <w:left w:val="single" w:sz="4" w:space="0" w:color="auto"/>
              <w:bottom w:val="single" w:sz="4" w:space="0" w:color="auto"/>
              <w:right w:val="single" w:sz="4" w:space="0" w:color="auto"/>
            </w:tcBorders>
          </w:tcPr>
          <w:p w14:paraId="361876B5" w14:textId="0EC4292E" w:rsidR="00B24786" w:rsidRPr="00F768B6" w:rsidRDefault="5D0BF4D4" w:rsidP="00AF2BBF">
            <w:pPr>
              <w:tabs>
                <w:tab w:val="left" w:pos="360"/>
                <w:tab w:val="left" w:pos="504"/>
              </w:tabs>
              <w:spacing w:before="120"/>
              <w:jc w:val="center"/>
              <w:textAlignment w:val="baseline"/>
              <w:rPr>
                <w:rFonts w:cstheme="majorBidi"/>
                <w:spacing w:val="-6"/>
              </w:rPr>
            </w:pPr>
            <w:r w:rsidRPr="1C6C0DED">
              <w:rPr>
                <w:rFonts w:cstheme="majorBidi"/>
              </w:rPr>
              <w:t>Par jour</w:t>
            </w:r>
          </w:p>
        </w:tc>
      </w:tr>
      <w:tr w:rsidR="00B24786" w:rsidRPr="00F91BDD" w14:paraId="36AFE7CE" w14:textId="638ED980" w:rsidTr="065BA9F9">
        <w:trPr>
          <w:jc w:val="center"/>
        </w:trPr>
        <w:tc>
          <w:tcPr>
            <w:tcW w:w="2689" w:type="dxa"/>
            <w:tcBorders>
              <w:top w:val="single" w:sz="4" w:space="0" w:color="auto"/>
              <w:left w:val="single" w:sz="4" w:space="0" w:color="auto"/>
              <w:bottom w:val="single" w:sz="4" w:space="0" w:color="auto"/>
              <w:right w:val="single" w:sz="4" w:space="0" w:color="auto"/>
            </w:tcBorders>
            <w:hideMark/>
          </w:tcPr>
          <w:p w14:paraId="3AEE868C" w14:textId="77777777" w:rsidR="00B24786" w:rsidRPr="00F768B6" w:rsidRDefault="00B24786">
            <w:pPr>
              <w:numPr>
                <w:ilvl w:val="0"/>
                <w:numId w:val="21"/>
              </w:numPr>
              <w:tabs>
                <w:tab w:val="left" w:pos="360"/>
                <w:tab w:val="left" w:pos="504"/>
              </w:tabs>
              <w:spacing w:before="120" w:after="120"/>
              <w:jc w:val="center"/>
              <w:textAlignment w:val="baseline"/>
              <w:rPr>
                <w:rFonts w:cstheme="majorHAnsi"/>
                <w:spacing w:val="-6"/>
              </w:rPr>
            </w:pPr>
            <w:r w:rsidRPr="00F768B6">
              <w:rPr>
                <w:rFonts w:cstheme="majorHAnsi"/>
                <w:spacing w:val="-6"/>
              </w:rPr>
              <w:t>Camion et autres types de véhicules (Mobil-Home, remorque, camionnette)</w:t>
            </w:r>
          </w:p>
        </w:tc>
        <w:tc>
          <w:tcPr>
            <w:tcW w:w="1275" w:type="dxa"/>
            <w:tcBorders>
              <w:top w:val="single" w:sz="4" w:space="0" w:color="auto"/>
              <w:left w:val="single" w:sz="4" w:space="0" w:color="auto"/>
              <w:bottom w:val="single" w:sz="4" w:space="0" w:color="auto"/>
              <w:right w:val="single" w:sz="4" w:space="0" w:color="auto"/>
            </w:tcBorders>
          </w:tcPr>
          <w:p w14:paraId="6BAC737C" w14:textId="77777777" w:rsidR="00B24786" w:rsidRPr="00F768B6" w:rsidRDefault="00B24786" w:rsidP="00AF2BBF">
            <w:pPr>
              <w:tabs>
                <w:tab w:val="left" w:pos="360"/>
                <w:tab w:val="left" w:pos="504"/>
              </w:tabs>
              <w:spacing w:before="120"/>
              <w:jc w:val="center"/>
              <w:textAlignment w:val="baseline"/>
              <w:rPr>
                <w:rFonts w:cstheme="majorHAnsi"/>
                <w:spacing w:val="-6"/>
              </w:rPr>
            </w:pPr>
          </w:p>
        </w:tc>
        <w:tc>
          <w:tcPr>
            <w:tcW w:w="2268" w:type="dxa"/>
            <w:tcBorders>
              <w:top w:val="single" w:sz="4" w:space="0" w:color="auto"/>
              <w:bottom w:val="single" w:sz="4" w:space="0" w:color="auto"/>
            </w:tcBorders>
          </w:tcPr>
          <w:p w14:paraId="04075D97" w14:textId="4AE7860B" w:rsidR="00B24786" w:rsidRPr="00F768B6" w:rsidRDefault="00B24786" w:rsidP="00AF2BBF">
            <w:pPr>
              <w:tabs>
                <w:tab w:val="left" w:pos="360"/>
                <w:tab w:val="left" w:pos="504"/>
              </w:tabs>
              <w:spacing w:before="120"/>
              <w:jc w:val="center"/>
              <w:textAlignment w:val="baseline"/>
              <w:rPr>
                <w:rFonts w:cstheme="majorHAnsi"/>
                <w:spacing w:val="-6"/>
              </w:rPr>
            </w:pPr>
            <w:r w:rsidRPr="00F768B6">
              <w:rPr>
                <w:rFonts w:cstheme="majorHAnsi"/>
                <w:spacing w:val="-6"/>
              </w:rPr>
              <w:t>14,00 euros par jour</w:t>
            </w:r>
          </w:p>
        </w:tc>
        <w:tc>
          <w:tcPr>
            <w:tcW w:w="2268" w:type="dxa"/>
            <w:tcBorders>
              <w:top w:val="single" w:sz="4" w:space="0" w:color="auto"/>
              <w:left w:val="single" w:sz="4" w:space="0" w:color="auto"/>
              <w:bottom w:val="single" w:sz="4" w:space="0" w:color="auto"/>
              <w:right w:val="single" w:sz="4" w:space="0" w:color="auto"/>
            </w:tcBorders>
          </w:tcPr>
          <w:p w14:paraId="082617A1" w14:textId="2EFAC6ED"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17,47 euros</w:t>
            </w:r>
          </w:p>
        </w:tc>
        <w:tc>
          <w:tcPr>
            <w:tcW w:w="3261" w:type="dxa"/>
            <w:tcBorders>
              <w:top w:val="single" w:sz="4" w:space="0" w:color="auto"/>
              <w:left w:val="single" w:sz="4" w:space="0" w:color="auto"/>
              <w:bottom w:val="single" w:sz="4" w:space="0" w:color="auto"/>
              <w:right w:val="single" w:sz="4" w:space="0" w:color="auto"/>
            </w:tcBorders>
          </w:tcPr>
          <w:p w14:paraId="7A3B00A1" w14:textId="79007E5D" w:rsidR="00B24786" w:rsidRPr="00F768B6" w:rsidRDefault="5F385D9A" w:rsidP="00AF2BBF">
            <w:pPr>
              <w:tabs>
                <w:tab w:val="left" w:pos="360"/>
                <w:tab w:val="left" w:pos="504"/>
              </w:tabs>
              <w:spacing w:before="120"/>
              <w:jc w:val="center"/>
              <w:textAlignment w:val="baseline"/>
              <w:rPr>
                <w:rFonts w:cstheme="majorBidi"/>
                <w:spacing w:val="-6"/>
              </w:rPr>
            </w:pPr>
            <w:r w:rsidRPr="1C6C0DED">
              <w:rPr>
                <w:rFonts w:cstheme="majorBidi"/>
              </w:rPr>
              <w:t>Par jour</w:t>
            </w:r>
          </w:p>
        </w:tc>
      </w:tr>
      <w:tr w:rsidR="00B24786" w:rsidRPr="00F91BDD" w14:paraId="4791614B" w14:textId="4494075D"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155CA9D2" w14:textId="5E323B2D" w:rsidR="00B24786" w:rsidRPr="00F768B6" w:rsidRDefault="00B24786" w:rsidP="00AF2BBF">
            <w:pPr>
              <w:pStyle w:val="Titre3"/>
              <w:numPr>
                <w:ilvl w:val="0"/>
                <w:numId w:val="0"/>
              </w:numPr>
              <w:ind w:left="786"/>
            </w:pPr>
            <w:bookmarkStart w:id="5272" w:name="_Toc221774851"/>
            <w:bookmarkStart w:id="5273" w:name="_Toc225504393"/>
            <w:bookmarkStart w:id="5274" w:name="_Toc225772482"/>
            <w:bookmarkStart w:id="5275" w:name="_Toc233626349"/>
            <w:r w:rsidRPr="21B2FD55">
              <w:lastRenderedPageBreak/>
              <w:t>040/361-02 : Demandes d’autorisation d’activités (</w:t>
            </w:r>
            <w:r w:rsidR="00030C00" w:rsidRPr="21B2FD55">
              <w:t>permis</w:t>
            </w:r>
            <w:r w:rsidRPr="21B2FD55">
              <w:t xml:space="preserve"> d’environnement)</w:t>
            </w:r>
            <w:bookmarkEnd w:id="5272"/>
            <w:bookmarkEnd w:id="5273"/>
            <w:bookmarkEnd w:id="5274"/>
            <w:bookmarkEnd w:id="5275"/>
          </w:p>
          <w:p w14:paraId="1EEBAAEB" w14:textId="77777777" w:rsidR="00B24786" w:rsidRPr="00F768B6" w:rsidRDefault="00B24786" w:rsidP="00AF2BBF">
            <w:pPr>
              <w:tabs>
                <w:tab w:val="left" w:pos="360"/>
                <w:tab w:val="left" w:pos="504"/>
              </w:tabs>
              <w:spacing w:before="120" w:after="120"/>
              <w:jc w:val="center"/>
              <w:textAlignment w:val="baseline"/>
              <w:rPr>
                <w:rFonts w:cstheme="majorHAnsi"/>
                <w:spacing w:val="-6"/>
              </w:rPr>
            </w:pPr>
          </w:p>
        </w:tc>
        <w:tc>
          <w:tcPr>
            <w:tcW w:w="1275" w:type="dxa"/>
            <w:tcBorders>
              <w:top w:val="single" w:sz="4" w:space="0" w:color="auto"/>
              <w:left w:val="single" w:sz="4" w:space="0" w:color="auto"/>
              <w:bottom w:val="single" w:sz="4" w:space="0" w:color="auto"/>
              <w:right w:val="single" w:sz="4" w:space="0" w:color="auto"/>
            </w:tcBorders>
          </w:tcPr>
          <w:p w14:paraId="5208B3BD" w14:textId="77777777" w:rsidR="00B24786" w:rsidRPr="00F768B6" w:rsidRDefault="00B24786" w:rsidP="00AF2BBF">
            <w:pPr>
              <w:tabs>
                <w:tab w:val="left" w:pos="360"/>
                <w:tab w:val="left" w:pos="504"/>
              </w:tabs>
              <w:spacing w:before="120"/>
              <w:jc w:val="center"/>
              <w:textAlignment w:val="baseline"/>
              <w:rPr>
                <w:rFonts w:cstheme="majorHAnsi"/>
                <w:spacing w:val="-6"/>
              </w:rPr>
            </w:pPr>
            <w:r w:rsidRPr="00F768B6">
              <w:rPr>
                <w:rFonts w:cstheme="majorHAnsi"/>
                <w:spacing w:val="-6"/>
              </w:rPr>
              <w:t>Redevance pour le traitement et taxe ou redevance pour la délivrance du document</w:t>
            </w:r>
          </w:p>
        </w:tc>
        <w:tc>
          <w:tcPr>
            <w:tcW w:w="2268" w:type="dxa"/>
            <w:tcBorders>
              <w:top w:val="single" w:sz="4" w:space="0" w:color="auto"/>
              <w:bottom w:val="single" w:sz="4" w:space="0" w:color="auto"/>
            </w:tcBorders>
          </w:tcPr>
          <w:p w14:paraId="2F0E272B" w14:textId="77777777" w:rsidR="00B24786" w:rsidRPr="00F768B6" w:rsidRDefault="00B24786" w:rsidP="00AF2BBF">
            <w:pPr>
              <w:tabs>
                <w:tab w:val="left" w:pos="360"/>
                <w:tab w:val="left" w:pos="504"/>
              </w:tabs>
              <w:spacing w:before="120"/>
              <w:jc w:val="center"/>
              <w:textAlignment w:val="baseline"/>
              <w:rPr>
                <w:rFonts w:cstheme="majorHAnsi"/>
                <w:spacing w:val="-6"/>
              </w:rPr>
            </w:pPr>
            <w:r w:rsidRPr="00F768B6">
              <w:rPr>
                <w:rFonts w:cstheme="majorHAnsi"/>
                <w:spacing w:val="-6"/>
              </w:rPr>
              <w:t>Voir ci-dessous</w:t>
            </w:r>
          </w:p>
          <w:p w14:paraId="31D537AE" w14:textId="4D0167EC" w:rsidR="00B24786" w:rsidRPr="00F768B6" w:rsidRDefault="00B24786" w:rsidP="00AF2BBF">
            <w:pPr>
              <w:tabs>
                <w:tab w:val="left" w:pos="360"/>
                <w:tab w:val="left" w:pos="504"/>
              </w:tabs>
              <w:spacing w:before="120"/>
              <w:jc w:val="center"/>
              <w:textAlignment w:val="baseline"/>
              <w:rPr>
                <w:rFonts w:cstheme="majorHAnsi"/>
                <w:spacing w:val="-6"/>
              </w:rPr>
            </w:pPr>
            <w:r w:rsidRPr="00F768B6">
              <w:rPr>
                <w:rFonts w:cstheme="majorHAnsi"/>
                <w:spacing w:val="-6"/>
              </w:rPr>
              <w:t xml:space="preserve">30 </w:t>
            </w:r>
            <w:r w:rsidRPr="00F768B6">
              <w:rPr>
                <w:rFonts w:cstheme="majorHAnsi"/>
              </w:rPr>
              <w:t>€</w:t>
            </w:r>
            <w:r w:rsidRPr="00F768B6">
              <w:rPr>
                <w:rFonts w:cstheme="majorHAnsi"/>
                <w:spacing w:val="-6"/>
              </w:rPr>
              <w:t xml:space="preserve"> par document délivré</w:t>
            </w:r>
          </w:p>
        </w:tc>
        <w:tc>
          <w:tcPr>
            <w:tcW w:w="2268" w:type="dxa"/>
            <w:tcBorders>
              <w:top w:val="single" w:sz="4" w:space="0" w:color="auto"/>
              <w:left w:val="single" w:sz="4" w:space="0" w:color="auto"/>
              <w:bottom w:val="single" w:sz="4" w:space="0" w:color="auto"/>
              <w:right w:val="single" w:sz="4" w:space="0" w:color="auto"/>
            </w:tcBorders>
          </w:tcPr>
          <w:p w14:paraId="21DAE4D9" w14:textId="254D6CE5" w:rsid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Voir ci-dessous</w:t>
            </w:r>
          </w:p>
          <w:p w14:paraId="3320E1A1" w14:textId="24AC3EB8"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37,44€</w:t>
            </w:r>
          </w:p>
        </w:tc>
        <w:tc>
          <w:tcPr>
            <w:tcW w:w="3261" w:type="dxa"/>
            <w:tcBorders>
              <w:top w:val="single" w:sz="4" w:space="0" w:color="auto"/>
              <w:left w:val="single" w:sz="4" w:space="0" w:color="auto"/>
              <w:bottom w:val="single" w:sz="4" w:space="0" w:color="auto"/>
              <w:right w:val="single" w:sz="4" w:space="0" w:color="auto"/>
            </w:tcBorders>
          </w:tcPr>
          <w:p w14:paraId="7DEB63C2" w14:textId="4B0EFDFA" w:rsidR="00B24786" w:rsidRPr="00F768B6" w:rsidRDefault="16CBD779" w:rsidP="00AF2BBF">
            <w:pPr>
              <w:tabs>
                <w:tab w:val="left" w:pos="360"/>
                <w:tab w:val="left" w:pos="504"/>
              </w:tabs>
              <w:spacing w:before="120"/>
              <w:jc w:val="center"/>
              <w:textAlignment w:val="baseline"/>
              <w:rPr>
                <w:rFonts w:cstheme="majorBidi"/>
                <w:spacing w:val="-6"/>
              </w:rPr>
            </w:pPr>
            <w:r w:rsidRPr="1C6C0DED">
              <w:rPr>
                <w:rFonts w:cstheme="majorBidi"/>
              </w:rPr>
              <w:t>Par document délivré</w:t>
            </w:r>
          </w:p>
        </w:tc>
      </w:tr>
      <w:tr w:rsidR="00B24786" w:rsidRPr="00F91BDD" w14:paraId="1490278F" w14:textId="4A5EF5AC"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F4E47A6" w14:textId="30B6D67C" w:rsidR="00B24786" w:rsidRPr="00F768B6" w:rsidRDefault="00B24786" w:rsidP="00AF2BBF">
            <w:pPr>
              <w:pStyle w:val="Titre3"/>
              <w:numPr>
                <w:ilvl w:val="0"/>
                <w:numId w:val="0"/>
              </w:numPr>
              <w:ind w:left="786"/>
            </w:pPr>
            <w:bookmarkStart w:id="5276" w:name="_Toc225504394"/>
            <w:bookmarkStart w:id="5277" w:name="_Toc225772483"/>
            <w:bookmarkStart w:id="5278" w:name="_Toc233626350"/>
            <w:r w:rsidRPr="21B2FD55">
              <w:t>Permis d’environnement – 1ère classe</w:t>
            </w:r>
            <w:bookmarkEnd w:id="5276"/>
            <w:bookmarkEnd w:id="5277"/>
            <w:bookmarkEnd w:id="5278"/>
          </w:p>
        </w:tc>
        <w:tc>
          <w:tcPr>
            <w:tcW w:w="1275" w:type="dxa"/>
            <w:tcBorders>
              <w:top w:val="single" w:sz="4" w:space="0" w:color="auto"/>
              <w:left w:val="single" w:sz="4" w:space="0" w:color="auto"/>
              <w:bottom w:val="single" w:sz="4" w:space="0" w:color="auto"/>
              <w:right w:val="single" w:sz="4" w:space="0" w:color="auto"/>
            </w:tcBorders>
          </w:tcPr>
          <w:p w14:paraId="691F7721" w14:textId="77777777" w:rsidR="00B24786" w:rsidRPr="00F768B6" w:rsidRDefault="00B24786" w:rsidP="00AF2BBF">
            <w:pPr>
              <w:tabs>
                <w:tab w:val="left" w:pos="360"/>
                <w:tab w:val="left" w:pos="504"/>
              </w:tabs>
              <w:spacing w:before="120"/>
              <w:jc w:val="center"/>
              <w:textAlignment w:val="baseline"/>
              <w:rPr>
                <w:rFonts w:cstheme="majorHAnsi"/>
                <w:spacing w:val="-6"/>
              </w:rPr>
            </w:pPr>
          </w:p>
        </w:tc>
        <w:tc>
          <w:tcPr>
            <w:tcW w:w="2268" w:type="dxa"/>
            <w:tcBorders>
              <w:top w:val="single" w:sz="4" w:space="0" w:color="auto"/>
              <w:bottom w:val="single" w:sz="4" w:space="0" w:color="auto"/>
            </w:tcBorders>
          </w:tcPr>
          <w:p w14:paraId="52F0E60F" w14:textId="49FCB7A1"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1.110,00 €</w:t>
            </w:r>
          </w:p>
        </w:tc>
        <w:tc>
          <w:tcPr>
            <w:tcW w:w="2268" w:type="dxa"/>
            <w:tcBorders>
              <w:top w:val="single" w:sz="4" w:space="0" w:color="auto"/>
              <w:left w:val="single" w:sz="4" w:space="0" w:color="auto"/>
              <w:bottom w:val="single" w:sz="4" w:space="0" w:color="auto"/>
              <w:right w:val="single" w:sz="4" w:space="0" w:color="auto"/>
            </w:tcBorders>
          </w:tcPr>
          <w:p w14:paraId="4A541B58" w14:textId="336AFF3E"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1.385,17 €</w:t>
            </w:r>
          </w:p>
        </w:tc>
        <w:tc>
          <w:tcPr>
            <w:tcW w:w="3261" w:type="dxa"/>
            <w:tcBorders>
              <w:top w:val="single" w:sz="4" w:space="0" w:color="auto"/>
              <w:left w:val="single" w:sz="4" w:space="0" w:color="auto"/>
              <w:bottom w:val="single" w:sz="4" w:space="0" w:color="auto"/>
              <w:right w:val="single" w:sz="4" w:space="0" w:color="auto"/>
            </w:tcBorders>
          </w:tcPr>
          <w:p w14:paraId="3803AC6A" w14:textId="25A7BECF" w:rsidR="00B24786" w:rsidRPr="00F768B6" w:rsidRDefault="00B24786" w:rsidP="00AF2BBF">
            <w:pPr>
              <w:tabs>
                <w:tab w:val="left" w:pos="360"/>
                <w:tab w:val="left" w:pos="504"/>
              </w:tabs>
              <w:spacing w:before="120"/>
              <w:jc w:val="center"/>
              <w:textAlignment w:val="baseline"/>
              <w:rPr>
                <w:rFonts w:cstheme="majorHAnsi"/>
              </w:rPr>
            </w:pPr>
            <w:r>
              <w:rPr>
                <w:rFonts w:cstheme="majorHAnsi"/>
              </w:rPr>
              <w:t>Pour le traitement d’une demande d’un permis</w:t>
            </w:r>
          </w:p>
        </w:tc>
      </w:tr>
      <w:tr w:rsidR="00B24786" w:rsidRPr="00F91BDD" w14:paraId="1B48CC35" w14:textId="7FFA2BAE"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794A52A4" w14:textId="68B23923" w:rsidR="00B24786" w:rsidRPr="00F768B6" w:rsidRDefault="00B24786" w:rsidP="00AF2BBF">
            <w:pPr>
              <w:pStyle w:val="Titre3"/>
              <w:numPr>
                <w:ilvl w:val="0"/>
                <w:numId w:val="0"/>
              </w:numPr>
              <w:ind w:left="786"/>
            </w:pPr>
            <w:bookmarkStart w:id="5279" w:name="_Toc225504395"/>
            <w:bookmarkStart w:id="5280" w:name="_Toc225772484"/>
            <w:bookmarkStart w:id="5281" w:name="_Toc233626351"/>
            <w:r w:rsidRPr="21B2FD55">
              <w:t>Permis d’environnement – 2ème classe</w:t>
            </w:r>
            <w:bookmarkEnd w:id="5279"/>
            <w:bookmarkEnd w:id="5280"/>
            <w:bookmarkEnd w:id="5281"/>
          </w:p>
        </w:tc>
        <w:tc>
          <w:tcPr>
            <w:tcW w:w="1275" w:type="dxa"/>
            <w:tcBorders>
              <w:top w:val="single" w:sz="4" w:space="0" w:color="auto"/>
              <w:left w:val="single" w:sz="4" w:space="0" w:color="auto"/>
              <w:bottom w:val="single" w:sz="4" w:space="0" w:color="auto"/>
              <w:right w:val="single" w:sz="4" w:space="0" w:color="auto"/>
            </w:tcBorders>
          </w:tcPr>
          <w:p w14:paraId="33515889" w14:textId="77777777" w:rsidR="00B24786" w:rsidRPr="00F768B6" w:rsidRDefault="00B24786" w:rsidP="00AF2BBF">
            <w:pPr>
              <w:tabs>
                <w:tab w:val="left" w:pos="360"/>
                <w:tab w:val="left" w:pos="504"/>
              </w:tabs>
              <w:spacing w:before="120"/>
              <w:jc w:val="center"/>
              <w:textAlignment w:val="baseline"/>
              <w:rPr>
                <w:rFonts w:cstheme="majorHAnsi"/>
              </w:rPr>
            </w:pPr>
          </w:p>
        </w:tc>
        <w:tc>
          <w:tcPr>
            <w:tcW w:w="2268" w:type="dxa"/>
            <w:tcBorders>
              <w:top w:val="single" w:sz="4" w:space="0" w:color="auto"/>
              <w:bottom w:val="single" w:sz="4" w:space="0" w:color="auto"/>
            </w:tcBorders>
          </w:tcPr>
          <w:p w14:paraId="3EA745CA" w14:textId="7F1D6EBB"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125,00 €</w:t>
            </w:r>
          </w:p>
        </w:tc>
        <w:tc>
          <w:tcPr>
            <w:tcW w:w="2268" w:type="dxa"/>
            <w:tcBorders>
              <w:top w:val="single" w:sz="4" w:space="0" w:color="auto"/>
              <w:left w:val="single" w:sz="4" w:space="0" w:color="auto"/>
              <w:bottom w:val="single" w:sz="4" w:space="0" w:color="auto"/>
              <w:right w:val="single" w:sz="4" w:space="0" w:color="auto"/>
            </w:tcBorders>
          </w:tcPr>
          <w:p w14:paraId="3F62B887" w14:textId="2437E115"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155,99 €</w:t>
            </w:r>
          </w:p>
        </w:tc>
        <w:tc>
          <w:tcPr>
            <w:tcW w:w="3261" w:type="dxa"/>
            <w:tcBorders>
              <w:top w:val="single" w:sz="4" w:space="0" w:color="auto"/>
              <w:left w:val="single" w:sz="4" w:space="0" w:color="auto"/>
              <w:bottom w:val="single" w:sz="4" w:space="0" w:color="auto"/>
              <w:right w:val="single" w:sz="4" w:space="0" w:color="auto"/>
            </w:tcBorders>
          </w:tcPr>
          <w:p w14:paraId="3B6AB5DC" w14:textId="0AC9AE08" w:rsidR="00B24786" w:rsidRPr="00F768B6" w:rsidRDefault="00B24786" w:rsidP="00AF2BBF">
            <w:pPr>
              <w:tabs>
                <w:tab w:val="left" w:pos="360"/>
                <w:tab w:val="left" w:pos="504"/>
              </w:tabs>
              <w:spacing w:before="120"/>
              <w:jc w:val="center"/>
              <w:textAlignment w:val="baseline"/>
              <w:rPr>
                <w:rFonts w:cstheme="majorHAnsi"/>
              </w:rPr>
            </w:pPr>
            <w:r>
              <w:rPr>
                <w:rFonts w:cstheme="majorHAnsi"/>
              </w:rPr>
              <w:t>Pour le traitement d’une demande d’un permis</w:t>
            </w:r>
          </w:p>
        </w:tc>
      </w:tr>
      <w:tr w:rsidR="00B24786" w:rsidRPr="00F91BDD" w14:paraId="56292DA6" w14:textId="07CF984F"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52CEC36D" w14:textId="1A211600" w:rsidR="00B24786" w:rsidRPr="00F768B6" w:rsidRDefault="00B24786" w:rsidP="00AF2BBF">
            <w:pPr>
              <w:pStyle w:val="Titre3"/>
              <w:numPr>
                <w:ilvl w:val="0"/>
                <w:numId w:val="0"/>
              </w:numPr>
              <w:ind w:left="786"/>
            </w:pPr>
            <w:bookmarkStart w:id="5282" w:name="_Toc225504396"/>
            <w:bookmarkStart w:id="5283" w:name="_Toc225772485"/>
            <w:bookmarkStart w:id="5284" w:name="_Toc233626352"/>
            <w:r w:rsidRPr="21B2FD55">
              <w:t>Permis unique – 1ère classe</w:t>
            </w:r>
            <w:bookmarkEnd w:id="5282"/>
            <w:bookmarkEnd w:id="5283"/>
            <w:bookmarkEnd w:id="5284"/>
          </w:p>
        </w:tc>
        <w:tc>
          <w:tcPr>
            <w:tcW w:w="1275" w:type="dxa"/>
            <w:tcBorders>
              <w:top w:val="single" w:sz="4" w:space="0" w:color="auto"/>
              <w:left w:val="single" w:sz="4" w:space="0" w:color="auto"/>
              <w:bottom w:val="single" w:sz="4" w:space="0" w:color="auto"/>
              <w:right w:val="single" w:sz="4" w:space="0" w:color="auto"/>
            </w:tcBorders>
          </w:tcPr>
          <w:p w14:paraId="612C12F3" w14:textId="77777777" w:rsidR="00B24786" w:rsidRPr="00F768B6" w:rsidRDefault="00B24786" w:rsidP="00AF2BBF">
            <w:pPr>
              <w:tabs>
                <w:tab w:val="left" w:pos="360"/>
                <w:tab w:val="left" w:pos="504"/>
              </w:tabs>
              <w:spacing w:before="120"/>
              <w:jc w:val="center"/>
              <w:textAlignment w:val="baseline"/>
              <w:rPr>
                <w:rFonts w:cstheme="majorHAnsi"/>
              </w:rPr>
            </w:pPr>
          </w:p>
        </w:tc>
        <w:tc>
          <w:tcPr>
            <w:tcW w:w="2268" w:type="dxa"/>
            <w:tcBorders>
              <w:top w:val="single" w:sz="4" w:space="0" w:color="auto"/>
              <w:bottom w:val="single" w:sz="4" w:space="0" w:color="auto"/>
            </w:tcBorders>
          </w:tcPr>
          <w:p w14:paraId="0B690354" w14:textId="272DF492"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4.500,00 €</w:t>
            </w:r>
          </w:p>
        </w:tc>
        <w:tc>
          <w:tcPr>
            <w:tcW w:w="2268" w:type="dxa"/>
            <w:tcBorders>
              <w:top w:val="single" w:sz="4" w:space="0" w:color="auto"/>
              <w:left w:val="single" w:sz="4" w:space="0" w:color="auto"/>
              <w:bottom w:val="single" w:sz="4" w:space="0" w:color="auto"/>
              <w:right w:val="single" w:sz="4" w:space="0" w:color="auto"/>
            </w:tcBorders>
          </w:tcPr>
          <w:p w14:paraId="7F5D28D9" w14:textId="4B7BA822"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5.615,55 €</w:t>
            </w:r>
          </w:p>
        </w:tc>
        <w:tc>
          <w:tcPr>
            <w:tcW w:w="3261" w:type="dxa"/>
            <w:tcBorders>
              <w:top w:val="single" w:sz="4" w:space="0" w:color="auto"/>
              <w:left w:val="single" w:sz="4" w:space="0" w:color="auto"/>
              <w:bottom w:val="single" w:sz="4" w:space="0" w:color="auto"/>
              <w:right w:val="single" w:sz="4" w:space="0" w:color="auto"/>
            </w:tcBorders>
          </w:tcPr>
          <w:p w14:paraId="4212CAF1" w14:textId="13C6F9EB" w:rsidR="00B24786" w:rsidRPr="00F768B6" w:rsidRDefault="00B24786" w:rsidP="00AF2BBF">
            <w:pPr>
              <w:tabs>
                <w:tab w:val="left" w:pos="360"/>
                <w:tab w:val="left" w:pos="504"/>
              </w:tabs>
              <w:spacing w:before="120"/>
              <w:jc w:val="center"/>
              <w:textAlignment w:val="baseline"/>
              <w:rPr>
                <w:rFonts w:cstheme="majorHAnsi"/>
              </w:rPr>
            </w:pPr>
            <w:r>
              <w:rPr>
                <w:rFonts w:cstheme="majorHAnsi"/>
              </w:rPr>
              <w:t>Pour le traitement d’une demande d’un permis</w:t>
            </w:r>
          </w:p>
        </w:tc>
      </w:tr>
      <w:tr w:rsidR="00B24786" w:rsidRPr="00F91BDD" w14:paraId="61B33919" w14:textId="66005AE3"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04C91EC3" w14:textId="12295174" w:rsidR="00B24786" w:rsidRPr="00F768B6" w:rsidRDefault="00B24786" w:rsidP="00AF2BBF">
            <w:pPr>
              <w:pStyle w:val="Titre3"/>
              <w:numPr>
                <w:ilvl w:val="0"/>
                <w:numId w:val="0"/>
              </w:numPr>
              <w:ind w:left="786"/>
            </w:pPr>
            <w:bookmarkStart w:id="5285" w:name="_Toc225504397"/>
            <w:bookmarkStart w:id="5286" w:name="_Toc225772486"/>
            <w:bookmarkStart w:id="5287" w:name="_Toc233626353"/>
            <w:r w:rsidRPr="21B2FD55">
              <w:t>Permis unique – 2ème classe</w:t>
            </w:r>
            <w:bookmarkEnd w:id="5285"/>
            <w:bookmarkEnd w:id="5286"/>
            <w:bookmarkEnd w:id="5287"/>
          </w:p>
        </w:tc>
        <w:tc>
          <w:tcPr>
            <w:tcW w:w="1275" w:type="dxa"/>
            <w:tcBorders>
              <w:top w:val="single" w:sz="4" w:space="0" w:color="auto"/>
              <w:left w:val="single" w:sz="4" w:space="0" w:color="auto"/>
              <w:bottom w:val="single" w:sz="4" w:space="0" w:color="auto"/>
              <w:right w:val="single" w:sz="4" w:space="0" w:color="auto"/>
            </w:tcBorders>
          </w:tcPr>
          <w:p w14:paraId="32ADD012" w14:textId="77777777" w:rsidR="00B24786" w:rsidRPr="00F768B6" w:rsidRDefault="00B24786" w:rsidP="00AF2BBF">
            <w:pPr>
              <w:tabs>
                <w:tab w:val="left" w:pos="360"/>
                <w:tab w:val="left" w:pos="504"/>
              </w:tabs>
              <w:spacing w:before="120"/>
              <w:jc w:val="center"/>
              <w:textAlignment w:val="baseline"/>
              <w:rPr>
                <w:rFonts w:cstheme="majorHAnsi"/>
              </w:rPr>
            </w:pPr>
          </w:p>
        </w:tc>
        <w:tc>
          <w:tcPr>
            <w:tcW w:w="2268" w:type="dxa"/>
            <w:tcBorders>
              <w:top w:val="single" w:sz="4" w:space="0" w:color="auto"/>
              <w:bottom w:val="single" w:sz="4" w:space="0" w:color="auto"/>
            </w:tcBorders>
          </w:tcPr>
          <w:p w14:paraId="7094A2E8" w14:textId="290C499A"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200,00 €</w:t>
            </w:r>
          </w:p>
        </w:tc>
        <w:tc>
          <w:tcPr>
            <w:tcW w:w="2268" w:type="dxa"/>
            <w:tcBorders>
              <w:top w:val="single" w:sz="4" w:space="0" w:color="auto"/>
              <w:left w:val="single" w:sz="4" w:space="0" w:color="auto"/>
              <w:bottom w:val="single" w:sz="4" w:space="0" w:color="auto"/>
              <w:right w:val="single" w:sz="4" w:space="0" w:color="auto"/>
            </w:tcBorders>
          </w:tcPr>
          <w:p w14:paraId="7FCCC634" w14:textId="501D3C1A" w:rsid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249,58 €</w:t>
            </w:r>
          </w:p>
          <w:p w14:paraId="0CE6F9CD" w14:textId="5B1CA126"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36ABA06A" w14:textId="2A46B282" w:rsidR="00B24786" w:rsidRPr="00F768B6" w:rsidRDefault="00B24786" w:rsidP="00AF2BBF">
            <w:pPr>
              <w:tabs>
                <w:tab w:val="left" w:pos="360"/>
                <w:tab w:val="left" w:pos="504"/>
              </w:tabs>
              <w:spacing w:before="120"/>
              <w:jc w:val="center"/>
              <w:textAlignment w:val="baseline"/>
              <w:rPr>
                <w:rFonts w:cstheme="majorHAnsi"/>
              </w:rPr>
            </w:pPr>
            <w:r>
              <w:rPr>
                <w:rFonts w:cstheme="majorHAnsi"/>
              </w:rPr>
              <w:t>Pour le traitement d’une demande d’un permis</w:t>
            </w:r>
          </w:p>
        </w:tc>
      </w:tr>
      <w:tr w:rsidR="00B24786" w:rsidRPr="00F91BDD" w14:paraId="0919534E" w14:textId="7135D633"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33A25CC2" w14:textId="537C2FD0" w:rsidR="00B24786" w:rsidRPr="00F768B6" w:rsidRDefault="00B24786" w:rsidP="00AF2BBF">
            <w:pPr>
              <w:pStyle w:val="Titre3"/>
              <w:numPr>
                <w:ilvl w:val="0"/>
                <w:numId w:val="0"/>
              </w:numPr>
              <w:ind w:left="786"/>
            </w:pPr>
            <w:bookmarkStart w:id="5288" w:name="_Toc225504398"/>
            <w:bookmarkStart w:id="5289" w:name="_Toc225772487"/>
            <w:bookmarkStart w:id="5290" w:name="_Toc233626354"/>
            <w:r w:rsidRPr="21B2FD55">
              <w:t>Déclaration – 3ème classe</w:t>
            </w:r>
            <w:bookmarkEnd w:id="5288"/>
            <w:bookmarkEnd w:id="5289"/>
            <w:bookmarkEnd w:id="5290"/>
          </w:p>
        </w:tc>
        <w:tc>
          <w:tcPr>
            <w:tcW w:w="1275" w:type="dxa"/>
            <w:tcBorders>
              <w:top w:val="single" w:sz="4" w:space="0" w:color="auto"/>
              <w:left w:val="single" w:sz="4" w:space="0" w:color="auto"/>
              <w:bottom w:val="single" w:sz="4" w:space="0" w:color="auto"/>
              <w:right w:val="single" w:sz="4" w:space="0" w:color="auto"/>
            </w:tcBorders>
          </w:tcPr>
          <w:p w14:paraId="76CD4ECC" w14:textId="77777777" w:rsidR="00B24786" w:rsidRPr="00F768B6" w:rsidRDefault="00B24786" w:rsidP="00AF2BBF">
            <w:pPr>
              <w:tabs>
                <w:tab w:val="left" w:pos="360"/>
                <w:tab w:val="left" w:pos="504"/>
              </w:tabs>
              <w:spacing w:before="120"/>
              <w:jc w:val="center"/>
              <w:textAlignment w:val="baseline"/>
              <w:rPr>
                <w:rFonts w:cstheme="majorHAnsi"/>
              </w:rPr>
            </w:pPr>
          </w:p>
        </w:tc>
        <w:tc>
          <w:tcPr>
            <w:tcW w:w="2268" w:type="dxa"/>
            <w:tcBorders>
              <w:top w:val="single" w:sz="4" w:space="0" w:color="auto"/>
              <w:bottom w:val="single" w:sz="4" w:space="0" w:color="auto"/>
            </w:tcBorders>
          </w:tcPr>
          <w:p w14:paraId="0C4FC14E" w14:textId="57705423"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30,00 €</w:t>
            </w:r>
          </w:p>
        </w:tc>
        <w:tc>
          <w:tcPr>
            <w:tcW w:w="2268" w:type="dxa"/>
            <w:tcBorders>
              <w:top w:val="single" w:sz="4" w:space="0" w:color="auto"/>
              <w:left w:val="single" w:sz="4" w:space="0" w:color="auto"/>
              <w:bottom w:val="single" w:sz="4" w:space="0" w:color="auto"/>
              <w:right w:val="single" w:sz="4" w:space="0" w:color="auto"/>
            </w:tcBorders>
          </w:tcPr>
          <w:p w14:paraId="22192854" w14:textId="1F1F9BE4"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37,44 €</w:t>
            </w:r>
          </w:p>
        </w:tc>
        <w:tc>
          <w:tcPr>
            <w:tcW w:w="3261" w:type="dxa"/>
            <w:tcBorders>
              <w:top w:val="single" w:sz="4" w:space="0" w:color="auto"/>
              <w:left w:val="single" w:sz="4" w:space="0" w:color="auto"/>
              <w:bottom w:val="single" w:sz="4" w:space="0" w:color="auto"/>
              <w:right w:val="single" w:sz="4" w:space="0" w:color="auto"/>
            </w:tcBorders>
          </w:tcPr>
          <w:p w14:paraId="39675E9C" w14:textId="47A6F79C" w:rsidR="00B24786" w:rsidRPr="00F768B6" w:rsidRDefault="00B24786" w:rsidP="00AF2BBF">
            <w:pPr>
              <w:tabs>
                <w:tab w:val="left" w:pos="360"/>
                <w:tab w:val="left" w:pos="504"/>
              </w:tabs>
              <w:spacing w:before="120"/>
              <w:jc w:val="center"/>
              <w:textAlignment w:val="baseline"/>
              <w:rPr>
                <w:rFonts w:cstheme="majorHAnsi"/>
              </w:rPr>
            </w:pPr>
            <w:r>
              <w:rPr>
                <w:rFonts w:cstheme="majorHAnsi"/>
              </w:rPr>
              <w:t>Pour le traitement d’une demande de déclaration</w:t>
            </w:r>
          </w:p>
        </w:tc>
      </w:tr>
      <w:tr w:rsidR="00B24786" w:rsidRPr="00F91BDD" w14:paraId="5E64BDD4" w14:textId="4DA558B8"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B9D9202" w14:textId="6F68D41D" w:rsidR="00B24786" w:rsidRPr="00F768B6" w:rsidRDefault="00B24786" w:rsidP="00AF2BBF">
            <w:pPr>
              <w:pStyle w:val="Titre3"/>
              <w:numPr>
                <w:ilvl w:val="0"/>
                <w:numId w:val="0"/>
              </w:numPr>
              <w:ind w:left="786"/>
            </w:pPr>
            <w:bookmarkStart w:id="5291" w:name="_Toc221774852"/>
            <w:bookmarkStart w:id="5292" w:name="_Toc225504399"/>
            <w:bookmarkStart w:id="5293" w:name="_Toc225772488"/>
            <w:bookmarkStart w:id="5294" w:name="_Toc233626355"/>
            <w:r w:rsidRPr="21B2FD55">
              <w:t>040/361-03 : Délivrance d’un permis d’urbanisation</w:t>
            </w:r>
            <w:bookmarkEnd w:id="5291"/>
            <w:bookmarkEnd w:id="5292"/>
            <w:bookmarkEnd w:id="5293"/>
            <w:bookmarkEnd w:id="5294"/>
          </w:p>
          <w:p w14:paraId="56F712D1" w14:textId="77777777" w:rsidR="00B24786" w:rsidRPr="00F768B6" w:rsidRDefault="00B24786" w:rsidP="00AF2BBF">
            <w:pPr>
              <w:pStyle w:val="Titre3"/>
              <w:numPr>
                <w:ilvl w:val="0"/>
                <w:numId w:val="0"/>
              </w:numPr>
              <w:ind w:left="786"/>
            </w:pPr>
          </w:p>
        </w:tc>
        <w:tc>
          <w:tcPr>
            <w:tcW w:w="1275" w:type="dxa"/>
            <w:tcBorders>
              <w:top w:val="single" w:sz="4" w:space="0" w:color="auto"/>
              <w:left w:val="single" w:sz="4" w:space="0" w:color="auto"/>
              <w:bottom w:val="single" w:sz="4" w:space="0" w:color="auto"/>
              <w:right w:val="single" w:sz="4" w:space="0" w:color="auto"/>
            </w:tcBorders>
          </w:tcPr>
          <w:p w14:paraId="5F99CFB0"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spacing w:val="-6"/>
              </w:rPr>
              <w:t>Redevance pour le traitement et taxe ou redevance pour la délivrance du document</w:t>
            </w:r>
          </w:p>
        </w:tc>
        <w:tc>
          <w:tcPr>
            <w:tcW w:w="2268" w:type="dxa"/>
            <w:tcBorders>
              <w:top w:val="single" w:sz="4" w:space="0" w:color="auto"/>
              <w:bottom w:val="single" w:sz="4" w:space="0" w:color="auto"/>
            </w:tcBorders>
          </w:tcPr>
          <w:p w14:paraId="0B58AF97" w14:textId="77777777" w:rsidR="00B24786" w:rsidRPr="00F768B6" w:rsidRDefault="00B24786" w:rsidP="00AF2BBF">
            <w:pPr>
              <w:tabs>
                <w:tab w:val="left" w:pos="360"/>
                <w:tab w:val="left" w:pos="504"/>
              </w:tabs>
              <w:spacing w:before="120"/>
              <w:jc w:val="center"/>
              <w:textAlignment w:val="baseline"/>
              <w:rPr>
                <w:rFonts w:cstheme="majorHAnsi"/>
                <w:spacing w:val="-6"/>
              </w:rPr>
            </w:pPr>
            <w:r w:rsidRPr="00F768B6">
              <w:rPr>
                <w:rFonts w:cstheme="majorHAnsi"/>
                <w:spacing w:val="-6"/>
              </w:rPr>
              <w:t xml:space="preserve">200 </w:t>
            </w:r>
            <w:r w:rsidRPr="00F768B6">
              <w:rPr>
                <w:rFonts w:cstheme="majorHAnsi"/>
              </w:rPr>
              <w:t>€ par logement ou par lot</w:t>
            </w:r>
          </w:p>
          <w:p w14:paraId="1B966B98" w14:textId="6454E468" w:rsidR="00B24786" w:rsidRPr="00F768B6" w:rsidRDefault="00B24786" w:rsidP="00AF2BBF">
            <w:pPr>
              <w:tabs>
                <w:tab w:val="left" w:pos="360"/>
                <w:tab w:val="left" w:pos="504"/>
              </w:tabs>
              <w:spacing w:before="120"/>
              <w:jc w:val="center"/>
              <w:textAlignment w:val="baseline"/>
              <w:rPr>
                <w:rFonts w:cstheme="majorHAnsi"/>
                <w:spacing w:val="-6"/>
              </w:rPr>
            </w:pPr>
            <w:r w:rsidRPr="00F768B6">
              <w:rPr>
                <w:rFonts w:cstheme="majorHAnsi"/>
                <w:spacing w:val="-6"/>
              </w:rPr>
              <w:t xml:space="preserve">30 </w:t>
            </w:r>
            <w:r w:rsidRPr="00F768B6">
              <w:rPr>
                <w:rFonts w:cstheme="majorHAnsi"/>
              </w:rPr>
              <w:t>€</w:t>
            </w:r>
            <w:r w:rsidRPr="00F768B6">
              <w:rPr>
                <w:rFonts w:cstheme="majorHAnsi"/>
                <w:spacing w:val="-6"/>
              </w:rPr>
              <w:t xml:space="preserve"> par document délivré</w:t>
            </w:r>
          </w:p>
        </w:tc>
        <w:tc>
          <w:tcPr>
            <w:tcW w:w="2268" w:type="dxa"/>
            <w:tcBorders>
              <w:top w:val="single" w:sz="4" w:space="0" w:color="auto"/>
              <w:left w:val="single" w:sz="4" w:space="0" w:color="auto"/>
              <w:bottom w:val="single" w:sz="4" w:space="0" w:color="auto"/>
              <w:right w:val="single" w:sz="4" w:space="0" w:color="auto"/>
            </w:tcBorders>
          </w:tcPr>
          <w:p w14:paraId="1A129EB2" w14:textId="54B21E73" w:rsid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249,58 €</w:t>
            </w:r>
          </w:p>
          <w:p w14:paraId="60F648FC" w14:textId="745F12AE" w:rsidR="01C1E901" w:rsidRDefault="01C1E901" w:rsidP="00AF2BBF">
            <w:pPr>
              <w:tabs>
                <w:tab w:val="left" w:pos="360"/>
                <w:tab w:val="left" w:pos="504"/>
              </w:tabs>
              <w:spacing w:before="120"/>
              <w:jc w:val="center"/>
              <w:rPr>
                <w:rFonts w:ascii="Cambria" w:eastAsia="Cambria" w:hAnsi="Cambria" w:cs="Cambria"/>
              </w:rPr>
            </w:pPr>
          </w:p>
          <w:p w14:paraId="166E633C" w14:textId="7FD95271"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37,44€</w:t>
            </w:r>
          </w:p>
        </w:tc>
        <w:tc>
          <w:tcPr>
            <w:tcW w:w="3261" w:type="dxa"/>
            <w:tcBorders>
              <w:top w:val="single" w:sz="4" w:space="0" w:color="auto"/>
              <w:left w:val="single" w:sz="4" w:space="0" w:color="auto"/>
              <w:bottom w:val="single" w:sz="4" w:space="0" w:color="auto"/>
              <w:right w:val="single" w:sz="4" w:space="0" w:color="auto"/>
            </w:tcBorders>
          </w:tcPr>
          <w:p w14:paraId="5B4960B6" w14:textId="32347CD6" w:rsidR="00B24786" w:rsidRPr="00F768B6" w:rsidRDefault="00B24786" w:rsidP="00AF2BBF">
            <w:pPr>
              <w:tabs>
                <w:tab w:val="left" w:pos="360"/>
                <w:tab w:val="left" w:pos="504"/>
              </w:tabs>
              <w:spacing w:before="120"/>
              <w:jc w:val="center"/>
              <w:textAlignment w:val="baseline"/>
              <w:rPr>
                <w:rFonts w:cstheme="majorHAnsi"/>
                <w:spacing w:val="-6"/>
              </w:rPr>
            </w:pPr>
            <w:r>
              <w:rPr>
                <w:rFonts w:cstheme="majorHAnsi"/>
                <w:spacing w:val="-6"/>
              </w:rPr>
              <w:t>Par délivrance d’un permis</w:t>
            </w:r>
          </w:p>
        </w:tc>
      </w:tr>
      <w:tr w:rsidR="00B24786" w:rsidRPr="00F91BDD" w14:paraId="100E920F" w14:textId="2910061A"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59D349E0" w14:textId="512A46F8" w:rsidR="00B24786" w:rsidRPr="00F768B6" w:rsidRDefault="00B24786" w:rsidP="00AF2BBF">
            <w:pPr>
              <w:pStyle w:val="Titre3"/>
              <w:numPr>
                <w:ilvl w:val="0"/>
                <w:numId w:val="0"/>
              </w:numPr>
              <w:ind w:left="786"/>
            </w:pPr>
            <w:bookmarkStart w:id="5295" w:name="_Toc221774853"/>
            <w:bookmarkStart w:id="5296" w:name="_Toc225504400"/>
            <w:bookmarkStart w:id="5297" w:name="_Toc225772489"/>
            <w:bookmarkStart w:id="5298" w:name="_Toc233626356"/>
            <w:r w:rsidRPr="21B2FD55">
              <w:t>040/361-04 : Délivrance de documents administratifs</w:t>
            </w:r>
            <w:bookmarkEnd w:id="5295"/>
            <w:bookmarkEnd w:id="5296"/>
            <w:bookmarkEnd w:id="5297"/>
            <w:bookmarkEnd w:id="5298"/>
          </w:p>
          <w:p w14:paraId="19C60ABE" w14:textId="77777777" w:rsidR="00B24786" w:rsidRPr="00F768B6" w:rsidRDefault="00B24786" w:rsidP="00AF2BBF">
            <w:pPr>
              <w:pStyle w:val="Titre3"/>
              <w:numPr>
                <w:ilvl w:val="0"/>
                <w:numId w:val="0"/>
              </w:numPr>
              <w:ind w:left="786"/>
            </w:pPr>
          </w:p>
        </w:tc>
        <w:tc>
          <w:tcPr>
            <w:tcW w:w="1275" w:type="dxa"/>
            <w:tcBorders>
              <w:top w:val="single" w:sz="4" w:space="0" w:color="auto"/>
              <w:left w:val="single" w:sz="4" w:space="0" w:color="auto"/>
              <w:bottom w:val="single" w:sz="4" w:space="0" w:color="auto"/>
              <w:right w:val="single" w:sz="4" w:space="0" w:color="auto"/>
            </w:tcBorders>
          </w:tcPr>
          <w:p w14:paraId="5D96D1DF" w14:textId="77777777" w:rsidR="00B24786" w:rsidRPr="00F768B6" w:rsidRDefault="00B24786" w:rsidP="00AF2BBF">
            <w:pPr>
              <w:tabs>
                <w:tab w:val="left" w:pos="360"/>
                <w:tab w:val="left" w:pos="504"/>
              </w:tabs>
              <w:spacing w:before="120"/>
              <w:jc w:val="center"/>
              <w:textAlignment w:val="baseline"/>
              <w:rPr>
                <w:rFonts w:cstheme="majorHAnsi"/>
                <w:spacing w:val="-6"/>
              </w:rPr>
            </w:pPr>
            <w:r w:rsidRPr="00F768B6">
              <w:rPr>
                <w:rFonts w:cstheme="majorHAnsi"/>
                <w:spacing w:val="-6"/>
              </w:rPr>
              <w:t>Au choix</w:t>
            </w:r>
          </w:p>
        </w:tc>
        <w:tc>
          <w:tcPr>
            <w:tcW w:w="2268" w:type="dxa"/>
            <w:tcBorders>
              <w:top w:val="single" w:sz="4" w:space="0" w:color="auto"/>
              <w:bottom w:val="single" w:sz="4" w:space="0" w:color="auto"/>
            </w:tcBorders>
          </w:tcPr>
          <w:p w14:paraId="27CB5E99"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Pour les pièces administratives : 20,00 €</w:t>
            </w:r>
          </w:p>
          <w:p w14:paraId="3FF8CDE0"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Pour les documents sans caractère répétitif : 30,00 €</w:t>
            </w:r>
          </w:p>
          <w:p w14:paraId="45BE7928" w14:textId="46FEF05A"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spacing w:val="-6"/>
              </w:rPr>
              <w:t>Pour les passeports et titres de voyage électroniques : 50</w:t>
            </w:r>
            <w:r w:rsidRPr="00F768B6">
              <w:rPr>
                <w:rFonts w:cstheme="majorHAnsi"/>
              </w:rPr>
              <w:t>€</w:t>
            </w:r>
          </w:p>
        </w:tc>
        <w:tc>
          <w:tcPr>
            <w:tcW w:w="2268" w:type="dxa"/>
            <w:tcBorders>
              <w:top w:val="single" w:sz="4" w:space="0" w:color="auto"/>
              <w:left w:val="single" w:sz="4" w:space="0" w:color="auto"/>
              <w:bottom w:val="single" w:sz="4" w:space="0" w:color="auto"/>
              <w:right w:val="single" w:sz="4" w:space="0" w:color="auto"/>
            </w:tcBorders>
          </w:tcPr>
          <w:p w14:paraId="2AB25D39" w14:textId="6BF03B6B" w:rsid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Pour les pièces administratives : 24,96 €</w:t>
            </w:r>
          </w:p>
          <w:p w14:paraId="46ADD961" w14:textId="0AE0C018" w:rsid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Pour les documents sans caractère répétitif : 37,44 €</w:t>
            </w:r>
          </w:p>
          <w:p w14:paraId="6A313F61" w14:textId="7A9CD930"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Pour les passeports et titres de voyage électroniques : 62,39€</w:t>
            </w:r>
          </w:p>
        </w:tc>
        <w:tc>
          <w:tcPr>
            <w:tcW w:w="3261" w:type="dxa"/>
            <w:tcBorders>
              <w:top w:val="single" w:sz="4" w:space="0" w:color="auto"/>
              <w:left w:val="single" w:sz="4" w:space="0" w:color="auto"/>
              <w:bottom w:val="single" w:sz="4" w:space="0" w:color="auto"/>
              <w:right w:val="single" w:sz="4" w:space="0" w:color="auto"/>
            </w:tcBorders>
          </w:tcPr>
          <w:p w14:paraId="66C6E112" w14:textId="58DA08E6" w:rsidR="00B24786" w:rsidRPr="00F768B6" w:rsidRDefault="00B24786" w:rsidP="00AF2BBF">
            <w:pPr>
              <w:tabs>
                <w:tab w:val="left" w:pos="360"/>
                <w:tab w:val="left" w:pos="504"/>
              </w:tabs>
              <w:spacing w:before="120"/>
              <w:jc w:val="center"/>
              <w:textAlignment w:val="baseline"/>
              <w:rPr>
                <w:rFonts w:cstheme="majorHAnsi"/>
              </w:rPr>
            </w:pPr>
            <w:r>
              <w:rPr>
                <w:rFonts w:cstheme="majorHAnsi"/>
              </w:rPr>
              <w:t>Par délivrance d’un document</w:t>
            </w:r>
          </w:p>
        </w:tc>
      </w:tr>
      <w:tr w:rsidR="00B24786" w:rsidRPr="00F91BDD" w14:paraId="36E1747E" w14:textId="76B55045"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1A05F788" w14:textId="757A7B2C" w:rsidR="00B24786" w:rsidRPr="00F768B6" w:rsidRDefault="00B24786" w:rsidP="00AF2BBF">
            <w:pPr>
              <w:pStyle w:val="Titre3"/>
              <w:numPr>
                <w:ilvl w:val="0"/>
                <w:numId w:val="0"/>
              </w:numPr>
              <w:ind w:left="786"/>
            </w:pPr>
            <w:bookmarkStart w:id="5299" w:name="_Toc225504401"/>
            <w:bookmarkStart w:id="5300" w:name="_Toc225772490"/>
            <w:bookmarkStart w:id="5301" w:name="_Toc233626357"/>
            <w:r w:rsidRPr="21B2FD55">
              <w:lastRenderedPageBreak/>
              <w:t>Demande de changement de prénom</w:t>
            </w:r>
            <w:bookmarkEnd w:id="5299"/>
            <w:bookmarkEnd w:id="5300"/>
            <w:bookmarkEnd w:id="5301"/>
          </w:p>
        </w:tc>
        <w:tc>
          <w:tcPr>
            <w:tcW w:w="1275" w:type="dxa"/>
            <w:tcBorders>
              <w:top w:val="single" w:sz="4" w:space="0" w:color="auto"/>
              <w:left w:val="single" w:sz="4" w:space="0" w:color="auto"/>
              <w:bottom w:val="single" w:sz="4" w:space="0" w:color="auto"/>
              <w:right w:val="single" w:sz="4" w:space="0" w:color="auto"/>
            </w:tcBorders>
          </w:tcPr>
          <w:p w14:paraId="71F5EB14" w14:textId="77777777" w:rsidR="00B24786" w:rsidRPr="00F768B6" w:rsidRDefault="00B24786" w:rsidP="00AF2BBF">
            <w:pPr>
              <w:tabs>
                <w:tab w:val="left" w:pos="360"/>
                <w:tab w:val="left" w:pos="504"/>
              </w:tabs>
              <w:spacing w:before="120"/>
              <w:jc w:val="center"/>
              <w:textAlignment w:val="baseline"/>
              <w:rPr>
                <w:rFonts w:cstheme="majorHAnsi"/>
                <w:spacing w:val="-6"/>
              </w:rPr>
            </w:pPr>
            <w:r w:rsidRPr="00F768B6">
              <w:rPr>
                <w:rFonts w:cstheme="majorHAnsi"/>
                <w:spacing w:val="-6"/>
              </w:rPr>
              <w:t>Redevance</w:t>
            </w:r>
          </w:p>
        </w:tc>
        <w:tc>
          <w:tcPr>
            <w:tcW w:w="2268" w:type="dxa"/>
            <w:tcBorders>
              <w:top w:val="single" w:sz="4" w:space="0" w:color="auto"/>
              <w:bottom w:val="single" w:sz="4" w:space="0" w:color="auto"/>
            </w:tcBorders>
          </w:tcPr>
          <w:p w14:paraId="64E2D2D2" w14:textId="3D578EB4"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500€</w:t>
            </w:r>
          </w:p>
        </w:tc>
        <w:tc>
          <w:tcPr>
            <w:tcW w:w="2268" w:type="dxa"/>
            <w:tcBorders>
              <w:top w:val="single" w:sz="4" w:space="0" w:color="auto"/>
              <w:left w:val="single" w:sz="4" w:space="0" w:color="auto"/>
              <w:bottom w:val="single" w:sz="4" w:space="0" w:color="auto"/>
              <w:right w:val="single" w:sz="4" w:space="0" w:color="auto"/>
            </w:tcBorders>
          </w:tcPr>
          <w:p w14:paraId="52F63004" w14:textId="7C7AA588"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623,95€</w:t>
            </w:r>
          </w:p>
        </w:tc>
        <w:tc>
          <w:tcPr>
            <w:tcW w:w="3261" w:type="dxa"/>
            <w:tcBorders>
              <w:top w:val="single" w:sz="4" w:space="0" w:color="auto"/>
              <w:left w:val="single" w:sz="4" w:space="0" w:color="auto"/>
              <w:bottom w:val="single" w:sz="4" w:space="0" w:color="auto"/>
              <w:right w:val="single" w:sz="4" w:space="0" w:color="auto"/>
            </w:tcBorders>
          </w:tcPr>
          <w:p w14:paraId="24D55404" w14:textId="33AB7A92" w:rsidR="00B24786" w:rsidRPr="00F768B6" w:rsidRDefault="00B24786" w:rsidP="00AF2BBF">
            <w:pPr>
              <w:tabs>
                <w:tab w:val="left" w:pos="360"/>
                <w:tab w:val="left" w:pos="504"/>
              </w:tabs>
              <w:spacing w:before="120"/>
              <w:jc w:val="center"/>
              <w:textAlignment w:val="baseline"/>
              <w:rPr>
                <w:rFonts w:cstheme="majorHAnsi"/>
              </w:rPr>
            </w:pPr>
            <w:r>
              <w:rPr>
                <w:rFonts w:cstheme="majorHAnsi"/>
              </w:rPr>
              <w:t>Par demande de changement de prénom</w:t>
            </w:r>
          </w:p>
        </w:tc>
      </w:tr>
      <w:tr w:rsidR="00B24786" w:rsidRPr="00F91BDD" w14:paraId="21BE88E7" w14:textId="2704D520"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023ED80C" w14:textId="46D88FBB" w:rsidR="00B24786" w:rsidRPr="00F768B6" w:rsidRDefault="00B24786" w:rsidP="00AF2BBF">
            <w:pPr>
              <w:pStyle w:val="Titre3"/>
              <w:numPr>
                <w:ilvl w:val="0"/>
                <w:numId w:val="0"/>
              </w:numPr>
              <w:ind w:left="786"/>
            </w:pPr>
            <w:bookmarkStart w:id="5302" w:name="_Toc225504402"/>
            <w:bookmarkStart w:id="5303" w:name="_Toc225772491"/>
            <w:bookmarkStart w:id="5304" w:name="_Toc233626358"/>
            <w:r w:rsidRPr="21B2FD55">
              <w:t>Demande de changement de nom</w:t>
            </w:r>
            <w:bookmarkEnd w:id="5302"/>
            <w:bookmarkEnd w:id="5303"/>
            <w:bookmarkEnd w:id="5304"/>
          </w:p>
        </w:tc>
        <w:tc>
          <w:tcPr>
            <w:tcW w:w="1275" w:type="dxa"/>
            <w:tcBorders>
              <w:top w:val="single" w:sz="4" w:space="0" w:color="auto"/>
              <w:left w:val="single" w:sz="4" w:space="0" w:color="auto"/>
              <w:bottom w:val="single" w:sz="4" w:space="0" w:color="auto"/>
              <w:right w:val="single" w:sz="4" w:space="0" w:color="auto"/>
            </w:tcBorders>
          </w:tcPr>
          <w:p w14:paraId="3FF308C5" w14:textId="77777777" w:rsidR="00B24786" w:rsidRPr="00F768B6" w:rsidRDefault="00B24786" w:rsidP="00AF2BBF">
            <w:pPr>
              <w:tabs>
                <w:tab w:val="left" w:pos="360"/>
                <w:tab w:val="left" w:pos="504"/>
              </w:tabs>
              <w:spacing w:before="120"/>
              <w:jc w:val="center"/>
              <w:textAlignment w:val="baseline"/>
              <w:rPr>
                <w:rFonts w:cstheme="majorHAnsi"/>
                <w:spacing w:val="-6"/>
              </w:rPr>
            </w:pPr>
            <w:r w:rsidRPr="00F768B6">
              <w:rPr>
                <w:rFonts w:cstheme="majorHAnsi"/>
                <w:spacing w:val="-6"/>
              </w:rPr>
              <w:t>Taxe</w:t>
            </w:r>
          </w:p>
        </w:tc>
        <w:tc>
          <w:tcPr>
            <w:tcW w:w="2268" w:type="dxa"/>
            <w:tcBorders>
              <w:top w:val="single" w:sz="4" w:space="0" w:color="auto"/>
              <w:bottom w:val="single" w:sz="4" w:space="0" w:color="auto"/>
            </w:tcBorders>
          </w:tcPr>
          <w:p w14:paraId="6B3E4434" w14:textId="630A5958"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500€</w:t>
            </w:r>
          </w:p>
        </w:tc>
        <w:tc>
          <w:tcPr>
            <w:tcW w:w="2268" w:type="dxa"/>
            <w:tcBorders>
              <w:top w:val="single" w:sz="4" w:space="0" w:color="auto"/>
              <w:left w:val="single" w:sz="4" w:space="0" w:color="auto"/>
              <w:bottom w:val="single" w:sz="4" w:space="0" w:color="auto"/>
              <w:right w:val="single" w:sz="4" w:space="0" w:color="auto"/>
            </w:tcBorders>
          </w:tcPr>
          <w:p w14:paraId="2841F2C6" w14:textId="3BA8C34C"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623,95€</w:t>
            </w:r>
          </w:p>
        </w:tc>
        <w:tc>
          <w:tcPr>
            <w:tcW w:w="3261" w:type="dxa"/>
            <w:tcBorders>
              <w:top w:val="single" w:sz="4" w:space="0" w:color="auto"/>
              <w:left w:val="single" w:sz="4" w:space="0" w:color="auto"/>
              <w:bottom w:val="single" w:sz="4" w:space="0" w:color="auto"/>
              <w:right w:val="single" w:sz="4" w:space="0" w:color="auto"/>
            </w:tcBorders>
          </w:tcPr>
          <w:p w14:paraId="7F7104E3" w14:textId="5D97D417" w:rsidR="00B24786" w:rsidRPr="00F768B6" w:rsidRDefault="00B24786" w:rsidP="00AF2BBF">
            <w:pPr>
              <w:tabs>
                <w:tab w:val="left" w:pos="360"/>
                <w:tab w:val="left" w:pos="504"/>
              </w:tabs>
              <w:spacing w:before="120"/>
              <w:jc w:val="center"/>
              <w:textAlignment w:val="baseline"/>
              <w:rPr>
                <w:rFonts w:cstheme="majorHAnsi"/>
              </w:rPr>
            </w:pPr>
            <w:r>
              <w:rPr>
                <w:rFonts w:cstheme="majorHAnsi"/>
              </w:rPr>
              <w:t>Par demande de changement de nom</w:t>
            </w:r>
          </w:p>
        </w:tc>
      </w:tr>
      <w:tr w:rsidR="00B24786" w:rsidRPr="00F91BDD" w14:paraId="6AA736C8" w14:textId="2DD5779F"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596DC3D" w14:textId="5276977B" w:rsidR="00B24786" w:rsidRPr="00F768B6" w:rsidRDefault="00B24786" w:rsidP="00AF2BBF">
            <w:pPr>
              <w:pStyle w:val="Titre3"/>
              <w:numPr>
                <w:ilvl w:val="0"/>
                <w:numId w:val="0"/>
              </w:numPr>
              <w:ind w:left="786"/>
            </w:pPr>
            <w:bookmarkStart w:id="5305" w:name="_Toc225504403"/>
            <w:bookmarkStart w:id="5306" w:name="_Toc225772492"/>
            <w:bookmarkStart w:id="5307" w:name="_Toc233626359"/>
            <w:r w:rsidRPr="21B2FD55">
              <w:t>Enquête pour le permis de location :</w:t>
            </w:r>
            <w:bookmarkEnd w:id="5305"/>
            <w:bookmarkEnd w:id="5306"/>
            <w:bookmarkEnd w:id="5307"/>
          </w:p>
          <w:p w14:paraId="278BCD3B" w14:textId="77777777" w:rsidR="00B24786" w:rsidRPr="00F768B6" w:rsidRDefault="00B24786">
            <w:pPr>
              <w:pStyle w:val="Paragraphedeliste"/>
              <w:numPr>
                <w:ilvl w:val="0"/>
                <w:numId w:val="9"/>
              </w:numPr>
              <w:jc w:val="center"/>
              <w:rPr>
                <w:rFonts w:cstheme="majorHAnsi"/>
              </w:rPr>
            </w:pPr>
            <w:r w:rsidRPr="00F768B6">
              <w:rPr>
                <w:rFonts w:cstheme="majorHAnsi"/>
              </w:rPr>
              <w:t>Logement individuel</w:t>
            </w:r>
          </w:p>
          <w:p w14:paraId="394D0555" w14:textId="77777777" w:rsidR="00B24786" w:rsidRPr="00F768B6" w:rsidRDefault="00B24786">
            <w:pPr>
              <w:pStyle w:val="Paragraphedeliste"/>
              <w:numPr>
                <w:ilvl w:val="0"/>
                <w:numId w:val="9"/>
              </w:numPr>
              <w:jc w:val="center"/>
              <w:rPr>
                <w:rFonts w:cstheme="majorHAnsi"/>
              </w:rPr>
            </w:pPr>
            <w:r w:rsidRPr="00F768B6">
              <w:rPr>
                <w:rFonts w:cstheme="majorHAnsi"/>
              </w:rPr>
              <w:t>Logement collectif – forfait</w:t>
            </w:r>
          </w:p>
          <w:p w14:paraId="5AD270DC" w14:textId="77777777" w:rsidR="00B24786" w:rsidRPr="00F768B6" w:rsidRDefault="00B24786">
            <w:pPr>
              <w:pStyle w:val="Paragraphedeliste"/>
              <w:numPr>
                <w:ilvl w:val="0"/>
                <w:numId w:val="9"/>
              </w:numPr>
              <w:jc w:val="center"/>
              <w:rPr>
                <w:rFonts w:cstheme="majorHAnsi"/>
              </w:rPr>
            </w:pPr>
            <w:r w:rsidRPr="00F768B6">
              <w:rPr>
                <w:rFonts w:cstheme="majorHAnsi"/>
              </w:rPr>
              <w:t>Logement collectif – majoration par pièce individuelle</w:t>
            </w:r>
          </w:p>
        </w:tc>
        <w:tc>
          <w:tcPr>
            <w:tcW w:w="1275" w:type="dxa"/>
            <w:tcBorders>
              <w:top w:val="single" w:sz="4" w:space="0" w:color="auto"/>
              <w:left w:val="single" w:sz="4" w:space="0" w:color="auto"/>
              <w:bottom w:val="single" w:sz="4" w:space="0" w:color="auto"/>
              <w:right w:val="single" w:sz="4" w:space="0" w:color="auto"/>
            </w:tcBorders>
          </w:tcPr>
          <w:p w14:paraId="56407FBD" w14:textId="77777777" w:rsidR="00B24786" w:rsidRPr="00F768B6" w:rsidRDefault="00B24786" w:rsidP="00AF2BBF">
            <w:pPr>
              <w:tabs>
                <w:tab w:val="left" w:pos="360"/>
                <w:tab w:val="left" w:pos="504"/>
              </w:tabs>
              <w:spacing w:before="120"/>
              <w:jc w:val="center"/>
              <w:textAlignment w:val="baseline"/>
              <w:rPr>
                <w:rFonts w:cstheme="majorHAnsi"/>
                <w:spacing w:val="-6"/>
              </w:rPr>
            </w:pPr>
            <w:r w:rsidRPr="00F768B6">
              <w:rPr>
                <w:rFonts w:cstheme="majorHAnsi"/>
                <w:spacing w:val="-6"/>
              </w:rPr>
              <w:t>Redevance</w:t>
            </w:r>
          </w:p>
        </w:tc>
        <w:tc>
          <w:tcPr>
            <w:tcW w:w="2268" w:type="dxa"/>
            <w:tcBorders>
              <w:top w:val="single" w:sz="4" w:space="0" w:color="auto"/>
              <w:bottom w:val="single" w:sz="4" w:space="0" w:color="auto"/>
            </w:tcBorders>
          </w:tcPr>
          <w:p w14:paraId="1F126986" w14:textId="77777777" w:rsidR="00B24786" w:rsidRPr="00F768B6" w:rsidRDefault="00B24786" w:rsidP="00AF2BBF">
            <w:pPr>
              <w:tabs>
                <w:tab w:val="left" w:pos="360"/>
                <w:tab w:val="left" w:pos="504"/>
              </w:tabs>
              <w:spacing w:before="120"/>
              <w:jc w:val="center"/>
              <w:textAlignment w:val="baseline"/>
              <w:rPr>
                <w:rFonts w:cstheme="majorHAnsi"/>
              </w:rPr>
            </w:pPr>
          </w:p>
          <w:p w14:paraId="20670A61"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125€</w:t>
            </w:r>
          </w:p>
          <w:p w14:paraId="2C05F6C4" w14:textId="77777777" w:rsidR="00B24786" w:rsidRPr="00F768B6" w:rsidRDefault="00B24786" w:rsidP="00AF2BBF">
            <w:pPr>
              <w:tabs>
                <w:tab w:val="left" w:pos="360"/>
                <w:tab w:val="left" w:pos="504"/>
              </w:tabs>
              <w:spacing w:before="120"/>
              <w:jc w:val="center"/>
              <w:textAlignment w:val="baseline"/>
              <w:rPr>
                <w:rFonts w:cstheme="majorHAnsi"/>
              </w:rPr>
            </w:pPr>
          </w:p>
          <w:p w14:paraId="7BD89AA3"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125€</w:t>
            </w:r>
          </w:p>
          <w:p w14:paraId="3FB14C76" w14:textId="77777777" w:rsidR="00B24786" w:rsidRPr="00F768B6" w:rsidRDefault="00B24786" w:rsidP="00AF2BBF">
            <w:pPr>
              <w:tabs>
                <w:tab w:val="left" w:pos="360"/>
                <w:tab w:val="left" w:pos="504"/>
              </w:tabs>
              <w:spacing w:before="120"/>
              <w:jc w:val="center"/>
              <w:textAlignment w:val="baseline"/>
              <w:rPr>
                <w:rFonts w:cstheme="majorHAnsi"/>
              </w:rPr>
            </w:pPr>
          </w:p>
          <w:p w14:paraId="6F421430" w14:textId="0FCF1E6A"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25€</w:t>
            </w:r>
          </w:p>
        </w:tc>
        <w:tc>
          <w:tcPr>
            <w:tcW w:w="2268" w:type="dxa"/>
            <w:tcBorders>
              <w:top w:val="single" w:sz="4" w:space="0" w:color="auto"/>
              <w:left w:val="single" w:sz="4" w:space="0" w:color="auto"/>
              <w:bottom w:val="single" w:sz="4" w:space="0" w:color="auto"/>
              <w:right w:val="single" w:sz="4" w:space="0" w:color="auto"/>
            </w:tcBorders>
          </w:tcPr>
          <w:p w14:paraId="50CFA42B" w14:textId="77777777" w:rsidR="00A578A6" w:rsidRPr="00AF2BBF" w:rsidRDefault="00A578A6" w:rsidP="00AF2BBF">
            <w:pPr>
              <w:tabs>
                <w:tab w:val="left" w:pos="360"/>
                <w:tab w:val="left" w:pos="504"/>
              </w:tabs>
              <w:spacing w:before="120"/>
              <w:jc w:val="center"/>
              <w:rPr>
                <w:lang w:val="fr"/>
              </w:rPr>
            </w:pPr>
          </w:p>
          <w:p w14:paraId="2BED7702" w14:textId="77777777" w:rsidR="00617DEC" w:rsidRPr="00AF2BBF" w:rsidRDefault="5A02D799" w:rsidP="00AF2BBF">
            <w:pPr>
              <w:tabs>
                <w:tab w:val="left" w:pos="360"/>
                <w:tab w:val="left" w:pos="504"/>
              </w:tabs>
              <w:spacing w:before="120"/>
              <w:jc w:val="center"/>
              <w:rPr>
                <w:lang w:val="fr"/>
              </w:rPr>
            </w:pPr>
            <w:r w:rsidRPr="00AF2BBF">
              <w:rPr>
                <w:lang w:val="fr"/>
              </w:rPr>
              <w:t>209,6€</w:t>
            </w:r>
          </w:p>
          <w:p w14:paraId="2E79FD75" w14:textId="77777777" w:rsidR="00163A06" w:rsidRPr="00AF2BBF" w:rsidRDefault="00163A06" w:rsidP="00AF2BBF">
            <w:pPr>
              <w:tabs>
                <w:tab w:val="left" w:pos="360"/>
                <w:tab w:val="left" w:pos="504"/>
              </w:tabs>
              <w:spacing w:before="120"/>
              <w:jc w:val="center"/>
              <w:rPr>
                <w:lang w:val="fr"/>
              </w:rPr>
            </w:pPr>
          </w:p>
          <w:p w14:paraId="0EA3E428" w14:textId="5F612FF7" w:rsidR="00617DEC" w:rsidRPr="00AF2BBF" w:rsidRDefault="5A02D799" w:rsidP="00AF2BBF">
            <w:pPr>
              <w:tabs>
                <w:tab w:val="left" w:pos="360"/>
                <w:tab w:val="left" w:pos="504"/>
              </w:tabs>
              <w:spacing w:before="120"/>
              <w:jc w:val="center"/>
              <w:rPr>
                <w:lang w:val="fr"/>
              </w:rPr>
            </w:pPr>
            <w:r w:rsidRPr="00AF2BBF">
              <w:rPr>
                <w:lang w:val="fr"/>
              </w:rPr>
              <w:t>209,6€</w:t>
            </w:r>
          </w:p>
          <w:p w14:paraId="4F770138" w14:textId="77777777" w:rsidR="00617DEC" w:rsidRPr="00AF2BBF" w:rsidRDefault="00617DEC" w:rsidP="00AF2BBF">
            <w:pPr>
              <w:tabs>
                <w:tab w:val="left" w:pos="360"/>
                <w:tab w:val="left" w:pos="504"/>
              </w:tabs>
              <w:spacing w:before="120"/>
              <w:jc w:val="center"/>
              <w:rPr>
                <w:lang w:val="fr"/>
              </w:rPr>
            </w:pPr>
          </w:p>
          <w:p w14:paraId="55A41662" w14:textId="77777777" w:rsidR="00617DEC" w:rsidRPr="00AF2BBF" w:rsidRDefault="5A02D799" w:rsidP="00AF2BBF">
            <w:pPr>
              <w:tabs>
                <w:tab w:val="left" w:pos="360"/>
                <w:tab w:val="left" w:pos="504"/>
              </w:tabs>
              <w:spacing w:before="120"/>
              <w:jc w:val="center"/>
              <w:rPr>
                <w:lang w:val="fr"/>
              </w:rPr>
            </w:pPr>
            <w:r w:rsidRPr="00AF2BBF">
              <w:rPr>
                <w:lang w:val="fr"/>
              </w:rPr>
              <w:t>41,92€</w:t>
            </w:r>
          </w:p>
          <w:p w14:paraId="559C1654" w14:textId="77777777" w:rsidR="00617DEC" w:rsidRPr="00AF2BBF" w:rsidRDefault="00617DEC" w:rsidP="00AF2BBF">
            <w:pPr>
              <w:tabs>
                <w:tab w:val="left" w:pos="360"/>
                <w:tab w:val="left" w:pos="504"/>
              </w:tabs>
              <w:spacing w:before="120"/>
              <w:jc w:val="center"/>
              <w:rPr>
                <w:lang w:val="fr"/>
              </w:rPr>
            </w:pPr>
          </w:p>
          <w:p w14:paraId="484E31BE" w14:textId="12FB814D" w:rsidR="7E90D47A" w:rsidRPr="01C1E901" w:rsidRDefault="3ED7D925" w:rsidP="00AF2BBF">
            <w:pPr>
              <w:tabs>
                <w:tab w:val="left" w:pos="360"/>
                <w:tab w:val="left" w:pos="504"/>
              </w:tabs>
              <w:spacing w:before="120"/>
              <w:jc w:val="center"/>
              <w:rPr>
                <w:lang w:val="fr"/>
              </w:rPr>
            </w:pPr>
            <w:r w:rsidRPr="698B980C">
              <w:rPr>
                <w:lang w:val="fr"/>
              </w:rPr>
              <w:t>Ces montants sont rattachés à l'indice des prix à la consommation de septembre 2003 (80,48 à l’indice 2013) et sont indexés le 1</w:t>
            </w:r>
            <w:r w:rsidRPr="698B980C">
              <w:rPr>
                <w:vertAlign w:val="superscript"/>
                <w:lang w:val="fr"/>
              </w:rPr>
              <w:t>er</w:t>
            </w:r>
            <w:r w:rsidRPr="698B980C">
              <w:rPr>
                <w:lang w:val="fr"/>
              </w:rPr>
              <w:t xml:space="preserve"> janvier de chaque année sur la base de l'indice des prix à la consommation du mois de septembre de l'année précédente (</w:t>
            </w:r>
            <w:r w:rsidR="2F03971E" w:rsidRPr="698B980C">
              <w:rPr>
                <w:lang w:val="fr"/>
              </w:rPr>
              <w:t>13</w:t>
            </w:r>
            <w:r w:rsidR="0240EC28" w:rsidRPr="698B980C">
              <w:rPr>
                <w:lang w:val="fr"/>
              </w:rPr>
              <w:t>4</w:t>
            </w:r>
            <w:r w:rsidRPr="698B980C">
              <w:rPr>
                <w:lang w:val="fr"/>
              </w:rPr>
              <w:t>,</w:t>
            </w:r>
            <w:r w:rsidR="2F03971E" w:rsidRPr="698B980C">
              <w:rPr>
                <w:lang w:val="fr"/>
              </w:rPr>
              <w:t xml:space="preserve">95 </w:t>
            </w:r>
            <w:r w:rsidRPr="698B980C">
              <w:rPr>
                <w:lang w:val="fr"/>
              </w:rPr>
              <w:t xml:space="preserve">à l’indice 2013 en septembre </w:t>
            </w:r>
            <w:r w:rsidR="2F03971E" w:rsidRPr="698B980C">
              <w:rPr>
                <w:lang w:val="fr"/>
              </w:rPr>
              <w:t>2025</w:t>
            </w:r>
            <w:r w:rsidRPr="698B980C">
              <w:rPr>
                <w:lang w:val="fr"/>
              </w:rPr>
              <w:t>).</w:t>
            </w:r>
          </w:p>
        </w:tc>
        <w:tc>
          <w:tcPr>
            <w:tcW w:w="3261" w:type="dxa"/>
            <w:tcBorders>
              <w:top w:val="single" w:sz="4" w:space="0" w:color="auto"/>
              <w:left w:val="single" w:sz="4" w:space="0" w:color="auto"/>
              <w:bottom w:val="single" w:sz="4" w:space="0" w:color="auto"/>
              <w:right w:val="single" w:sz="4" w:space="0" w:color="auto"/>
            </w:tcBorders>
          </w:tcPr>
          <w:p w14:paraId="715ACBAD" w14:textId="796CA63A" w:rsidR="00B24786" w:rsidRPr="00F768B6" w:rsidRDefault="00B24786" w:rsidP="00AF2BBF">
            <w:pPr>
              <w:tabs>
                <w:tab w:val="left" w:pos="360"/>
                <w:tab w:val="left" w:pos="504"/>
              </w:tabs>
              <w:spacing w:before="120"/>
              <w:jc w:val="center"/>
              <w:textAlignment w:val="baseline"/>
              <w:rPr>
                <w:rFonts w:cstheme="majorHAnsi"/>
              </w:rPr>
            </w:pPr>
            <w:r>
              <w:rPr>
                <w:rFonts w:cstheme="majorHAnsi"/>
              </w:rPr>
              <w:t>Par enquête</w:t>
            </w:r>
          </w:p>
        </w:tc>
      </w:tr>
      <w:tr w:rsidR="00B24786" w:rsidRPr="00F91BDD" w14:paraId="1BA83E52" w14:textId="43449F89"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BED77EA" w14:textId="1D9A8A4D" w:rsidR="00B24786" w:rsidRPr="00F768B6" w:rsidRDefault="00B24786" w:rsidP="00AF2BBF">
            <w:pPr>
              <w:pStyle w:val="Titre3"/>
              <w:numPr>
                <w:ilvl w:val="0"/>
                <w:numId w:val="0"/>
              </w:numPr>
              <w:ind w:left="786"/>
            </w:pPr>
            <w:bookmarkStart w:id="5308" w:name="_Toc221774854"/>
            <w:bookmarkStart w:id="5309" w:name="_Toc225504404"/>
            <w:bookmarkStart w:id="5310" w:name="_Toc225772493"/>
            <w:bookmarkStart w:id="5311" w:name="_Toc233626360"/>
            <w:r w:rsidRPr="21B2FD55">
              <w:t>040/361-48 : Prestations communales administratives ou techniques en général</w:t>
            </w:r>
            <w:bookmarkEnd w:id="5308"/>
            <w:bookmarkEnd w:id="5309"/>
            <w:bookmarkEnd w:id="5310"/>
            <w:bookmarkEnd w:id="5311"/>
          </w:p>
          <w:p w14:paraId="501E1D01" w14:textId="77777777" w:rsidR="00B24786" w:rsidRPr="00F768B6" w:rsidRDefault="00B24786" w:rsidP="00AF2BBF">
            <w:pPr>
              <w:pStyle w:val="Titre3"/>
              <w:numPr>
                <w:ilvl w:val="0"/>
                <w:numId w:val="0"/>
              </w:numPr>
              <w:ind w:left="786"/>
            </w:pPr>
          </w:p>
        </w:tc>
        <w:tc>
          <w:tcPr>
            <w:tcW w:w="1275" w:type="dxa"/>
            <w:tcBorders>
              <w:top w:val="single" w:sz="4" w:space="0" w:color="auto"/>
              <w:left w:val="single" w:sz="4" w:space="0" w:color="auto"/>
              <w:bottom w:val="single" w:sz="4" w:space="0" w:color="auto"/>
              <w:right w:val="single" w:sz="4" w:space="0" w:color="auto"/>
            </w:tcBorders>
          </w:tcPr>
          <w:p w14:paraId="2E4B96C4" w14:textId="77777777" w:rsidR="00B24786" w:rsidRPr="00F768B6" w:rsidRDefault="00B24786" w:rsidP="00AF2BBF">
            <w:pPr>
              <w:tabs>
                <w:tab w:val="left" w:pos="360"/>
                <w:tab w:val="left" w:pos="504"/>
              </w:tabs>
              <w:spacing w:before="120"/>
              <w:jc w:val="center"/>
              <w:textAlignment w:val="baseline"/>
              <w:rPr>
                <w:rFonts w:cstheme="majorHAnsi"/>
                <w:spacing w:val="-6"/>
              </w:rPr>
            </w:pPr>
            <w:r w:rsidRPr="00F768B6">
              <w:rPr>
                <w:rFonts w:cstheme="majorHAnsi"/>
                <w:spacing w:val="-6"/>
              </w:rPr>
              <w:t>Redevance</w:t>
            </w:r>
          </w:p>
        </w:tc>
        <w:tc>
          <w:tcPr>
            <w:tcW w:w="2268" w:type="dxa"/>
            <w:tcBorders>
              <w:top w:val="single" w:sz="4" w:space="0" w:color="auto"/>
              <w:bottom w:val="single" w:sz="4" w:space="0" w:color="auto"/>
            </w:tcBorders>
          </w:tcPr>
          <w:p w14:paraId="7EFF9690" w14:textId="77777777" w:rsidR="00B24786" w:rsidRPr="00F768B6" w:rsidRDefault="00B24786" w:rsidP="00AF2BBF">
            <w:pPr>
              <w:tabs>
                <w:tab w:val="left" w:pos="360"/>
                <w:tab w:val="left" w:pos="504"/>
              </w:tabs>
              <w:spacing w:before="120"/>
              <w:jc w:val="center"/>
              <w:textAlignment w:val="baseline"/>
              <w:rPr>
                <w:rFonts w:cstheme="majorHAnsi"/>
              </w:rPr>
            </w:pPr>
          </w:p>
        </w:tc>
        <w:tc>
          <w:tcPr>
            <w:tcW w:w="2268" w:type="dxa"/>
            <w:tcBorders>
              <w:top w:val="single" w:sz="4" w:space="0" w:color="auto"/>
              <w:left w:val="single" w:sz="4" w:space="0" w:color="auto"/>
              <w:bottom w:val="single" w:sz="4" w:space="0" w:color="auto"/>
              <w:right w:val="single" w:sz="4" w:space="0" w:color="auto"/>
            </w:tcBorders>
          </w:tcPr>
          <w:p w14:paraId="2AE9EF7E" w14:textId="7E5CA248"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3AA935FE" w14:textId="77777777" w:rsidR="00B24786" w:rsidRPr="00F768B6" w:rsidRDefault="00B24786" w:rsidP="00AF2BBF">
            <w:pPr>
              <w:tabs>
                <w:tab w:val="left" w:pos="360"/>
                <w:tab w:val="left" w:pos="504"/>
              </w:tabs>
              <w:spacing w:before="120"/>
              <w:jc w:val="center"/>
              <w:textAlignment w:val="baseline"/>
              <w:rPr>
                <w:rFonts w:cstheme="majorHAnsi"/>
              </w:rPr>
            </w:pPr>
          </w:p>
        </w:tc>
      </w:tr>
      <w:tr w:rsidR="00B24786" w:rsidRPr="00F91BDD" w14:paraId="0012678A" w14:textId="08892858"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06B83F1" w14:textId="233E5D63" w:rsidR="00B24786" w:rsidRPr="00F768B6" w:rsidRDefault="00B24786" w:rsidP="00AF2BBF">
            <w:pPr>
              <w:pStyle w:val="Titre3"/>
              <w:numPr>
                <w:ilvl w:val="0"/>
                <w:numId w:val="0"/>
              </w:numPr>
              <w:ind w:left="786"/>
            </w:pPr>
            <w:bookmarkStart w:id="5312" w:name="_Toc225504405"/>
            <w:bookmarkStart w:id="5313" w:name="_Toc225772494"/>
            <w:bookmarkStart w:id="5314" w:name="_Toc233626361"/>
            <w:r w:rsidRPr="21B2FD55">
              <w:t>Traitement – Certificat d’urbanisme n°1</w:t>
            </w:r>
            <w:bookmarkEnd w:id="5312"/>
            <w:bookmarkEnd w:id="5313"/>
            <w:bookmarkEnd w:id="5314"/>
          </w:p>
        </w:tc>
        <w:tc>
          <w:tcPr>
            <w:tcW w:w="1275" w:type="dxa"/>
            <w:tcBorders>
              <w:top w:val="single" w:sz="4" w:space="0" w:color="auto"/>
              <w:left w:val="single" w:sz="4" w:space="0" w:color="auto"/>
              <w:bottom w:val="single" w:sz="4" w:space="0" w:color="auto"/>
              <w:right w:val="single" w:sz="4" w:space="0" w:color="auto"/>
            </w:tcBorders>
          </w:tcPr>
          <w:p w14:paraId="57B17836" w14:textId="77777777" w:rsidR="00B24786" w:rsidRPr="00F768B6" w:rsidRDefault="00B24786" w:rsidP="00AF2BBF">
            <w:pPr>
              <w:tabs>
                <w:tab w:val="left" w:pos="360"/>
                <w:tab w:val="left" w:pos="504"/>
              </w:tabs>
              <w:spacing w:before="120"/>
              <w:jc w:val="center"/>
              <w:textAlignment w:val="baseline"/>
              <w:rPr>
                <w:rFonts w:cstheme="majorHAnsi"/>
                <w:spacing w:val="-6"/>
              </w:rPr>
            </w:pPr>
          </w:p>
        </w:tc>
        <w:tc>
          <w:tcPr>
            <w:tcW w:w="2268" w:type="dxa"/>
            <w:tcBorders>
              <w:top w:val="single" w:sz="4" w:space="0" w:color="auto"/>
              <w:bottom w:val="single" w:sz="4" w:space="0" w:color="auto"/>
            </w:tcBorders>
          </w:tcPr>
          <w:p w14:paraId="69CE5263" w14:textId="17CE904B"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60,00 €</w:t>
            </w:r>
          </w:p>
        </w:tc>
        <w:tc>
          <w:tcPr>
            <w:tcW w:w="2268" w:type="dxa"/>
            <w:tcBorders>
              <w:top w:val="single" w:sz="4" w:space="0" w:color="auto"/>
              <w:left w:val="single" w:sz="4" w:space="0" w:color="auto"/>
              <w:bottom w:val="single" w:sz="4" w:space="0" w:color="auto"/>
              <w:right w:val="single" w:sz="4" w:space="0" w:color="auto"/>
            </w:tcBorders>
          </w:tcPr>
          <w:p w14:paraId="5BAF52C2" w14:textId="57E7D483"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74,87 €</w:t>
            </w:r>
          </w:p>
        </w:tc>
        <w:tc>
          <w:tcPr>
            <w:tcW w:w="3261" w:type="dxa"/>
            <w:tcBorders>
              <w:top w:val="single" w:sz="4" w:space="0" w:color="auto"/>
              <w:left w:val="single" w:sz="4" w:space="0" w:color="auto"/>
              <w:bottom w:val="single" w:sz="4" w:space="0" w:color="auto"/>
              <w:right w:val="single" w:sz="4" w:space="0" w:color="auto"/>
            </w:tcBorders>
          </w:tcPr>
          <w:p w14:paraId="10DD6DFF" w14:textId="0480EC3D" w:rsidR="00B24786" w:rsidRPr="00F768B6" w:rsidRDefault="00B24786" w:rsidP="00AF2BBF">
            <w:pPr>
              <w:tabs>
                <w:tab w:val="left" w:pos="360"/>
                <w:tab w:val="left" w:pos="504"/>
              </w:tabs>
              <w:spacing w:before="120"/>
              <w:jc w:val="center"/>
              <w:textAlignment w:val="baseline"/>
              <w:rPr>
                <w:rFonts w:cstheme="majorBidi"/>
              </w:rPr>
            </w:pPr>
            <w:r w:rsidRPr="093077FF">
              <w:rPr>
                <w:rFonts w:cstheme="majorBidi"/>
              </w:rPr>
              <w:t xml:space="preserve">Pour le traitement d’une demande de </w:t>
            </w:r>
            <w:r w:rsidRPr="1D608556">
              <w:rPr>
                <w:rFonts w:cstheme="majorBidi"/>
              </w:rPr>
              <w:t>certificat</w:t>
            </w:r>
            <w:r w:rsidR="42C46737" w:rsidRPr="1D608556">
              <w:rPr>
                <w:rFonts w:cstheme="majorBidi"/>
              </w:rPr>
              <w:t xml:space="preserve"> n°1</w:t>
            </w:r>
          </w:p>
        </w:tc>
      </w:tr>
      <w:tr w:rsidR="00B24786" w:rsidRPr="00F91BDD" w14:paraId="3C434542" w14:textId="19D181B1"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5D1AC51D" w14:textId="11406666" w:rsidR="00B24786" w:rsidRPr="00F768B6" w:rsidRDefault="00B24786" w:rsidP="00AF2BBF">
            <w:pPr>
              <w:pStyle w:val="Titre3"/>
              <w:numPr>
                <w:ilvl w:val="0"/>
                <w:numId w:val="0"/>
              </w:numPr>
              <w:ind w:left="786"/>
            </w:pPr>
            <w:bookmarkStart w:id="5315" w:name="_Toc225504406"/>
            <w:bookmarkStart w:id="5316" w:name="_Toc225772495"/>
            <w:bookmarkStart w:id="5317" w:name="_Toc233626362"/>
            <w:r w:rsidRPr="21B2FD55">
              <w:lastRenderedPageBreak/>
              <w:t>Traitement – Permis d’urbanisme / d’urbanisation / Certificat n°2</w:t>
            </w:r>
            <w:bookmarkEnd w:id="5315"/>
            <w:bookmarkEnd w:id="5316"/>
            <w:bookmarkEnd w:id="5317"/>
          </w:p>
        </w:tc>
        <w:tc>
          <w:tcPr>
            <w:tcW w:w="1275" w:type="dxa"/>
            <w:tcBorders>
              <w:top w:val="single" w:sz="4" w:space="0" w:color="auto"/>
              <w:left w:val="single" w:sz="4" w:space="0" w:color="auto"/>
              <w:bottom w:val="single" w:sz="4" w:space="0" w:color="auto"/>
              <w:right w:val="single" w:sz="4" w:space="0" w:color="auto"/>
            </w:tcBorders>
          </w:tcPr>
          <w:p w14:paraId="6708DB47" w14:textId="77777777" w:rsidR="00B24786" w:rsidRPr="00F768B6" w:rsidRDefault="00B24786" w:rsidP="00AF2BBF">
            <w:pPr>
              <w:tabs>
                <w:tab w:val="left" w:pos="360"/>
                <w:tab w:val="left" w:pos="504"/>
              </w:tabs>
              <w:spacing w:before="120"/>
              <w:jc w:val="center"/>
              <w:textAlignment w:val="baseline"/>
              <w:rPr>
                <w:rFonts w:cstheme="majorHAnsi"/>
                <w:spacing w:val="-6"/>
              </w:rPr>
            </w:pPr>
          </w:p>
        </w:tc>
        <w:tc>
          <w:tcPr>
            <w:tcW w:w="2268" w:type="dxa"/>
            <w:tcBorders>
              <w:top w:val="single" w:sz="4" w:space="0" w:color="auto"/>
              <w:bottom w:val="single" w:sz="4" w:space="0" w:color="auto"/>
            </w:tcBorders>
          </w:tcPr>
          <w:p w14:paraId="268E250D" w14:textId="6A82412B"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200,00 €</w:t>
            </w:r>
          </w:p>
        </w:tc>
        <w:tc>
          <w:tcPr>
            <w:tcW w:w="2268" w:type="dxa"/>
            <w:tcBorders>
              <w:top w:val="single" w:sz="4" w:space="0" w:color="auto"/>
              <w:left w:val="single" w:sz="4" w:space="0" w:color="auto"/>
              <w:bottom w:val="single" w:sz="4" w:space="0" w:color="auto"/>
              <w:right w:val="single" w:sz="4" w:space="0" w:color="auto"/>
            </w:tcBorders>
          </w:tcPr>
          <w:p w14:paraId="14413130" w14:textId="32732AC5"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249,58 €</w:t>
            </w:r>
          </w:p>
        </w:tc>
        <w:tc>
          <w:tcPr>
            <w:tcW w:w="3261" w:type="dxa"/>
            <w:tcBorders>
              <w:top w:val="single" w:sz="4" w:space="0" w:color="auto"/>
              <w:left w:val="single" w:sz="4" w:space="0" w:color="auto"/>
              <w:bottom w:val="single" w:sz="4" w:space="0" w:color="auto"/>
              <w:right w:val="single" w:sz="4" w:space="0" w:color="auto"/>
            </w:tcBorders>
          </w:tcPr>
          <w:p w14:paraId="156923AB" w14:textId="4D72DD96" w:rsidR="00B24786" w:rsidRPr="00F768B6" w:rsidRDefault="00B24786" w:rsidP="00AF2BBF">
            <w:pPr>
              <w:tabs>
                <w:tab w:val="left" w:pos="360"/>
                <w:tab w:val="left" w:pos="504"/>
              </w:tabs>
              <w:spacing w:before="120"/>
              <w:jc w:val="center"/>
              <w:textAlignment w:val="baseline"/>
              <w:rPr>
                <w:rFonts w:cstheme="majorBidi"/>
              </w:rPr>
            </w:pPr>
            <w:r w:rsidRPr="1D608556">
              <w:rPr>
                <w:rFonts w:cstheme="majorBidi"/>
              </w:rPr>
              <w:t>Pour le traitement d’une demande d’un permis/certificat</w:t>
            </w:r>
            <w:r w:rsidR="45533B6E" w:rsidRPr="1D608556">
              <w:rPr>
                <w:rFonts w:cstheme="majorBidi"/>
              </w:rPr>
              <w:t xml:space="preserve"> n°2</w:t>
            </w:r>
          </w:p>
        </w:tc>
      </w:tr>
      <w:tr w:rsidR="00B24786" w:rsidRPr="00F91BDD" w14:paraId="52F45734" w14:textId="7D8A0BB8"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7BC4D3AF" w14:textId="2A5954E4" w:rsidR="00B24786" w:rsidRPr="00F768B6" w:rsidRDefault="00B24786" w:rsidP="00AF2BBF">
            <w:pPr>
              <w:pStyle w:val="Titre3"/>
              <w:numPr>
                <w:ilvl w:val="0"/>
                <w:numId w:val="0"/>
              </w:numPr>
              <w:ind w:left="426"/>
              <w:jc w:val="center"/>
            </w:pPr>
            <w:bookmarkStart w:id="5318" w:name="_Toc225504407"/>
            <w:bookmarkStart w:id="5319" w:name="_Toc225772496"/>
            <w:bookmarkStart w:id="5320" w:name="_Toc233626363"/>
            <w:r w:rsidRPr="21B2FD55">
              <w:t>Traitement – Permis groupés / écarts SDT / dérogations plan secteur</w:t>
            </w:r>
            <w:bookmarkEnd w:id="5318"/>
            <w:bookmarkEnd w:id="5319"/>
            <w:bookmarkEnd w:id="5320"/>
          </w:p>
        </w:tc>
        <w:tc>
          <w:tcPr>
            <w:tcW w:w="1275" w:type="dxa"/>
            <w:tcBorders>
              <w:top w:val="single" w:sz="4" w:space="0" w:color="auto"/>
              <w:left w:val="single" w:sz="4" w:space="0" w:color="auto"/>
              <w:bottom w:val="single" w:sz="4" w:space="0" w:color="auto"/>
              <w:right w:val="single" w:sz="4" w:space="0" w:color="auto"/>
            </w:tcBorders>
          </w:tcPr>
          <w:p w14:paraId="48F9D131" w14:textId="77777777" w:rsidR="00B24786" w:rsidRPr="00F768B6" w:rsidRDefault="00B24786" w:rsidP="00AF2BBF">
            <w:pPr>
              <w:tabs>
                <w:tab w:val="left" w:pos="360"/>
                <w:tab w:val="left" w:pos="504"/>
              </w:tabs>
              <w:spacing w:before="120"/>
              <w:jc w:val="center"/>
              <w:textAlignment w:val="baseline"/>
              <w:rPr>
                <w:rFonts w:cstheme="majorHAnsi"/>
              </w:rPr>
            </w:pPr>
          </w:p>
        </w:tc>
        <w:tc>
          <w:tcPr>
            <w:tcW w:w="2268" w:type="dxa"/>
            <w:tcBorders>
              <w:top w:val="single" w:sz="4" w:space="0" w:color="auto"/>
              <w:bottom w:val="single" w:sz="4" w:space="0" w:color="auto"/>
            </w:tcBorders>
          </w:tcPr>
          <w:p w14:paraId="6E1C2F84" w14:textId="220B0A1B"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350,00 €</w:t>
            </w:r>
          </w:p>
        </w:tc>
        <w:tc>
          <w:tcPr>
            <w:tcW w:w="2268" w:type="dxa"/>
            <w:tcBorders>
              <w:top w:val="single" w:sz="4" w:space="0" w:color="auto"/>
              <w:left w:val="single" w:sz="4" w:space="0" w:color="auto"/>
              <w:bottom w:val="single" w:sz="4" w:space="0" w:color="auto"/>
              <w:right w:val="single" w:sz="4" w:space="0" w:color="auto"/>
            </w:tcBorders>
          </w:tcPr>
          <w:p w14:paraId="6B1687EC" w14:textId="20A3A0EC"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436,76 €</w:t>
            </w:r>
          </w:p>
        </w:tc>
        <w:tc>
          <w:tcPr>
            <w:tcW w:w="3261" w:type="dxa"/>
            <w:tcBorders>
              <w:top w:val="single" w:sz="4" w:space="0" w:color="auto"/>
              <w:left w:val="single" w:sz="4" w:space="0" w:color="auto"/>
              <w:bottom w:val="single" w:sz="4" w:space="0" w:color="auto"/>
              <w:right w:val="single" w:sz="4" w:space="0" w:color="auto"/>
            </w:tcBorders>
          </w:tcPr>
          <w:p w14:paraId="33F07F51" w14:textId="58B04575" w:rsidR="00B24786" w:rsidRPr="00F768B6" w:rsidRDefault="00B24786" w:rsidP="00AF2BBF">
            <w:pPr>
              <w:tabs>
                <w:tab w:val="left" w:pos="360"/>
                <w:tab w:val="left" w:pos="504"/>
              </w:tabs>
              <w:spacing w:before="120"/>
              <w:jc w:val="center"/>
              <w:textAlignment w:val="baseline"/>
              <w:rPr>
                <w:rFonts w:cstheme="majorHAnsi"/>
              </w:rPr>
            </w:pPr>
            <w:r>
              <w:rPr>
                <w:rFonts w:cstheme="majorHAnsi"/>
              </w:rPr>
              <w:t>Pour le traitement d’une demande d’un permis</w:t>
            </w:r>
          </w:p>
        </w:tc>
      </w:tr>
      <w:tr w:rsidR="00B24786" w:rsidRPr="00F91BDD" w14:paraId="6A1258CB" w14:textId="2C510870"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02C2359E" w14:textId="32A04F16" w:rsidR="00B24786" w:rsidRPr="00F768B6" w:rsidRDefault="00B24786" w:rsidP="00AF2BBF">
            <w:pPr>
              <w:pStyle w:val="Titre3"/>
              <w:numPr>
                <w:ilvl w:val="0"/>
                <w:numId w:val="0"/>
              </w:numPr>
              <w:ind w:left="786"/>
            </w:pPr>
            <w:bookmarkStart w:id="5321" w:name="_Toc225504408"/>
            <w:bookmarkStart w:id="5322" w:name="_Toc225772497"/>
            <w:bookmarkStart w:id="5323" w:name="_Toc233626364"/>
            <w:r w:rsidRPr="21B2FD55">
              <w:t>Indication sur place de l’implantation + PV (art. D.IV.72 CoDT)</w:t>
            </w:r>
            <w:bookmarkEnd w:id="5321"/>
            <w:bookmarkEnd w:id="5322"/>
            <w:bookmarkEnd w:id="5323"/>
          </w:p>
        </w:tc>
        <w:tc>
          <w:tcPr>
            <w:tcW w:w="1275" w:type="dxa"/>
            <w:tcBorders>
              <w:top w:val="single" w:sz="4" w:space="0" w:color="auto"/>
              <w:left w:val="single" w:sz="4" w:space="0" w:color="auto"/>
              <w:bottom w:val="single" w:sz="4" w:space="0" w:color="auto"/>
              <w:right w:val="single" w:sz="4" w:space="0" w:color="auto"/>
            </w:tcBorders>
          </w:tcPr>
          <w:p w14:paraId="6F8FAC10" w14:textId="77777777" w:rsidR="00B24786" w:rsidRPr="00F768B6" w:rsidRDefault="00B24786" w:rsidP="00AF2BBF">
            <w:pPr>
              <w:tabs>
                <w:tab w:val="left" w:pos="360"/>
                <w:tab w:val="left" w:pos="504"/>
              </w:tabs>
              <w:spacing w:before="120"/>
              <w:jc w:val="center"/>
              <w:textAlignment w:val="baseline"/>
              <w:rPr>
                <w:rFonts w:cstheme="majorHAnsi"/>
              </w:rPr>
            </w:pPr>
          </w:p>
        </w:tc>
        <w:tc>
          <w:tcPr>
            <w:tcW w:w="2268" w:type="dxa"/>
            <w:tcBorders>
              <w:top w:val="single" w:sz="4" w:space="0" w:color="auto"/>
              <w:bottom w:val="single" w:sz="4" w:space="0" w:color="auto"/>
            </w:tcBorders>
          </w:tcPr>
          <w:p w14:paraId="25269A62" w14:textId="1C8F6E79"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300,00 €</w:t>
            </w:r>
          </w:p>
        </w:tc>
        <w:tc>
          <w:tcPr>
            <w:tcW w:w="2268" w:type="dxa"/>
            <w:tcBorders>
              <w:top w:val="single" w:sz="4" w:space="0" w:color="auto"/>
              <w:left w:val="single" w:sz="4" w:space="0" w:color="auto"/>
              <w:bottom w:val="single" w:sz="4" w:space="0" w:color="auto"/>
              <w:right w:val="single" w:sz="4" w:space="0" w:color="auto"/>
            </w:tcBorders>
          </w:tcPr>
          <w:p w14:paraId="0CBD4AE7" w14:textId="68599726"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374,37 €</w:t>
            </w:r>
          </w:p>
        </w:tc>
        <w:tc>
          <w:tcPr>
            <w:tcW w:w="3261" w:type="dxa"/>
            <w:tcBorders>
              <w:top w:val="single" w:sz="4" w:space="0" w:color="auto"/>
              <w:left w:val="single" w:sz="4" w:space="0" w:color="auto"/>
              <w:bottom w:val="single" w:sz="4" w:space="0" w:color="auto"/>
              <w:right w:val="single" w:sz="4" w:space="0" w:color="auto"/>
            </w:tcBorders>
          </w:tcPr>
          <w:p w14:paraId="3BBD8B80" w14:textId="1F122AB8" w:rsidR="00B24786" w:rsidRPr="00F768B6" w:rsidRDefault="00B24786" w:rsidP="00AF2BBF">
            <w:pPr>
              <w:tabs>
                <w:tab w:val="left" w:pos="360"/>
                <w:tab w:val="left" w:pos="504"/>
              </w:tabs>
              <w:spacing w:before="120"/>
              <w:jc w:val="center"/>
              <w:textAlignment w:val="baseline"/>
              <w:rPr>
                <w:rFonts w:cstheme="majorHAnsi"/>
              </w:rPr>
            </w:pPr>
            <w:r>
              <w:rPr>
                <w:rFonts w:cstheme="majorHAnsi"/>
              </w:rPr>
              <w:t>Pour l’indication sur place +PV</w:t>
            </w:r>
          </w:p>
        </w:tc>
      </w:tr>
      <w:tr w:rsidR="00B24786" w:rsidRPr="00F91BDD" w14:paraId="7D8C1948" w14:textId="719D8D08"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5CE546F3" w14:textId="42006AD0" w:rsidR="00B24786" w:rsidRPr="00F768B6" w:rsidRDefault="00B24786" w:rsidP="00AF2BBF">
            <w:pPr>
              <w:pStyle w:val="Titre3"/>
              <w:numPr>
                <w:ilvl w:val="0"/>
                <w:numId w:val="0"/>
              </w:numPr>
              <w:ind w:left="786"/>
            </w:pPr>
            <w:bookmarkStart w:id="5324" w:name="_Toc225504409"/>
            <w:bookmarkStart w:id="5325" w:name="_Toc225772498"/>
            <w:bookmarkStart w:id="5326" w:name="_Toc233626365"/>
            <w:r w:rsidRPr="21B2FD55">
              <w:t>Permis d’urbanisme de régularisation</w:t>
            </w:r>
            <w:bookmarkEnd w:id="5324"/>
            <w:bookmarkEnd w:id="5325"/>
            <w:bookmarkEnd w:id="5326"/>
          </w:p>
        </w:tc>
        <w:tc>
          <w:tcPr>
            <w:tcW w:w="1275" w:type="dxa"/>
            <w:tcBorders>
              <w:top w:val="single" w:sz="4" w:space="0" w:color="auto"/>
              <w:left w:val="single" w:sz="4" w:space="0" w:color="auto"/>
              <w:bottom w:val="single" w:sz="4" w:space="0" w:color="auto"/>
              <w:right w:val="single" w:sz="4" w:space="0" w:color="auto"/>
            </w:tcBorders>
          </w:tcPr>
          <w:p w14:paraId="62DFC4FF" w14:textId="77777777" w:rsidR="00B24786" w:rsidRPr="00F768B6" w:rsidRDefault="00B24786" w:rsidP="00AF2BBF">
            <w:pPr>
              <w:tabs>
                <w:tab w:val="left" w:pos="360"/>
                <w:tab w:val="left" w:pos="504"/>
              </w:tabs>
              <w:spacing w:before="120"/>
              <w:jc w:val="center"/>
              <w:textAlignment w:val="baseline"/>
              <w:rPr>
                <w:rFonts w:cstheme="majorHAnsi"/>
              </w:rPr>
            </w:pPr>
          </w:p>
        </w:tc>
        <w:tc>
          <w:tcPr>
            <w:tcW w:w="2268" w:type="dxa"/>
            <w:tcBorders>
              <w:top w:val="single" w:sz="4" w:space="0" w:color="auto"/>
              <w:bottom w:val="single" w:sz="4" w:space="0" w:color="auto"/>
            </w:tcBorders>
          </w:tcPr>
          <w:p w14:paraId="1A531CCA" w14:textId="458DE86E"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500,00 €</w:t>
            </w:r>
          </w:p>
        </w:tc>
        <w:tc>
          <w:tcPr>
            <w:tcW w:w="2268" w:type="dxa"/>
            <w:tcBorders>
              <w:top w:val="single" w:sz="4" w:space="0" w:color="auto"/>
              <w:left w:val="single" w:sz="4" w:space="0" w:color="auto"/>
              <w:bottom w:val="single" w:sz="4" w:space="0" w:color="auto"/>
              <w:right w:val="single" w:sz="4" w:space="0" w:color="auto"/>
            </w:tcBorders>
          </w:tcPr>
          <w:p w14:paraId="7BF84A95" w14:textId="3DC1AB48"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623,95 €</w:t>
            </w:r>
          </w:p>
        </w:tc>
        <w:tc>
          <w:tcPr>
            <w:tcW w:w="3261" w:type="dxa"/>
            <w:tcBorders>
              <w:top w:val="single" w:sz="4" w:space="0" w:color="auto"/>
              <w:left w:val="single" w:sz="4" w:space="0" w:color="auto"/>
              <w:bottom w:val="single" w:sz="4" w:space="0" w:color="auto"/>
              <w:right w:val="single" w:sz="4" w:space="0" w:color="auto"/>
            </w:tcBorders>
          </w:tcPr>
          <w:p w14:paraId="44385C73" w14:textId="79F3AB35" w:rsidR="00B24786" w:rsidRPr="00F768B6" w:rsidRDefault="00B24786" w:rsidP="00AF2BBF">
            <w:pPr>
              <w:tabs>
                <w:tab w:val="left" w:pos="360"/>
                <w:tab w:val="left" w:pos="504"/>
              </w:tabs>
              <w:spacing w:before="120"/>
              <w:jc w:val="center"/>
              <w:textAlignment w:val="baseline"/>
              <w:rPr>
                <w:rFonts w:cstheme="majorHAnsi"/>
              </w:rPr>
            </w:pPr>
            <w:r>
              <w:rPr>
                <w:rFonts w:cstheme="majorHAnsi"/>
              </w:rPr>
              <w:t>Pour le traitement d’une demande d’un permis</w:t>
            </w:r>
          </w:p>
        </w:tc>
      </w:tr>
      <w:tr w:rsidR="00B24786" w:rsidRPr="00F91BDD" w14:paraId="6BA216D7" w14:textId="413F7B06"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02B2CC2E" w14:textId="125EE5D6" w:rsidR="00B24786" w:rsidRPr="00F768B6" w:rsidRDefault="00B24786" w:rsidP="00AF2BBF">
            <w:pPr>
              <w:pStyle w:val="Titre3"/>
              <w:jc w:val="center"/>
            </w:pPr>
            <w:bookmarkStart w:id="5327" w:name="_Toc225504410"/>
            <w:bookmarkStart w:id="5328" w:name="_Toc225772499"/>
            <w:bookmarkStart w:id="5329" w:name="_Toc233626366"/>
            <w:r w:rsidRPr="21B2FD55">
              <w:t>040/362 taxes de remboursement</w:t>
            </w:r>
            <w:bookmarkEnd w:id="5327"/>
            <w:bookmarkEnd w:id="5328"/>
            <w:bookmarkEnd w:id="5329"/>
          </w:p>
        </w:tc>
        <w:tc>
          <w:tcPr>
            <w:tcW w:w="1275" w:type="dxa"/>
            <w:tcBorders>
              <w:top w:val="single" w:sz="4" w:space="0" w:color="auto"/>
              <w:left w:val="single" w:sz="4" w:space="0" w:color="auto"/>
              <w:bottom w:val="single" w:sz="4" w:space="0" w:color="auto"/>
              <w:right w:val="single" w:sz="4" w:space="0" w:color="auto"/>
            </w:tcBorders>
          </w:tcPr>
          <w:p w14:paraId="204FBF47" w14:textId="77777777" w:rsidR="00B24786" w:rsidRPr="00F768B6" w:rsidRDefault="00B24786" w:rsidP="00AF2BBF">
            <w:pPr>
              <w:tabs>
                <w:tab w:val="left" w:pos="360"/>
                <w:tab w:val="left" w:pos="504"/>
              </w:tabs>
              <w:spacing w:before="120"/>
              <w:jc w:val="center"/>
              <w:textAlignment w:val="baseline"/>
              <w:rPr>
                <w:rFonts w:cstheme="majorHAnsi"/>
              </w:rPr>
            </w:pPr>
          </w:p>
        </w:tc>
        <w:tc>
          <w:tcPr>
            <w:tcW w:w="2268" w:type="dxa"/>
            <w:tcBorders>
              <w:top w:val="single" w:sz="4" w:space="0" w:color="auto"/>
              <w:bottom w:val="single" w:sz="4" w:space="0" w:color="auto"/>
            </w:tcBorders>
          </w:tcPr>
          <w:p w14:paraId="44984854" w14:textId="77777777" w:rsidR="00B24786" w:rsidRPr="00F768B6" w:rsidRDefault="00B24786" w:rsidP="00AF2BBF">
            <w:pPr>
              <w:tabs>
                <w:tab w:val="left" w:pos="360"/>
                <w:tab w:val="left" w:pos="504"/>
              </w:tabs>
              <w:spacing w:before="120"/>
              <w:jc w:val="center"/>
              <w:textAlignment w:val="baseline"/>
              <w:rPr>
                <w:rFonts w:cstheme="majorHAnsi"/>
              </w:rPr>
            </w:pPr>
          </w:p>
        </w:tc>
        <w:tc>
          <w:tcPr>
            <w:tcW w:w="2268" w:type="dxa"/>
            <w:tcBorders>
              <w:top w:val="single" w:sz="4" w:space="0" w:color="auto"/>
              <w:left w:val="single" w:sz="4" w:space="0" w:color="auto"/>
              <w:bottom w:val="single" w:sz="4" w:space="0" w:color="auto"/>
              <w:right w:val="single" w:sz="4" w:space="0" w:color="auto"/>
            </w:tcBorders>
          </w:tcPr>
          <w:p w14:paraId="252EF8C0" w14:textId="42CA94C6"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3B5F6774" w14:textId="77777777" w:rsidR="00B24786" w:rsidRPr="00F768B6" w:rsidRDefault="00B24786" w:rsidP="00AF2BBF">
            <w:pPr>
              <w:tabs>
                <w:tab w:val="left" w:pos="360"/>
                <w:tab w:val="left" w:pos="504"/>
              </w:tabs>
              <w:spacing w:before="120"/>
              <w:jc w:val="center"/>
              <w:textAlignment w:val="baseline"/>
              <w:rPr>
                <w:rFonts w:cstheme="majorHAnsi"/>
              </w:rPr>
            </w:pPr>
          </w:p>
        </w:tc>
      </w:tr>
      <w:tr w:rsidR="00B24786" w:rsidRPr="00F91BDD" w14:paraId="2B138084" w14:textId="5610918D"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445338EE" w14:textId="7C0A094C" w:rsidR="00B24786" w:rsidRPr="00F768B6" w:rsidRDefault="00B24786" w:rsidP="00AF2BBF">
            <w:pPr>
              <w:pStyle w:val="Titre3"/>
              <w:numPr>
                <w:ilvl w:val="0"/>
                <w:numId w:val="0"/>
              </w:numPr>
              <w:ind w:left="786"/>
            </w:pPr>
            <w:bookmarkStart w:id="5330" w:name="_Toc225504411"/>
            <w:bookmarkStart w:id="5331" w:name="_Toc225772500"/>
            <w:bookmarkStart w:id="5332" w:name="_Toc233626367"/>
            <w:r w:rsidRPr="21B2FD55">
              <w:t>040/362-01 Acquisition d’assiettes de voirie</w:t>
            </w:r>
            <w:bookmarkEnd w:id="5330"/>
            <w:bookmarkEnd w:id="5331"/>
            <w:bookmarkEnd w:id="5332"/>
          </w:p>
        </w:tc>
        <w:tc>
          <w:tcPr>
            <w:tcW w:w="1275" w:type="dxa"/>
            <w:tcBorders>
              <w:top w:val="single" w:sz="4" w:space="0" w:color="auto"/>
              <w:left w:val="single" w:sz="4" w:space="0" w:color="auto"/>
              <w:bottom w:val="single" w:sz="4" w:space="0" w:color="auto"/>
              <w:right w:val="single" w:sz="4" w:space="0" w:color="auto"/>
            </w:tcBorders>
          </w:tcPr>
          <w:p w14:paraId="47BBE1FF"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Taxe indirecte</w:t>
            </w:r>
          </w:p>
        </w:tc>
        <w:tc>
          <w:tcPr>
            <w:tcW w:w="2268" w:type="dxa"/>
            <w:tcBorders>
              <w:top w:val="single" w:sz="4" w:space="0" w:color="auto"/>
              <w:bottom w:val="single" w:sz="4" w:space="0" w:color="auto"/>
            </w:tcBorders>
          </w:tcPr>
          <w:p w14:paraId="3A23DE88" w14:textId="701AA0F2"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Taux selon coût réel (– subsides) + intérêts</w:t>
            </w:r>
          </w:p>
        </w:tc>
        <w:tc>
          <w:tcPr>
            <w:tcW w:w="2268" w:type="dxa"/>
            <w:tcBorders>
              <w:top w:val="single" w:sz="4" w:space="0" w:color="auto"/>
              <w:left w:val="single" w:sz="4" w:space="0" w:color="auto"/>
              <w:bottom w:val="single" w:sz="4" w:space="0" w:color="auto"/>
              <w:right w:val="single" w:sz="4" w:space="0" w:color="auto"/>
            </w:tcBorders>
          </w:tcPr>
          <w:p w14:paraId="39FB69F2" w14:textId="70BA4A11"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54ACA1D7" w14:textId="2A06F521" w:rsidR="00B24786" w:rsidRPr="00F768B6" w:rsidRDefault="00B24786" w:rsidP="00AF2BBF">
            <w:pPr>
              <w:tabs>
                <w:tab w:val="left" w:pos="360"/>
                <w:tab w:val="left" w:pos="504"/>
              </w:tabs>
              <w:spacing w:before="120"/>
              <w:jc w:val="center"/>
              <w:textAlignment w:val="baseline"/>
              <w:rPr>
                <w:rFonts w:cstheme="majorBidi"/>
              </w:rPr>
            </w:pPr>
            <w:r w:rsidRPr="1C6C0DED">
              <w:rPr>
                <w:rFonts w:cstheme="majorBidi"/>
              </w:rPr>
              <w:t xml:space="preserve">Par </w:t>
            </w:r>
            <w:r w:rsidR="5615FA81" w:rsidRPr="1C6C0DED">
              <w:rPr>
                <w:rFonts w:cstheme="majorBidi"/>
              </w:rPr>
              <w:t>mètre</w:t>
            </w:r>
            <w:r w:rsidRPr="1C6C0DED">
              <w:rPr>
                <w:rFonts w:cstheme="majorBidi"/>
              </w:rPr>
              <w:t xml:space="preserve"> courant</w:t>
            </w:r>
          </w:p>
        </w:tc>
      </w:tr>
      <w:tr w:rsidR="00B24786" w:rsidRPr="00F91BDD" w14:paraId="326A817C" w14:textId="7DC9AA37"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636149B" w14:textId="1268E27B" w:rsidR="00B24786" w:rsidRPr="00F768B6" w:rsidRDefault="00B24786" w:rsidP="00AF2BBF">
            <w:pPr>
              <w:pStyle w:val="Titre3"/>
              <w:numPr>
                <w:ilvl w:val="0"/>
                <w:numId w:val="0"/>
              </w:numPr>
              <w:ind w:left="786"/>
            </w:pPr>
            <w:bookmarkStart w:id="5333" w:name="_Toc225504412"/>
            <w:bookmarkStart w:id="5334" w:name="_Toc225772501"/>
            <w:bookmarkStart w:id="5335" w:name="_Toc233626368"/>
            <w:r w:rsidRPr="21B2FD55">
              <w:t>040/362-02 Pavage / revêtement de voirie</w:t>
            </w:r>
            <w:bookmarkEnd w:id="5333"/>
            <w:bookmarkEnd w:id="5334"/>
            <w:bookmarkEnd w:id="5335"/>
          </w:p>
        </w:tc>
        <w:tc>
          <w:tcPr>
            <w:tcW w:w="1275" w:type="dxa"/>
            <w:tcBorders>
              <w:top w:val="single" w:sz="4" w:space="0" w:color="auto"/>
              <w:left w:val="single" w:sz="4" w:space="0" w:color="auto"/>
              <w:bottom w:val="single" w:sz="4" w:space="0" w:color="auto"/>
              <w:right w:val="single" w:sz="4" w:space="0" w:color="auto"/>
            </w:tcBorders>
          </w:tcPr>
          <w:p w14:paraId="03C1512F"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Taxe indirecte</w:t>
            </w:r>
          </w:p>
        </w:tc>
        <w:tc>
          <w:tcPr>
            <w:tcW w:w="2268" w:type="dxa"/>
            <w:tcBorders>
              <w:top w:val="single" w:sz="4" w:space="0" w:color="auto"/>
              <w:bottom w:val="single" w:sz="4" w:space="0" w:color="auto"/>
            </w:tcBorders>
          </w:tcPr>
          <w:p w14:paraId="28393CB7" w14:textId="489D4DB6"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Taux selon coût réel (– subsides) + intérêts</w:t>
            </w:r>
          </w:p>
        </w:tc>
        <w:tc>
          <w:tcPr>
            <w:tcW w:w="2268" w:type="dxa"/>
            <w:tcBorders>
              <w:top w:val="single" w:sz="4" w:space="0" w:color="auto"/>
              <w:left w:val="single" w:sz="4" w:space="0" w:color="auto"/>
              <w:bottom w:val="single" w:sz="4" w:space="0" w:color="auto"/>
              <w:right w:val="single" w:sz="4" w:space="0" w:color="auto"/>
            </w:tcBorders>
          </w:tcPr>
          <w:p w14:paraId="220B13DA" w14:textId="35B85BB9"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3C93FC83" w14:textId="405AA016" w:rsidR="00B24786" w:rsidRPr="00F768B6" w:rsidRDefault="00B24786" w:rsidP="00AF2BBF">
            <w:pPr>
              <w:tabs>
                <w:tab w:val="left" w:pos="360"/>
                <w:tab w:val="left" w:pos="504"/>
              </w:tabs>
              <w:spacing w:before="120"/>
              <w:jc w:val="center"/>
              <w:textAlignment w:val="baseline"/>
              <w:rPr>
                <w:rFonts w:cstheme="majorBidi"/>
              </w:rPr>
            </w:pPr>
            <w:r w:rsidRPr="1C6C0DED">
              <w:rPr>
                <w:rFonts w:cstheme="majorBidi"/>
              </w:rPr>
              <w:t xml:space="preserve">Par </w:t>
            </w:r>
            <w:r w:rsidR="3641274C" w:rsidRPr="1C6C0DED">
              <w:rPr>
                <w:rFonts w:cstheme="majorBidi"/>
              </w:rPr>
              <w:t>mètre</w:t>
            </w:r>
            <w:r w:rsidRPr="1C6C0DED">
              <w:rPr>
                <w:rFonts w:cstheme="majorBidi"/>
              </w:rPr>
              <w:t xml:space="preserve"> courant</w:t>
            </w:r>
          </w:p>
        </w:tc>
      </w:tr>
      <w:tr w:rsidR="00B24786" w:rsidRPr="00F91BDD" w14:paraId="591AA07E" w14:textId="144B033C"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3AF6527B" w14:textId="0572657E" w:rsidR="00B24786" w:rsidRPr="00F768B6" w:rsidRDefault="00B24786" w:rsidP="00AF2BBF">
            <w:pPr>
              <w:pStyle w:val="Titre3"/>
              <w:numPr>
                <w:ilvl w:val="0"/>
                <w:numId w:val="0"/>
              </w:numPr>
              <w:ind w:left="786"/>
            </w:pPr>
            <w:bookmarkStart w:id="5336" w:name="_Toc225504413"/>
            <w:bookmarkStart w:id="5337" w:name="_Toc225772502"/>
            <w:bookmarkStart w:id="5338" w:name="_Toc233626369"/>
            <w:r w:rsidRPr="21B2FD55">
              <w:t>040/362-03 Construction des trottoirs</w:t>
            </w:r>
            <w:bookmarkEnd w:id="5336"/>
            <w:bookmarkEnd w:id="5337"/>
            <w:bookmarkEnd w:id="5338"/>
          </w:p>
        </w:tc>
        <w:tc>
          <w:tcPr>
            <w:tcW w:w="1275" w:type="dxa"/>
            <w:tcBorders>
              <w:top w:val="single" w:sz="4" w:space="0" w:color="auto"/>
              <w:left w:val="single" w:sz="4" w:space="0" w:color="auto"/>
              <w:bottom w:val="single" w:sz="4" w:space="0" w:color="auto"/>
              <w:right w:val="single" w:sz="4" w:space="0" w:color="auto"/>
            </w:tcBorders>
          </w:tcPr>
          <w:p w14:paraId="16C709C2"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Taxe indirecte ou redevance</w:t>
            </w:r>
          </w:p>
        </w:tc>
        <w:tc>
          <w:tcPr>
            <w:tcW w:w="2268" w:type="dxa"/>
            <w:tcBorders>
              <w:top w:val="single" w:sz="4" w:space="0" w:color="auto"/>
              <w:bottom w:val="single" w:sz="4" w:space="0" w:color="auto"/>
            </w:tcBorders>
          </w:tcPr>
          <w:p w14:paraId="0B32BE4C" w14:textId="55BB2B3D"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Taux selon coût réel (– subsides) + intérêts</w:t>
            </w:r>
          </w:p>
        </w:tc>
        <w:tc>
          <w:tcPr>
            <w:tcW w:w="2268" w:type="dxa"/>
            <w:tcBorders>
              <w:top w:val="single" w:sz="4" w:space="0" w:color="auto"/>
              <w:left w:val="single" w:sz="4" w:space="0" w:color="auto"/>
              <w:bottom w:val="single" w:sz="4" w:space="0" w:color="auto"/>
              <w:right w:val="single" w:sz="4" w:space="0" w:color="auto"/>
            </w:tcBorders>
          </w:tcPr>
          <w:p w14:paraId="3DF693AE" w14:textId="7CA39142"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1CC7DFE1" w14:textId="0181B7EC" w:rsidR="00B24786" w:rsidRPr="00F768B6" w:rsidRDefault="00B24786" w:rsidP="00AF2BBF">
            <w:pPr>
              <w:tabs>
                <w:tab w:val="left" w:pos="360"/>
                <w:tab w:val="left" w:pos="504"/>
              </w:tabs>
              <w:spacing w:before="120"/>
              <w:jc w:val="center"/>
              <w:textAlignment w:val="baseline"/>
              <w:rPr>
                <w:rFonts w:cstheme="majorBidi"/>
              </w:rPr>
            </w:pPr>
            <w:r w:rsidRPr="1C6C0DED">
              <w:rPr>
                <w:rFonts w:cstheme="majorBidi"/>
              </w:rPr>
              <w:t xml:space="preserve">Par </w:t>
            </w:r>
            <w:r w:rsidR="21BB76F8" w:rsidRPr="1C6C0DED">
              <w:rPr>
                <w:rFonts w:cstheme="majorBidi"/>
              </w:rPr>
              <w:t>mètre</w:t>
            </w:r>
            <w:r w:rsidRPr="1C6C0DED">
              <w:rPr>
                <w:rFonts w:cstheme="majorBidi"/>
              </w:rPr>
              <w:t xml:space="preserve"> courant</w:t>
            </w:r>
          </w:p>
        </w:tc>
      </w:tr>
      <w:tr w:rsidR="00B24786" w:rsidRPr="00F91BDD" w14:paraId="2F45DE3E" w14:textId="3AE46E5D"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6D8BE9EC" w14:textId="36D59208" w:rsidR="00B24786" w:rsidRPr="00F768B6" w:rsidRDefault="00B24786" w:rsidP="00AF2BBF">
            <w:pPr>
              <w:pStyle w:val="Titre3"/>
              <w:numPr>
                <w:ilvl w:val="0"/>
                <w:numId w:val="0"/>
              </w:numPr>
              <w:ind w:left="786"/>
            </w:pPr>
            <w:bookmarkStart w:id="5339" w:name="_Toc225504414"/>
            <w:bookmarkStart w:id="5340" w:name="_Toc225772503"/>
            <w:bookmarkStart w:id="5341" w:name="_Toc233626370"/>
            <w:r w:rsidRPr="21B2FD55">
              <w:t>040/362-04 Constructions d’égouts</w:t>
            </w:r>
            <w:bookmarkEnd w:id="5339"/>
            <w:bookmarkEnd w:id="5340"/>
            <w:bookmarkEnd w:id="5341"/>
          </w:p>
        </w:tc>
        <w:tc>
          <w:tcPr>
            <w:tcW w:w="1275" w:type="dxa"/>
            <w:tcBorders>
              <w:top w:val="single" w:sz="4" w:space="0" w:color="auto"/>
              <w:left w:val="single" w:sz="4" w:space="0" w:color="auto"/>
              <w:bottom w:val="single" w:sz="4" w:space="0" w:color="auto"/>
              <w:right w:val="single" w:sz="4" w:space="0" w:color="auto"/>
            </w:tcBorders>
          </w:tcPr>
          <w:p w14:paraId="2B99EF02"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Taxe indirecte</w:t>
            </w:r>
          </w:p>
        </w:tc>
        <w:tc>
          <w:tcPr>
            <w:tcW w:w="2268" w:type="dxa"/>
            <w:tcBorders>
              <w:top w:val="single" w:sz="4" w:space="0" w:color="auto"/>
              <w:bottom w:val="single" w:sz="4" w:space="0" w:color="auto"/>
            </w:tcBorders>
          </w:tcPr>
          <w:p w14:paraId="071E8046" w14:textId="0876A120"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Taux selon coût réel (– subsides) + intérêts</w:t>
            </w:r>
          </w:p>
        </w:tc>
        <w:tc>
          <w:tcPr>
            <w:tcW w:w="2268" w:type="dxa"/>
            <w:tcBorders>
              <w:top w:val="single" w:sz="4" w:space="0" w:color="auto"/>
              <w:left w:val="single" w:sz="4" w:space="0" w:color="auto"/>
              <w:bottom w:val="single" w:sz="4" w:space="0" w:color="auto"/>
              <w:right w:val="single" w:sz="4" w:space="0" w:color="auto"/>
            </w:tcBorders>
          </w:tcPr>
          <w:p w14:paraId="2501D92C" w14:textId="2A089500"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686AC564" w14:textId="40083970" w:rsidR="00B24786" w:rsidRPr="00F768B6" w:rsidRDefault="00B24786" w:rsidP="00AF2BBF">
            <w:pPr>
              <w:tabs>
                <w:tab w:val="left" w:pos="360"/>
                <w:tab w:val="left" w:pos="504"/>
              </w:tabs>
              <w:spacing w:before="120"/>
              <w:jc w:val="center"/>
              <w:textAlignment w:val="baseline"/>
              <w:rPr>
                <w:rFonts w:cstheme="majorBidi"/>
              </w:rPr>
            </w:pPr>
            <w:r w:rsidRPr="1C6C0DED">
              <w:rPr>
                <w:rFonts w:cstheme="majorBidi"/>
              </w:rPr>
              <w:t xml:space="preserve">Par </w:t>
            </w:r>
            <w:r w:rsidR="11A01056" w:rsidRPr="1C6C0DED">
              <w:rPr>
                <w:rFonts w:cstheme="majorBidi"/>
              </w:rPr>
              <w:t>mètre</w:t>
            </w:r>
            <w:r w:rsidRPr="1C6C0DED">
              <w:rPr>
                <w:rFonts w:cstheme="majorBidi"/>
              </w:rPr>
              <w:t xml:space="preserve"> courant</w:t>
            </w:r>
          </w:p>
        </w:tc>
      </w:tr>
      <w:tr w:rsidR="00B24786" w:rsidRPr="00F91BDD" w14:paraId="5C5A0410" w14:textId="632384D6"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66BCCB0" w14:textId="51D30E73" w:rsidR="00B24786" w:rsidRPr="00F768B6" w:rsidRDefault="00B24786" w:rsidP="00AF2BBF">
            <w:pPr>
              <w:pStyle w:val="Titre3"/>
              <w:numPr>
                <w:ilvl w:val="0"/>
                <w:numId w:val="0"/>
              </w:numPr>
              <w:ind w:left="786"/>
            </w:pPr>
            <w:bookmarkStart w:id="5342" w:name="_Toc225504415"/>
            <w:bookmarkStart w:id="5343" w:name="_Toc225772504"/>
            <w:bookmarkStart w:id="5344" w:name="_Toc233626371"/>
            <w:r w:rsidRPr="21B2FD55">
              <w:t>040/362-05 Travaux de raccordement au réseau d’égouts</w:t>
            </w:r>
            <w:bookmarkEnd w:id="5342"/>
            <w:bookmarkEnd w:id="5343"/>
            <w:bookmarkEnd w:id="5344"/>
          </w:p>
        </w:tc>
        <w:tc>
          <w:tcPr>
            <w:tcW w:w="1275" w:type="dxa"/>
            <w:tcBorders>
              <w:top w:val="single" w:sz="4" w:space="0" w:color="auto"/>
              <w:left w:val="single" w:sz="4" w:space="0" w:color="auto"/>
              <w:bottom w:val="single" w:sz="4" w:space="0" w:color="auto"/>
              <w:right w:val="single" w:sz="4" w:space="0" w:color="auto"/>
            </w:tcBorders>
          </w:tcPr>
          <w:p w14:paraId="10983F73"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Taxe indirecte ou redevance</w:t>
            </w:r>
          </w:p>
        </w:tc>
        <w:tc>
          <w:tcPr>
            <w:tcW w:w="2268" w:type="dxa"/>
            <w:tcBorders>
              <w:top w:val="single" w:sz="4" w:space="0" w:color="auto"/>
              <w:bottom w:val="single" w:sz="4" w:space="0" w:color="auto"/>
            </w:tcBorders>
          </w:tcPr>
          <w:p w14:paraId="00A9F4E3" w14:textId="4A0FF38F"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Taux selon coût réel (– subsides) + intérêts</w:t>
            </w:r>
          </w:p>
        </w:tc>
        <w:tc>
          <w:tcPr>
            <w:tcW w:w="2268" w:type="dxa"/>
            <w:tcBorders>
              <w:top w:val="single" w:sz="4" w:space="0" w:color="auto"/>
              <w:left w:val="single" w:sz="4" w:space="0" w:color="auto"/>
              <w:bottom w:val="single" w:sz="4" w:space="0" w:color="auto"/>
              <w:right w:val="single" w:sz="4" w:space="0" w:color="auto"/>
            </w:tcBorders>
          </w:tcPr>
          <w:p w14:paraId="59183712" w14:textId="2648FCF0"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64ABFB14" w14:textId="1690453F" w:rsidR="00B24786" w:rsidRPr="00F768B6" w:rsidRDefault="00B24786" w:rsidP="00AF2BBF">
            <w:pPr>
              <w:tabs>
                <w:tab w:val="left" w:pos="360"/>
                <w:tab w:val="left" w:pos="504"/>
              </w:tabs>
              <w:spacing w:before="120"/>
              <w:jc w:val="center"/>
              <w:textAlignment w:val="baseline"/>
              <w:rPr>
                <w:rFonts w:cstheme="majorBidi"/>
              </w:rPr>
            </w:pPr>
            <w:r w:rsidRPr="1C6C0DED">
              <w:rPr>
                <w:rFonts w:cstheme="majorBidi"/>
              </w:rPr>
              <w:t xml:space="preserve">Par </w:t>
            </w:r>
            <w:r w:rsidR="3358F17E" w:rsidRPr="1C6C0DED">
              <w:rPr>
                <w:rFonts w:cstheme="majorBidi"/>
              </w:rPr>
              <w:t>mètre</w:t>
            </w:r>
            <w:r w:rsidRPr="1C6C0DED">
              <w:rPr>
                <w:rFonts w:cstheme="majorBidi"/>
              </w:rPr>
              <w:t xml:space="preserve"> courant</w:t>
            </w:r>
          </w:p>
        </w:tc>
      </w:tr>
      <w:tr w:rsidR="00B24786" w:rsidRPr="00F91BDD" w14:paraId="75441EF8" w14:textId="34CC1957"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045AB335" w14:textId="646C71B1" w:rsidR="00B24786" w:rsidRPr="00F768B6" w:rsidRDefault="00B24786" w:rsidP="00AF2BBF">
            <w:pPr>
              <w:pStyle w:val="Titre3"/>
              <w:numPr>
                <w:ilvl w:val="0"/>
                <w:numId w:val="0"/>
              </w:numPr>
              <w:ind w:left="786"/>
            </w:pPr>
            <w:bookmarkStart w:id="5345" w:name="_Toc225504416"/>
            <w:bookmarkStart w:id="5346" w:name="_Toc225772505"/>
            <w:bookmarkStart w:id="5347" w:name="_Toc233626372"/>
            <w:r w:rsidRPr="21B2FD55">
              <w:lastRenderedPageBreak/>
              <w:t>040/362-07 Urbanisation</w:t>
            </w:r>
            <w:bookmarkEnd w:id="5345"/>
            <w:bookmarkEnd w:id="5346"/>
            <w:bookmarkEnd w:id="5347"/>
          </w:p>
        </w:tc>
        <w:tc>
          <w:tcPr>
            <w:tcW w:w="1275" w:type="dxa"/>
            <w:tcBorders>
              <w:top w:val="single" w:sz="4" w:space="0" w:color="auto"/>
              <w:left w:val="single" w:sz="4" w:space="0" w:color="auto"/>
              <w:bottom w:val="single" w:sz="4" w:space="0" w:color="auto"/>
              <w:right w:val="single" w:sz="4" w:space="0" w:color="auto"/>
            </w:tcBorders>
          </w:tcPr>
          <w:p w14:paraId="2699A01E"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Taxe directe</w:t>
            </w:r>
          </w:p>
        </w:tc>
        <w:tc>
          <w:tcPr>
            <w:tcW w:w="2268" w:type="dxa"/>
            <w:tcBorders>
              <w:top w:val="single" w:sz="4" w:space="0" w:color="auto"/>
              <w:bottom w:val="single" w:sz="4" w:space="0" w:color="auto"/>
            </w:tcBorders>
          </w:tcPr>
          <w:p w14:paraId="73CE4AE5" w14:textId="60FF91DC"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Plafond au mètre courant de 30€ + minimum de 50€ par propriété</w:t>
            </w:r>
          </w:p>
        </w:tc>
        <w:tc>
          <w:tcPr>
            <w:tcW w:w="2268" w:type="dxa"/>
            <w:tcBorders>
              <w:top w:val="single" w:sz="4" w:space="0" w:color="auto"/>
              <w:left w:val="single" w:sz="4" w:space="0" w:color="auto"/>
              <w:bottom w:val="single" w:sz="4" w:space="0" w:color="auto"/>
              <w:right w:val="single" w:sz="4" w:space="0" w:color="auto"/>
            </w:tcBorders>
          </w:tcPr>
          <w:p w14:paraId="1F533269" w14:textId="2F2C4EB0" w:rsidR="01C1E901" w:rsidRPr="001B1663"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 xml:space="preserve">Plafond au mètre courant de 37,44€ + minimum de </w:t>
            </w:r>
            <w:r w:rsidR="672B0E0B" w:rsidRPr="42E2FCEB">
              <w:rPr>
                <w:rFonts w:ascii="Cambria" w:eastAsia="Cambria" w:hAnsi="Cambria" w:cs="Cambria"/>
              </w:rPr>
              <w:t>62</w:t>
            </w:r>
            <w:r w:rsidRPr="42E2FCEB">
              <w:rPr>
                <w:rFonts w:ascii="Cambria" w:eastAsia="Cambria" w:hAnsi="Cambria" w:cs="Cambria"/>
              </w:rPr>
              <w:t>,</w:t>
            </w:r>
            <w:r w:rsidR="5815FC05" w:rsidRPr="42E2FCEB">
              <w:rPr>
                <w:rFonts w:ascii="Cambria" w:eastAsia="Cambria" w:hAnsi="Cambria" w:cs="Cambria"/>
              </w:rPr>
              <w:t>39</w:t>
            </w:r>
            <w:r w:rsidRPr="42E2FCEB">
              <w:rPr>
                <w:rFonts w:ascii="Cambria" w:eastAsia="Cambria" w:hAnsi="Cambria" w:cs="Cambria"/>
              </w:rPr>
              <w:t>€ par propriété</w:t>
            </w:r>
          </w:p>
        </w:tc>
        <w:tc>
          <w:tcPr>
            <w:tcW w:w="3261" w:type="dxa"/>
            <w:tcBorders>
              <w:top w:val="single" w:sz="4" w:space="0" w:color="auto"/>
              <w:left w:val="single" w:sz="4" w:space="0" w:color="auto"/>
              <w:bottom w:val="single" w:sz="4" w:space="0" w:color="auto"/>
              <w:right w:val="single" w:sz="4" w:space="0" w:color="auto"/>
            </w:tcBorders>
          </w:tcPr>
          <w:p w14:paraId="14F4E7BD" w14:textId="77F38BFA" w:rsidR="00B24786" w:rsidRPr="00F768B6" w:rsidRDefault="00B24786" w:rsidP="00AF2BBF">
            <w:pPr>
              <w:tabs>
                <w:tab w:val="left" w:pos="360"/>
                <w:tab w:val="left" w:pos="504"/>
              </w:tabs>
              <w:spacing w:before="120"/>
              <w:jc w:val="center"/>
              <w:textAlignment w:val="baseline"/>
              <w:rPr>
                <w:rFonts w:cstheme="majorBidi"/>
              </w:rPr>
            </w:pPr>
            <w:r w:rsidRPr="1C6C0DED">
              <w:rPr>
                <w:rFonts w:cstheme="majorBidi"/>
              </w:rPr>
              <w:t xml:space="preserve">Par </w:t>
            </w:r>
            <w:r w:rsidR="6C764864" w:rsidRPr="1C6C0DED">
              <w:rPr>
                <w:rFonts w:cstheme="majorBidi"/>
              </w:rPr>
              <w:t>mètre</w:t>
            </w:r>
            <w:r w:rsidRPr="1C6C0DED">
              <w:rPr>
                <w:rFonts w:cstheme="majorBidi"/>
              </w:rPr>
              <w:t xml:space="preserve"> courant</w:t>
            </w:r>
          </w:p>
        </w:tc>
      </w:tr>
      <w:tr w:rsidR="00B24786" w:rsidRPr="00F91BDD" w14:paraId="0DBE9097" w14:textId="126AFBEE"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516518E9" w14:textId="32944272" w:rsidR="00B24786" w:rsidRPr="00F768B6" w:rsidRDefault="00B24786" w:rsidP="00AF2BBF">
            <w:pPr>
              <w:pStyle w:val="Titre3"/>
              <w:numPr>
                <w:ilvl w:val="0"/>
                <w:numId w:val="0"/>
              </w:numPr>
              <w:ind w:left="786"/>
            </w:pPr>
            <w:bookmarkStart w:id="5348" w:name="_Toc225504417"/>
            <w:bookmarkStart w:id="5349" w:name="_Toc225772506"/>
            <w:bookmarkStart w:id="5350" w:name="_Toc233626373"/>
            <w:r w:rsidRPr="21B2FD55">
              <w:t>040/362-08 Inflexion dans les trottoirs</w:t>
            </w:r>
            <w:bookmarkEnd w:id="5348"/>
            <w:bookmarkEnd w:id="5349"/>
            <w:bookmarkEnd w:id="5350"/>
          </w:p>
        </w:tc>
        <w:tc>
          <w:tcPr>
            <w:tcW w:w="1275" w:type="dxa"/>
            <w:tcBorders>
              <w:top w:val="single" w:sz="4" w:space="0" w:color="auto"/>
              <w:left w:val="single" w:sz="4" w:space="0" w:color="auto"/>
              <w:bottom w:val="single" w:sz="4" w:space="0" w:color="auto"/>
              <w:right w:val="single" w:sz="4" w:space="0" w:color="auto"/>
            </w:tcBorders>
          </w:tcPr>
          <w:p w14:paraId="2E79968F"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Redevance</w:t>
            </w:r>
          </w:p>
        </w:tc>
        <w:tc>
          <w:tcPr>
            <w:tcW w:w="2268" w:type="dxa"/>
            <w:tcBorders>
              <w:top w:val="single" w:sz="4" w:space="0" w:color="auto"/>
              <w:bottom w:val="single" w:sz="4" w:space="0" w:color="auto"/>
            </w:tcBorders>
          </w:tcPr>
          <w:p w14:paraId="6FDCD7B2" w14:textId="478B87C1"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Taux selon coût réel (– subsides) + intérêts</w:t>
            </w:r>
          </w:p>
        </w:tc>
        <w:tc>
          <w:tcPr>
            <w:tcW w:w="2268" w:type="dxa"/>
            <w:tcBorders>
              <w:top w:val="single" w:sz="4" w:space="0" w:color="auto"/>
              <w:left w:val="single" w:sz="4" w:space="0" w:color="auto"/>
              <w:bottom w:val="single" w:sz="4" w:space="0" w:color="auto"/>
              <w:right w:val="single" w:sz="4" w:space="0" w:color="auto"/>
            </w:tcBorders>
          </w:tcPr>
          <w:p w14:paraId="47031287" w14:textId="591C5828"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2D4F8AC4" w14:textId="554DFA4B" w:rsidR="00B24786" w:rsidRPr="00F768B6" w:rsidRDefault="00B24786" w:rsidP="00AF2BBF">
            <w:pPr>
              <w:tabs>
                <w:tab w:val="left" w:pos="360"/>
                <w:tab w:val="left" w:pos="504"/>
              </w:tabs>
              <w:spacing w:before="120"/>
              <w:jc w:val="center"/>
              <w:textAlignment w:val="baseline"/>
              <w:rPr>
                <w:rFonts w:cstheme="majorBidi"/>
              </w:rPr>
            </w:pPr>
            <w:r w:rsidRPr="1C6C0DED">
              <w:rPr>
                <w:rFonts w:cstheme="majorBidi"/>
              </w:rPr>
              <w:t xml:space="preserve">Par </w:t>
            </w:r>
            <w:r w:rsidR="2D28F4C1" w:rsidRPr="1C6C0DED">
              <w:rPr>
                <w:rFonts w:cstheme="majorBidi"/>
              </w:rPr>
              <w:t>mètre</w:t>
            </w:r>
            <w:r w:rsidRPr="1C6C0DED">
              <w:rPr>
                <w:rFonts w:cstheme="majorBidi"/>
              </w:rPr>
              <w:t xml:space="preserve"> courant</w:t>
            </w:r>
          </w:p>
        </w:tc>
      </w:tr>
      <w:tr w:rsidR="00B24786" w:rsidRPr="00F91BDD" w14:paraId="12DF100E" w14:textId="5F8B489C"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62BD9857" w14:textId="5D840FF5" w:rsidR="00B24786" w:rsidRPr="00F768B6" w:rsidRDefault="00B24786" w:rsidP="00AF2BBF">
            <w:pPr>
              <w:pStyle w:val="Titre3"/>
              <w:numPr>
                <w:ilvl w:val="0"/>
                <w:numId w:val="0"/>
              </w:numPr>
              <w:ind w:left="786"/>
            </w:pPr>
            <w:bookmarkStart w:id="5351" w:name="_Toc225504418"/>
            <w:bookmarkStart w:id="5352" w:name="_Toc225772507"/>
            <w:bookmarkStart w:id="5353" w:name="_Toc233626374"/>
            <w:r w:rsidRPr="21B2FD55">
              <w:t>040/362-09 Aménagement rues piétonnières commerçantes</w:t>
            </w:r>
            <w:bookmarkEnd w:id="5351"/>
            <w:bookmarkEnd w:id="5352"/>
            <w:bookmarkEnd w:id="5353"/>
          </w:p>
        </w:tc>
        <w:tc>
          <w:tcPr>
            <w:tcW w:w="1275" w:type="dxa"/>
            <w:tcBorders>
              <w:top w:val="single" w:sz="4" w:space="0" w:color="auto"/>
              <w:left w:val="single" w:sz="4" w:space="0" w:color="auto"/>
              <w:bottom w:val="single" w:sz="4" w:space="0" w:color="auto"/>
              <w:right w:val="single" w:sz="4" w:space="0" w:color="auto"/>
            </w:tcBorders>
          </w:tcPr>
          <w:p w14:paraId="1E8A373F"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Taxe indirecte</w:t>
            </w:r>
          </w:p>
        </w:tc>
        <w:tc>
          <w:tcPr>
            <w:tcW w:w="2268" w:type="dxa"/>
            <w:tcBorders>
              <w:top w:val="single" w:sz="4" w:space="0" w:color="auto"/>
              <w:bottom w:val="single" w:sz="4" w:space="0" w:color="auto"/>
            </w:tcBorders>
          </w:tcPr>
          <w:p w14:paraId="20DE2866" w14:textId="4EE3C0FE"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Taux selon coût réel (– subsides) + intérêts</w:t>
            </w:r>
          </w:p>
        </w:tc>
        <w:tc>
          <w:tcPr>
            <w:tcW w:w="2268" w:type="dxa"/>
            <w:tcBorders>
              <w:top w:val="single" w:sz="4" w:space="0" w:color="auto"/>
              <w:left w:val="single" w:sz="4" w:space="0" w:color="auto"/>
              <w:bottom w:val="single" w:sz="4" w:space="0" w:color="auto"/>
              <w:right w:val="single" w:sz="4" w:space="0" w:color="auto"/>
            </w:tcBorders>
          </w:tcPr>
          <w:p w14:paraId="128891F6" w14:textId="2F6ECF9F"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7D6D667B" w14:textId="2B87EE7B" w:rsidR="00B24786" w:rsidRPr="00F768B6" w:rsidRDefault="00B24786" w:rsidP="00AF2BBF">
            <w:pPr>
              <w:tabs>
                <w:tab w:val="left" w:pos="360"/>
                <w:tab w:val="left" w:pos="504"/>
              </w:tabs>
              <w:spacing w:before="120"/>
              <w:jc w:val="center"/>
              <w:textAlignment w:val="baseline"/>
              <w:rPr>
                <w:rFonts w:cstheme="majorBidi"/>
              </w:rPr>
            </w:pPr>
            <w:r w:rsidRPr="1C6C0DED">
              <w:rPr>
                <w:rFonts w:cstheme="majorBidi"/>
              </w:rPr>
              <w:t xml:space="preserve">Par </w:t>
            </w:r>
            <w:r w:rsidR="4A610B1D" w:rsidRPr="1C6C0DED">
              <w:rPr>
                <w:rFonts w:cstheme="majorBidi"/>
              </w:rPr>
              <w:t>mètre</w:t>
            </w:r>
            <w:r w:rsidRPr="1C6C0DED">
              <w:rPr>
                <w:rFonts w:cstheme="majorBidi"/>
              </w:rPr>
              <w:t xml:space="preserve"> courant</w:t>
            </w:r>
          </w:p>
        </w:tc>
      </w:tr>
      <w:tr w:rsidR="00B24786" w:rsidRPr="00F91BDD" w14:paraId="51513E1D" w14:textId="69016668"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1277B2AB" w14:textId="51B5318B" w:rsidR="00B24786" w:rsidRPr="00F768B6" w:rsidRDefault="00B24786" w:rsidP="00AF2BBF">
            <w:pPr>
              <w:pStyle w:val="Titre3"/>
              <w:jc w:val="center"/>
            </w:pPr>
            <w:bookmarkStart w:id="5354" w:name="_Toc225504419"/>
            <w:bookmarkStart w:id="5355" w:name="_Toc225772508"/>
            <w:bookmarkStart w:id="5356" w:name="_Toc233626375"/>
            <w:r w:rsidRPr="21B2FD55">
              <w:t>040/363 Prestations d’hygiène</w:t>
            </w:r>
            <w:bookmarkEnd w:id="5354"/>
            <w:bookmarkEnd w:id="5355"/>
            <w:bookmarkEnd w:id="5356"/>
          </w:p>
        </w:tc>
        <w:tc>
          <w:tcPr>
            <w:tcW w:w="1275" w:type="dxa"/>
            <w:tcBorders>
              <w:top w:val="single" w:sz="4" w:space="0" w:color="auto"/>
              <w:left w:val="single" w:sz="4" w:space="0" w:color="auto"/>
              <w:bottom w:val="single" w:sz="4" w:space="0" w:color="auto"/>
              <w:right w:val="single" w:sz="4" w:space="0" w:color="auto"/>
            </w:tcBorders>
          </w:tcPr>
          <w:p w14:paraId="150E0BD6" w14:textId="77777777" w:rsidR="00B24786" w:rsidRPr="00F768B6" w:rsidRDefault="00B24786" w:rsidP="00AF2BBF">
            <w:pPr>
              <w:tabs>
                <w:tab w:val="left" w:pos="360"/>
                <w:tab w:val="left" w:pos="504"/>
              </w:tabs>
              <w:spacing w:before="120"/>
              <w:jc w:val="center"/>
              <w:textAlignment w:val="baseline"/>
              <w:rPr>
                <w:rFonts w:cstheme="majorHAnsi"/>
              </w:rPr>
            </w:pPr>
          </w:p>
        </w:tc>
        <w:tc>
          <w:tcPr>
            <w:tcW w:w="2268" w:type="dxa"/>
            <w:tcBorders>
              <w:top w:val="single" w:sz="4" w:space="0" w:color="auto"/>
              <w:bottom w:val="single" w:sz="4" w:space="0" w:color="auto"/>
            </w:tcBorders>
          </w:tcPr>
          <w:p w14:paraId="499A19AF" w14:textId="77777777" w:rsidR="00B24786" w:rsidRPr="00F768B6" w:rsidRDefault="00B24786" w:rsidP="00AF2BBF">
            <w:pPr>
              <w:tabs>
                <w:tab w:val="left" w:pos="360"/>
                <w:tab w:val="left" w:pos="504"/>
              </w:tabs>
              <w:spacing w:before="120"/>
              <w:jc w:val="center"/>
              <w:textAlignment w:val="baseline"/>
              <w:rPr>
                <w:rFonts w:cstheme="majorHAnsi"/>
              </w:rPr>
            </w:pPr>
          </w:p>
        </w:tc>
        <w:tc>
          <w:tcPr>
            <w:tcW w:w="2268" w:type="dxa"/>
            <w:tcBorders>
              <w:top w:val="single" w:sz="4" w:space="0" w:color="auto"/>
              <w:left w:val="single" w:sz="4" w:space="0" w:color="auto"/>
              <w:bottom w:val="single" w:sz="4" w:space="0" w:color="auto"/>
              <w:right w:val="single" w:sz="4" w:space="0" w:color="auto"/>
            </w:tcBorders>
          </w:tcPr>
          <w:p w14:paraId="6830D2BC" w14:textId="491FDF7A"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75C28902" w14:textId="77777777" w:rsidR="00B24786" w:rsidRPr="00F768B6" w:rsidRDefault="00B24786" w:rsidP="00AF2BBF">
            <w:pPr>
              <w:tabs>
                <w:tab w:val="left" w:pos="360"/>
                <w:tab w:val="left" w:pos="504"/>
              </w:tabs>
              <w:spacing w:before="120"/>
              <w:jc w:val="center"/>
              <w:textAlignment w:val="baseline"/>
              <w:rPr>
                <w:rFonts w:cstheme="majorHAnsi"/>
              </w:rPr>
            </w:pPr>
          </w:p>
        </w:tc>
      </w:tr>
      <w:tr w:rsidR="00B24786" w:rsidRPr="00F91BDD" w14:paraId="3FF3E73C" w14:textId="430EFAC7"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34C8BFB8" w14:textId="35DDBC2D" w:rsidR="00B24786" w:rsidRPr="00F768B6" w:rsidRDefault="00B24786" w:rsidP="00AF2BBF">
            <w:pPr>
              <w:pStyle w:val="Titre3"/>
              <w:numPr>
                <w:ilvl w:val="0"/>
                <w:numId w:val="0"/>
              </w:numPr>
              <w:ind w:left="786"/>
            </w:pPr>
            <w:bookmarkStart w:id="5357" w:name="_Toc225504420"/>
            <w:bookmarkStart w:id="5358" w:name="_Toc225772509"/>
            <w:bookmarkStart w:id="5359" w:name="_Toc233626376"/>
            <w:r w:rsidRPr="21B2FD55">
              <w:t>040/363-02 Travaux de raccordement au réseau de distribution d’eau</w:t>
            </w:r>
            <w:bookmarkEnd w:id="5357"/>
            <w:bookmarkEnd w:id="5358"/>
            <w:bookmarkEnd w:id="5359"/>
          </w:p>
        </w:tc>
        <w:tc>
          <w:tcPr>
            <w:tcW w:w="1275" w:type="dxa"/>
            <w:tcBorders>
              <w:top w:val="single" w:sz="4" w:space="0" w:color="auto"/>
              <w:left w:val="single" w:sz="4" w:space="0" w:color="auto"/>
              <w:bottom w:val="single" w:sz="4" w:space="0" w:color="auto"/>
              <w:right w:val="single" w:sz="4" w:space="0" w:color="auto"/>
            </w:tcBorders>
          </w:tcPr>
          <w:p w14:paraId="146FBFE0"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Redevance</w:t>
            </w:r>
          </w:p>
        </w:tc>
        <w:tc>
          <w:tcPr>
            <w:tcW w:w="2268" w:type="dxa"/>
            <w:tcBorders>
              <w:top w:val="single" w:sz="4" w:space="0" w:color="auto"/>
              <w:bottom w:val="single" w:sz="4" w:space="0" w:color="auto"/>
            </w:tcBorders>
          </w:tcPr>
          <w:p w14:paraId="7C34096D" w14:textId="126FADDD" w:rsidR="00B24786" w:rsidRPr="00F768B6" w:rsidRDefault="00B24786" w:rsidP="00AF2BBF">
            <w:pPr>
              <w:tabs>
                <w:tab w:val="left" w:pos="360"/>
                <w:tab w:val="left" w:pos="504"/>
              </w:tabs>
              <w:spacing w:before="120"/>
              <w:jc w:val="center"/>
              <w:textAlignment w:val="baseline"/>
              <w:rPr>
                <w:rFonts w:cstheme="majorBidi"/>
              </w:rPr>
            </w:pPr>
            <w:r w:rsidRPr="299C12F7">
              <w:rPr>
                <w:rFonts w:cstheme="majorBidi"/>
              </w:rPr>
              <w:t>Facturer au coût réel ou forfait avec clause de bascule</w:t>
            </w:r>
          </w:p>
        </w:tc>
        <w:tc>
          <w:tcPr>
            <w:tcW w:w="2268" w:type="dxa"/>
            <w:tcBorders>
              <w:top w:val="single" w:sz="4" w:space="0" w:color="auto"/>
              <w:left w:val="single" w:sz="4" w:space="0" w:color="auto"/>
              <w:bottom w:val="single" w:sz="4" w:space="0" w:color="auto"/>
              <w:right w:val="single" w:sz="4" w:space="0" w:color="auto"/>
            </w:tcBorders>
          </w:tcPr>
          <w:p w14:paraId="3CBD87C7" w14:textId="66CD278E"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30B7713F" w14:textId="25E002AE" w:rsidR="00B24786" w:rsidRPr="00F768B6" w:rsidRDefault="1F7B5CF9" w:rsidP="00AF2BBF">
            <w:pPr>
              <w:tabs>
                <w:tab w:val="left" w:pos="360"/>
                <w:tab w:val="left" w:pos="504"/>
              </w:tabs>
              <w:spacing w:before="120"/>
              <w:jc w:val="center"/>
              <w:textAlignment w:val="baseline"/>
              <w:rPr>
                <w:rFonts w:cstheme="majorBidi"/>
              </w:rPr>
            </w:pPr>
            <w:r w:rsidRPr="1C6C0DED">
              <w:rPr>
                <w:rFonts w:cstheme="majorBidi"/>
              </w:rPr>
              <w:t>Par mètre</w:t>
            </w:r>
            <w:r w:rsidR="00B24786" w:rsidRPr="1C6C0DED">
              <w:rPr>
                <w:rFonts w:cstheme="majorBidi"/>
              </w:rPr>
              <w:t xml:space="preserve"> courant</w:t>
            </w:r>
          </w:p>
        </w:tc>
      </w:tr>
      <w:tr w:rsidR="00B24786" w:rsidRPr="00F91BDD" w14:paraId="6FDDA237" w14:textId="08804645"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0AFAC2B7" w14:textId="5D61A8A0" w:rsidR="00B24786" w:rsidRPr="00F768B6" w:rsidRDefault="00B24786" w:rsidP="00AF2BBF">
            <w:pPr>
              <w:pStyle w:val="Titre3"/>
              <w:numPr>
                <w:ilvl w:val="0"/>
                <w:numId w:val="0"/>
              </w:numPr>
              <w:ind w:left="786"/>
            </w:pPr>
            <w:bookmarkStart w:id="5360" w:name="_Toc225504421"/>
            <w:bookmarkStart w:id="5361" w:name="_Toc225772510"/>
            <w:bookmarkStart w:id="5362" w:name="_Toc233626377"/>
            <w:r w:rsidRPr="21B2FD55">
              <w:t>040/363-03 Enlèvement et traitement des immondices</w:t>
            </w:r>
            <w:bookmarkEnd w:id="5360"/>
            <w:bookmarkEnd w:id="5361"/>
            <w:bookmarkEnd w:id="5362"/>
          </w:p>
        </w:tc>
        <w:tc>
          <w:tcPr>
            <w:tcW w:w="1275" w:type="dxa"/>
            <w:tcBorders>
              <w:top w:val="single" w:sz="4" w:space="0" w:color="auto"/>
              <w:left w:val="single" w:sz="4" w:space="0" w:color="auto"/>
              <w:bottom w:val="single" w:sz="4" w:space="0" w:color="auto"/>
              <w:right w:val="single" w:sz="4" w:space="0" w:color="auto"/>
            </w:tcBorders>
          </w:tcPr>
          <w:p w14:paraId="510C98C2"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Taxe directe (forfait) + indirecte (variable)</w:t>
            </w:r>
          </w:p>
        </w:tc>
        <w:tc>
          <w:tcPr>
            <w:tcW w:w="2268" w:type="dxa"/>
            <w:tcBorders>
              <w:top w:val="single" w:sz="4" w:space="0" w:color="auto"/>
              <w:bottom w:val="single" w:sz="4" w:space="0" w:color="auto"/>
            </w:tcBorders>
          </w:tcPr>
          <w:p w14:paraId="72904338" w14:textId="616DA5BD"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Respect du coût-vérité (95–110 % ; 100–110 % sous plan)</w:t>
            </w:r>
          </w:p>
        </w:tc>
        <w:tc>
          <w:tcPr>
            <w:tcW w:w="2268" w:type="dxa"/>
            <w:tcBorders>
              <w:top w:val="single" w:sz="4" w:space="0" w:color="auto"/>
              <w:left w:val="single" w:sz="4" w:space="0" w:color="auto"/>
              <w:bottom w:val="single" w:sz="4" w:space="0" w:color="auto"/>
              <w:right w:val="single" w:sz="4" w:space="0" w:color="auto"/>
            </w:tcBorders>
          </w:tcPr>
          <w:p w14:paraId="019363AF" w14:textId="6773636D"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3C148A60" w14:textId="6D86CF39" w:rsidR="00B24786" w:rsidRPr="00F768B6" w:rsidRDefault="00B24786" w:rsidP="00AF2BBF">
            <w:pPr>
              <w:tabs>
                <w:tab w:val="left" w:pos="360"/>
                <w:tab w:val="left" w:pos="504"/>
              </w:tabs>
              <w:spacing w:before="120"/>
              <w:jc w:val="center"/>
              <w:textAlignment w:val="baseline"/>
              <w:rPr>
                <w:rFonts w:cstheme="majorHAnsi"/>
              </w:rPr>
            </w:pPr>
            <w:r>
              <w:rPr>
                <w:rFonts w:cstheme="majorHAnsi"/>
              </w:rPr>
              <w:t>Par ménage et par an</w:t>
            </w:r>
          </w:p>
        </w:tc>
      </w:tr>
      <w:tr w:rsidR="00B24786" w:rsidRPr="00F91BDD" w14:paraId="7CA335A5" w14:textId="7B0D5F63"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4A4FCB0" w14:textId="60CAE2A8" w:rsidR="00B24786" w:rsidRPr="00F768B6" w:rsidRDefault="00B24786" w:rsidP="00AF2BBF">
            <w:pPr>
              <w:pStyle w:val="Titre3"/>
              <w:numPr>
                <w:ilvl w:val="0"/>
                <w:numId w:val="0"/>
              </w:numPr>
              <w:ind w:left="786"/>
            </w:pPr>
            <w:bookmarkStart w:id="5363" w:name="_Toc225504422"/>
            <w:bookmarkStart w:id="5364" w:name="_Toc225772511"/>
            <w:bookmarkStart w:id="5365" w:name="_Toc233626378"/>
            <w:r w:rsidRPr="21B2FD55">
              <w:t>040/363-04 Vidange des fosses d’aisance</w:t>
            </w:r>
            <w:bookmarkEnd w:id="5363"/>
            <w:bookmarkEnd w:id="5364"/>
            <w:bookmarkEnd w:id="5365"/>
          </w:p>
        </w:tc>
        <w:tc>
          <w:tcPr>
            <w:tcW w:w="1275" w:type="dxa"/>
            <w:tcBorders>
              <w:top w:val="single" w:sz="4" w:space="0" w:color="auto"/>
              <w:left w:val="single" w:sz="4" w:space="0" w:color="auto"/>
              <w:bottom w:val="single" w:sz="4" w:space="0" w:color="auto"/>
              <w:right w:val="single" w:sz="4" w:space="0" w:color="auto"/>
            </w:tcBorders>
          </w:tcPr>
          <w:p w14:paraId="687EA435"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x</w:t>
            </w:r>
          </w:p>
        </w:tc>
        <w:tc>
          <w:tcPr>
            <w:tcW w:w="2268" w:type="dxa"/>
            <w:tcBorders>
              <w:top w:val="single" w:sz="4" w:space="0" w:color="auto"/>
              <w:bottom w:val="single" w:sz="4" w:space="0" w:color="auto"/>
            </w:tcBorders>
          </w:tcPr>
          <w:p w14:paraId="0EAED04D" w14:textId="467C352D"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À transformer en taxe ‘entretien des égouts’</w:t>
            </w:r>
          </w:p>
        </w:tc>
        <w:tc>
          <w:tcPr>
            <w:tcW w:w="2268" w:type="dxa"/>
            <w:tcBorders>
              <w:top w:val="single" w:sz="4" w:space="0" w:color="auto"/>
              <w:left w:val="single" w:sz="4" w:space="0" w:color="auto"/>
              <w:bottom w:val="single" w:sz="4" w:space="0" w:color="auto"/>
              <w:right w:val="single" w:sz="4" w:space="0" w:color="auto"/>
            </w:tcBorders>
          </w:tcPr>
          <w:p w14:paraId="77AC9E40" w14:textId="451D4909"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x</w:t>
            </w:r>
          </w:p>
        </w:tc>
        <w:tc>
          <w:tcPr>
            <w:tcW w:w="3261" w:type="dxa"/>
            <w:tcBorders>
              <w:top w:val="single" w:sz="4" w:space="0" w:color="auto"/>
              <w:left w:val="single" w:sz="4" w:space="0" w:color="auto"/>
              <w:bottom w:val="single" w:sz="4" w:space="0" w:color="auto"/>
              <w:right w:val="single" w:sz="4" w:space="0" w:color="auto"/>
            </w:tcBorders>
          </w:tcPr>
          <w:p w14:paraId="4B1142FD" w14:textId="77777777" w:rsidR="00B24786" w:rsidRPr="00F768B6" w:rsidRDefault="00B24786" w:rsidP="00AF2BBF">
            <w:pPr>
              <w:tabs>
                <w:tab w:val="left" w:pos="360"/>
                <w:tab w:val="left" w:pos="504"/>
              </w:tabs>
              <w:spacing w:before="120"/>
              <w:jc w:val="center"/>
              <w:textAlignment w:val="baseline"/>
              <w:rPr>
                <w:rFonts w:cstheme="majorHAnsi"/>
              </w:rPr>
            </w:pPr>
          </w:p>
        </w:tc>
      </w:tr>
      <w:tr w:rsidR="00B24786" w:rsidRPr="00F91BDD" w14:paraId="5893F918" w14:textId="7043BEA5"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1C4DF1DB" w14:textId="5036813E" w:rsidR="00B24786" w:rsidRPr="00F768B6" w:rsidRDefault="00B24786" w:rsidP="00AF2BBF">
            <w:pPr>
              <w:pStyle w:val="Titre3"/>
              <w:numPr>
                <w:ilvl w:val="0"/>
                <w:numId w:val="0"/>
              </w:numPr>
              <w:ind w:left="786"/>
            </w:pPr>
            <w:bookmarkStart w:id="5366" w:name="_Toc225504423"/>
            <w:bookmarkStart w:id="5367" w:name="_Toc225772512"/>
            <w:bookmarkStart w:id="5368" w:name="_Toc233626379"/>
            <w:r w:rsidRPr="21B2FD55">
              <w:t>040/363-05 Enlèvement d’objets encombrants</w:t>
            </w:r>
            <w:bookmarkEnd w:id="5366"/>
            <w:bookmarkEnd w:id="5367"/>
            <w:bookmarkEnd w:id="5368"/>
          </w:p>
        </w:tc>
        <w:tc>
          <w:tcPr>
            <w:tcW w:w="1275" w:type="dxa"/>
            <w:tcBorders>
              <w:top w:val="single" w:sz="4" w:space="0" w:color="auto"/>
              <w:left w:val="single" w:sz="4" w:space="0" w:color="auto"/>
              <w:bottom w:val="single" w:sz="4" w:space="0" w:color="auto"/>
              <w:right w:val="single" w:sz="4" w:space="0" w:color="auto"/>
            </w:tcBorders>
          </w:tcPr>
          <w:p w14:paraId="75441C39"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Redevance</w:t>
            </w:r>
          </w:p>
        </w:tc>
        <w:tc>
          <w:tcPr>
            <w:tcW w:w="2268" w:type="dxa"/>
            <w:tcBorders>
              <w:top w:val="single" w:sz="4" w:space="0" w:color="auto"/>
              <w:bottom w:val="single" w:sz="4" w:space="0" w:color="auto"/>
            </w:tcBorders>
          </w:tcPr>
          <w:p w14:paraId="4EF485B6" w14:textId="503C7570" w:rsidR="00B24786" w:rsidRPr="00F768B6" w:rsidRDefault="00B24786" w:rsidP="00AF2BBF">
            <w:pPr>
              <w:tabs>
                <w:tab w:val="left" w:pos="360"/>
                <w:tab w:val="left" w:pos="504"/>
              </w:tabs>
              <w:spacing w:before="120"/>
              <w:jc w:val="center"/>
              <w:textAlignment w:val="baseline"/>
              <w:rPr>
                <w:rFonts w:cstheme="majorBidi"/>
              </w:rPr>
            </w:pPr>
            <w:r w:rsidRPr="68D617A7">
              <w:rPr>
                <w:rFonts w:cstheme="majorBidi"/>
              </w:rPr>
              <w:t>Hors service minimum – facturation possible</w:t>
            </w:r>
          </w:p>
          <w:p w14:paraId="54D98EC8" w14:textId="6AF3F3E9" w:rsidR="00B24786" w:rsidRPr="00F768B6" w:rsidRDefault="0C847774" w:rsidP="00AF2BBF">
            <w:pPr>
              <w:tabs>
                <w:tab w:val="left" w:pos="360"/>
                <w:tab w:val="left" w:pos="504"/>
              </w:tabs>
              <w:spacing w:before="120"/>
              <w:jc w:val="center"/>
              <w:textAlignment w:val="baseline"/>
              <w:rPr>
                <w:rFonts w:cstheme="majorBidi"/>
              </w:rPr>
            </w:pPr>
            <w:r w:rsidRPr="04C7FC13">
              <w:rPr>
                <w:rFonts w:cstheme="majorBidi"/>
              </w:rPr>
              <w:t>Coût réel ou forfait</w:t>
            </w:r>
          </w:p>
        </w:tc>
        <w:tc>
          <w:tcPr>
            <w:tcW w:w="2268" w:type="dxa"/>
            <w:tcBorders>
              <w:top w:val="single" w:sz="4" w:space="0" w:color="auto"/>
              <w:left w:val="single" w:sz="4" w:space="0" w:color="auto"/>
              <w:bottom w:val="single" w:sz="4" w:space="0" w:color="auto"/>
              <w:right w:val="single" w:sz="4" w:space="0" w:color="auto"/>
            </w:tcBorders>
          </w:tcPr>
          <w:p w14:paraId="72318FCB" w14:textId="50BA3B91"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71F5BEDE" w14:textId="791318C3" w:rsidR="00B24786" w:rsidRPr="00F768B6" w:rsidRDefault="00B24786" w:rsidP="00AF2BBF">
            <w:pPr>
              <w:tabs>
                <w:tab w:val="left" w:pos="360"/>
                <w:tab w:val="left" w:pos="504"/>
              </w:tabs>
              <w:spacing w:before="120"/>
              <w:jc w:val="center"/>
              <w:textAlignment w:val="baseline"/>
              <w:rPr>
                <w:rFonts w:cstheme="majorBidi"/>
              </w:rPr>
            </w:pPr>
            <w:r w:rsidRPr="1C6C0DED">
              <w:rPr>
                <w:rFonts w:cstheme="majorBidi"/>
              </w:rPr>
              <w:t xml:space="preserve">Par </w:t>
            </w:r>
            <w:r w:rsidR="66027DBB" w:rsidRPr="1C6C0DED">
              <w:rPr>
                <w:rFonts w:cstheme="majorBidi"/>
              </w:rPr>
              <w:t>m</w:t>
            </w:r>
            <w:r w:rsidRPr="1C6C0DED">
              <w:rPr>
                <w:rFonts w:cstheme="majorBidi"/>
              </w:rPr>
              <w:t>3</w:t>
            </w:r>
          </w:p>
        </w:tc>
      </w:tr>
      <w:tr w:rsidR="00B24786" w:rsidRPr="00F91BDD" w14:paraId="60B928C4" w14:textId="7BA83F75"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3FC7E503" w14:textId="53A6F430" w:rsidR="00B24786" w:rsidRPr="00F768B6" w:rsidRDefault="00B24786" w:rsidP="00AF2BBF">
            <w:pPr>
              <w:pStyle w:val="Titre3"/>
              <w:numPr>
                <w:ilvl w:val="0"/>
                <w:numId w:val="0"/>
              </w:numPr>
              <w:ind w:left="786"/>
            </w:pPr>
            <w:bookmarkStart w:id="5369" w:name="_Toc225504424"/>
            <w:bookmarkStart w:id="5370" w:name="_Toc225772513"/>
            <w:bookmarkStart w:id="5371" w:name="_Toc233626380"/>
            <w:r w:rsidRPr="21B2FD55">
              <w:t>040/363-07 Enlèvement des versages sauvages</w:t>
            </w:r>
            <w:bookmarkEnd w:id="5369"/>
            <w:bookmarkEnd w:id="5370"/>
            <w:bookmarkEnd w:id="5371"/>
          </w:p>
        </w:tc>
        <w:tc>
          <w:tcPr>
            <w:tcW w:w="1275" w:type="dxa"/>
            <w:tcBorders>
              <w:top w:val="single" w:sz="4" w:space="0" w:color="auto"/>
              <w:left w:val="single" w:sz="4" w:space="0" w:color="auto"/>
              <w:bottom w:val="single" w:sz="4" w:space="0" w:color="auto"/>
              <w:right w:val="single" w:sz="4" w:space="0" w:color="auto"/>
            </w:tcBorders>
          </w:tcPr>
          <w:p w14:paraId="72A96F04"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Redevance</w:t>
            </w:r>
          </w:p>
        </w:tc>
        <w:tc>
          <w:tcPr>
            <w:tcW w:w="2268" w:type="dxa"/>
            <w:tcBorders>
              <w:top w:val="single" w:sz="4" w:space="0" w:color="auto"/>
              <w:bottom w:val="single" w:sz="4" w:space="0" w:color="auto"/>
            </w:tcBorders>
          </w:tcPr>
          <w:p w14:paraId="05666BF5" w14:textId="7079EBD2"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Coût réel ou forfait(s) (100 € à 500 €)</w:t>
            </w:r>
          </w:p>
        </w:tc>
        <w:tc>
          <w:tcPr>
            <w:tcW w:w="2268" w:type="dxa"/>
            <w:tcBorders>
              <w:top w:val="single" w:sz="4" w:space="0" w:color="auto"/>
              <w:left w:val="single" w:sz="4" w:space="0" w:color="auto"/>
              <w:bottom w:val="single" w:sz="4" w:space="0" w:color="auto"/>
              <w:right w:val="single" w:sz="4" w:space="0" w:color="auto"/>
            </w:tcBorders>
          </w:tcPr>
          <w:p w14:paraId="55E6B6D7" w14:textId="67E5AE21" w:rsidR="01C1E901" w:rsidRPr="001B1663"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Coût réel ou forfait(s) (</w:t>
            </w:r>
            <w:r w:rsidR="503B770A" w:rsidRPr="42E2FCEB">
              <w:rPr>
                <w:rFonts w:ascii="Cambria" w:eastAsia="Cambria" w:hAnsi="Cambria" w:cs="Cambria"/>
              </w:rPr>
              <w:t>124</w:t>
            </w:r>
            <w:r w:rsidRPr="42E2FCEB">
              <w:rPr>
                <w:rFonts w:ascii="Cambria" w:eastAsia="Cambria" w:hAnsi="Cambria" w:cs="Cambria"/>
              </w:rPr>
              <w:t>,</w:t>
            </w:r>
            <w:r w:rsidR="2610B38F" w:rsidRPr="42E2FCEB">
              <w:rPr>
                <w:rFonts w:ascii="Cambria" w:eastAsia="Cambria" w:hAnsi="Cambria" w:cs="Cambria"/>
              </w:rPr>
              <w:t>79</w:t>
            </w:r>
            <w:r w:rsidRPr="42E2FCEB">
              <w:rPr>
                <w:rFonts w:ascii="Cambria" w:eastAsia="Cambria" w:hAnsi="Cambria" w:cs="Cambria"/>
              </w:rPr>
              <w:t xml:space="preserve">€ à </w:t>
            </w:r>
            <w:r w:rsidR="0580FDD9" w:rsidRPr="42E2FCEB">
              <w:rPr>
                <w:rFonts w:ascii="Cambria" w:eastAsia="Cambria" w:hAnsi="Cambria" w:cs="Cambria"/>
              </w:rPr>
              <w:t>623</w:t>
            </w:r>
            <w:r w:rsidRPr="42E2FCEB">
              <w:rPr>
                <w:rFonts w:ascii="Cambria" w:eastAsia="Cambria" w:hAnsi="Cambria" w:cs="Cambria"/>
              </w:rPr>
              <w:t>,</w:t>
            </w:r>
            <w:r w:rsidR="2A1F1D45" w:rsidRPr="42E2FCEB">
              <w:rPr>
                <w:rFonts w:ascii="Cambria" w:eastAsia="Cambria" w:hAnsi="Cambria" w:cs="Cambria"/>
              </w:rPr>
              <w:t>95</w:t>
            </w:r>
            <w:r w:rsidRPr="42E2FCEB">
              <w:rPr>
                <w:rFonts w:ascii="Cambria" w:eastAsia="Cambria" w:hAnsi="Cambria" w:cs="Cambria"/>
              </w:rPr>
              <w:t>€)</w:t>
            </w:r>
          </w:p>
        </w:tc>
        <w:tc>
          <w:tcPr>
            <w:tcW w:w="3261" w:type="dxa"/>
            <w:tcBorders>
              <w:top w:val="single" w:sz="4" w:space="0" w:color="auto"/>
              <w:left w:val="single" w:sz="4" w:space="0" w:color="auto"/>
              <w:bottom w:val="single" w:sz="4" w:space="0" w:color="auto"/>
              <w:right w:val="single" w:sz="4" w:space="0" w:color="auto"/>
            </w:tcBorders>
          </w:tcPr>
          <w:p w14:paraId="2E05FFD8" w14:textId="0DA7708A" w:rsidR="00815B1A" w:rsidRDefault="00815B1A" w:rsidP="00AF2BBF">
            <w:pPr>
              <w:tabs>
                <w:tab w:val="left" w:pos="360"/>
                <w:tab w:val="left" w:pos="504"/>
              </w:tabs>
              <w:spacing w:before="120"/>
              <w:jc w:val="center"/>
              <w:textAlignment w:val="baseline"/>
              <w:rPr>
                <w:rFonts w:cstheme="majorHAnsi"/>
              </w:rPr>
            </w:pPr>
            <w:r>
              <w:rPr>
                <w:rFonts w:cstheme="majorHAnsi"/>
              </w:rPr>
              <w:t>Forfait par 1000Litres/100Kg de versage sauvage</w:t>
            </w:r>
          </w:p>
          <w:p w14:paraId="0097729B" w14:textId="6AA8A152" w:rsidR="00815B1A" w:rsidRPr="00F768B6" w:rsidRDefault="00815B1A" w:rsidP="00AF2BBF">
            <w:pPr>
              <w:tabs>
                <w:tab w:val="left" w:pos="360"/>
                <w:tab w:val="left" w:pos="504"/>
              </w:tabs>
              <w:spacing w:before="120"/>
              <w:jc w:val="center"/>
              <w:textAlignment w:val="baseline"/>
              <w:rPr>
                <w:rFonts w:cstheme="majorHAnsi"/>
              </w:rPr>
            </w:pPr>
          </w:p>
        </w:tc>
      </w:tr>
      <w:tr w:rsidR="00B24786" w:rsidRPr="00F91BDD" w14:paraId="317FE57E" w14:textId="4D14449A"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3A5DDF77" w14:textId="7E84D1C8" w:rsidR="00B24786" w:rsidRPr="00F768B6" w:rsidRDefault="00B24786" w:rsidP="00AF2BBF">
            <w:pPr>
              <w:pStyle w:val="Titre3"/>
              <w:numPr>
                <w:ilvl w:val="0"/>
                <w:numId w:val="0"/>
              </w:numPr>
              <w:ind w:left="786"/>
            </w:pPr>
            <w:bookmarkStart w:id="5372" w:name="_Toc225504425"/>
            <w:bookmarkStart w:id="5373" w:name="_Toc225772514"/>
            <w:bookmarkStart w:id="5374" w:name="_Toc233626381"/>
            <w:r w:rsidRPr="21B2FD55">
              <w:t>040/363-08 Immeubles reliés/reliables au réseau d’égouts</w:t>
            </w:r>
            <w:bookmarkEnd w:id="5372"/>
            <w:bookmarkEnd w:id="5373"/>
            <w:bookmarkEnd w:id="5374"/>
          </w:p>
        </w:tc>
        <w:tc>
          <w:tcPr>
            <w:tcW w:w="1275" w:type="dxa"/>
            <w:tcBorders>
              <w:top w:val="single" w:sz="4" w:space="0" w:color="auto"/>
              <w:left w:val="single" w:sz="4" w:space="0" w:color="auto"/>
              <w:bottom w:val="single" w:sz="4" w:space="0" w:color="auto"/>
              <w:right w:val="single" w:sz="4" w:space="0" w:color="auto"/>
            </w:tcBorders>
          </w:tcPr>
          <w:p w14:paraId="3E52A029"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Taxe directe</w:t>
            </w:r>
          </w:p>
        </w:tc>
        <w:tc>
          <w:tcPr>
            <w:tcW w:w="2268" w:type="dxa"/>
            <w:tcBorders>
              <w:top w:val="single" w:sz="4" w:space="0" w:color="auto"/>
              <w:bottom w:val="single" w:sz="4" w:space="0" w:color="auto"/>
            </w:tcBorders>
          </w:tcPr>
          <w:p w14:paraId="0043705A" w14:textId="138C03E4" w:rsidR="00B24786" w:rsidRPr="00F768B6" w:rsidRDefault="00B24786" w:rsidP="00AF2BBF">
            <w:pPr>
              <w:tabs>
                <w:tab w:val="left" w:pos="360"/>
                <w:tab w:val="left" w:pos="504"/>
              </w:tabs>
              <w:spacing w:before="120"/>
              <w:jc w:val="center"/>
              <w:textAlignment w:val="baseline"/>
              <w:rPr>
                <w:rFonts w:cstheme="majorBidi"/>
              </w:rPr>
            </w:pPr>
            <w:r w:rsidRPr="5089037C">
              <w:rPr>
                <w:rFonts w:cstheme="majorBidi"/>
              </w:rPr>
              <w:t>70 € par logement ; due par l’occupant</w:t>
            </w:r>
          </w:p>
        </w:tc>
        <w:tc>
          <w:tcPr>
            <w:tcW w:w="2268" w:type="dxa"/>
            <w:tcBorders>
              <w:top w:val="single" w:sz="4" w:space="0" w:color="auto"/>
              <w:left w:val="single" w:sz="4" w:space="0" w:color="auto"/>
              <w:bottom w:val="single" w:sz="4" w:space="0" w:color="auto"/>
              <w:right w:val="single" w:sz="4" w:space="0" w:color="auto"/>
            </w:tcBorders>
          </w:tcPr>
          <w:p w14:paraId="08DB5751" w14:textId="27A00761"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87,35 € par logement due par l’occupant</w:t>
            </w:r>
          </w:p>
        </w:tc>
        <w:tc>
          <w:tcPr>
            <w:tcW w:w="3261" w:type="dxa"/>
            <w:tcBorders>
              <w:top w:val="single" w:sz="4" w:space="0" w:color="auto"/>
              <w:left w:val="single" w:sz="4" w:space="0" w:color="auto"/>
              <w:bottom w:val="single" w:sz="4" w:space="0" w:color="auto"/>
              <w:right w:val="single" w:sz="4" w:space="0" w:color="auto"/>
            </w:tcBorders>
          </w:tcPr>
          <w:p w14:paraId="1D98ACCD" w14:textId="1DE573D1" w:rsidR="00B24786" w:rsidRPr="00F768B6" w:rsidRDefault="00B24786" w:rsidP="00AF2BBF">
            <w:pPr>
              <w:tabs>
                <w:tab w:val="left" w:pos="360"/>
                <w:tab w:val="left" w:pos="504"/>
              </w:tabs>
              <w:spacing w:before="120"/>
              <w:jc w:val="center"/>
              <w:textAlignment w:val="baseline"/>
              <w:rPr>
                <w:rFonts w:cstheme="majorHAnsi"/>
              </w:rPr>
            </w:pPr>
            <w:r>
              <w:rPr>
                <w:rFonts w:cstheme="majorHAnsi"/>
              </w:rPr>
              <w:t>Par logement</w:t>
            </w:r>
            <w:r w:rsidR="00815B1A">
              <w:rPr>
                <w:rFonts w:cstheme="majorHAnsi"/>
              </w:rPr>
              <w:t xml:space="preserve"> et par an</w:t>
            </w:r>
          </w:p>
        </w:tc>
      </w:tr>
      <w:tr w:rsidR="00B24786" w:rsidRPr="00F91BDD" w14:paraId="30B5AE59" w14:textId="052A0626"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1293F336" w14:textId="14140ED8" w:rsidR="00B24786" w:rsidRPr="00F768B6" w:rsidRDefault="00B24786" w:rsidP="00AF2BBF">
            <w:pPr>
              <w:pStyle w:val="Titre3"/>
              <w:numPr>
                <w:ilvl w:val="0"/>
                <w:numId w:val="0"/>
              </w:numPr>
              <w:ind w:left="786"/>
            </w:pPr>
            <w:bookmarkStart w:id="5375" w:name="_Toc225504426"/>
            <w:bookmarkStart w:id="5376" w:name="_Toc225772515"/>
            <w:bookmarkStart w:id="5377" w:name="_Toc233626382"/>
            <w:r w:rsidRPr="21B2FD55">
              <w:lastRenderedPageBreak/>
              <w:t>040/363-09 Entretien des égouts</w:t>
            </w:r>
            <w:bookmarkEnd w:id="5375"/>
            <w:bookmarkEnd w:id="5376"/>
            <w:bookmarkEnd w:id="5377"/>
          </w:p>
        </w:tc>
        <w:tc>
          <w:tcPr>
            <w:tcW w:w="1275" w:type="dxa"/>
            <w:tcBorders>
              <w:top w:val="single" w:sz="4" w:space="0" w:color="auto"/>
              <w:left w:val="single" w:sz="4" w:space="0" w:color="auto"/>
              <w:bottom w:val="single" w:sz="4" w:space="0" w:color="auto"/>
              <w:right w:val="single" w:sz="4" w:space="0" w:color="auto"/>
            </w:tcBorders>
          </w:tcPr>
          <w:p w14:paraId="50E60953"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Taxe directe</w:t>
            </w:r>
          </w:p>
        </w:tc>
        <w:tc>
          <w:tcPr>
            <w:tcW w:w="2268" w:type="dxa"/>
            <w:tcBorders>
              <w:top w:val="single" w:sz="4" w:space="0" w:color="auto"/>
              <w:bottom w:val="single" w:sz="4" w:space="0" w:color="auto"/>
            </w:tcBorders>
          </w:tcPr>
          <w:p w14:paraId="660921C4" w14:textId="3A10BCCD"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70 €</w:t>
            </w:r>
          </w:p>
        </w:tc>
        <w:tc>
          <w:tcPr>
            <w:tcW w:w="2268" w:type="dxa"/>
            <w:tcBorders>
              <w:top w:val="single" w:sz="4" w:space="0" w:color="auto"/>
              <w:left w:val="single" w:sz="4" w:space="0" w:color="auto"/>
              <w:bottom w:val="single" w:sz="4" w:space="0" w:color="auto"/>
              <w:right w:val="single" w:sz="4" w:space="0" w:color="auto"/>
            </w:tcBorders>
          </w:tcPr>
          <w:p w14:paraId="637E061A" w14:textId="197A45B9"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87,35 €</w:t>
            </w:r>
          </w:p>
        </w:tc>
        <w:tc>
          <w:tcPr>
            <w:tcW w:w="3261" w:type="dxa"/>
            <w:tcBorders>
              <w:top w:val="single" w:sz="4" w:space="0" w:color="auto"/>
              <w:left w:val="single" w:sz="4" w:space="0" w:color="auto"/>
              <w:bottom w:val="single" w:sz="4" w:space="0" w:color="auto"/>
              <w:right w:val="single" w:sz="4" w:space="0" w:color="auto"/>
            </w:tcBorders>
          </w:tcPr>
          <w:p w14:paraId="383A92D5" w14:textId="37640CD0" w:rsidR="00B24786" w:rsidRPr="00F768B6" w:rsidRDefault="009E4E92" w:rsidP="00AF2BBF">
            <w:pPr>
              <w:tabs>
                <w:tab w:val="left" w:pos="360"/>
                <w:tab w:val="left" w:pos="504"/>
              </w:tabs>
              <w:spacing w:before="120"/>
              <w:jc w:val="center"/>
              <w:textAlignment w:val="baseline"/>
              <w:rPr>
                <w:rFonts w:cstheme="majorHAnsi"/>
              </w:rPr>
            </w:pPr>
            <w:r>
              <w:rPr>
                <w:rFonts w:cstheme="majorHAnsi"/>
              </w:rPr>
              <w:t>Par logement et par an</w:t>
            </w:r>
          </w:p>
        </w:tc>
      </w:tr>
      <w:tr w:rsidR="00B24786" w:rsidRPr="00F91BDD" w14:paraId="7DE35F2B" w14:textId="3A1FC39B"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44EE4E1E" w14:textId="56FE20F3" w:rsidR="00B24786" w:rsidRPr="00F768B6" w:rsidRDefault="00B24786" w:rsidP="00AF2BBF">
            <w:pPr>
              <w:pStyle w:val="Titre3"/>
              <w:numPr>
                <w:ilvl w:val="0"/>
                <w:numId w:val="0"/>
              </w:numPr>
              <w:ind w:left="786"/>
            </w:pPr>
            <w:bookmarkStart w:id="5378" w:name="_Toc225504427"/>
            <w:bookmarkStart w:id="5379" w:name="_Toc225772516"/>
            <w:bookmarkStart w:id="5380" w:name="_Toc233626383"/>
            <w:r w:rsidRPr="21B2FD55">
              <w:t>04001/363-10 Inhumations, dispersion cendres, columbarium</w:t>
            </w:r>
            <w:bookmarkEnd w:id="5378"/>
            <w:bookmarkEnd w:id="5379"/>
            <w:bookmarkEnd w:id="5380"/>
          </w:p>
        </w:tc>
        <w:tc>
          <w:tcPr>
            <w:tcW w:w="1275" w:type="dxa"/>
            <w:tcBorders>
              <w:top w:val="single" w:sz="4" w:space="0" w:color="auto"/>
              <w:left w:val="single" w:sz="4" w:space="0" w:color="auto"/>
              <w:bottom w:val="single" w:sz="4" w:space="0" w:color="auto"/>
              <w:right w:val="single" w:sz="4" w:space="0" w:color="auto"/>
            </w:tcBorders>
          </w:tcPr>
          <w:p w14:paraId="0537C12C"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Taxe indirecte</w:t>
            </w:r>
          </w:p>
        </w:tc>
        <w:tc>
          <w:tcPr>
            <w:tcW w:w="2268" w:type="dxa"/>
            <w:tcBorders>
              <w:top w:val="single" w:sz="4" w:space="0" w:color="auto"/>
              <w:bottom w:val="single" w:sz="4" w:space="0" w:color="auto"/>
            </w:tcBorders>
          </w:tcPr>
          <w:p w14:paraId="3C0C0000" w14:textId="2F27DAF1"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420 €</w:t>
            </w:r>
          </w:p>
        </w:tc>
        <w:tc>
          <w:tcPr>
            <w:tcW w:w="2268" w:type="dxa"/>
            <w:tcBorders>
              <w:top w:val="single" w:sz="4" w:space="0" w:color="auto"/>
              <w:left w:val="single" w:sz="4" w:space="0" w:color="auto"/>
              <w:bottom w:val="single" w:sz="4" w:space="0" w:color="auto"/>
              <w:right w:val="single" w:sz="4" w:space="0" w:color="auto"/>
            </w:tcBorders>
          </w:tcPr>
          <w:p w14:paraId="3644B374" w14:textId="2528E8BF"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524,12 €</w:t>
            </w:r>
          </w:p>
        </w:tc>
        <w:tc>
          <w:tcPr>
            <w:tcW w:w="3261" w:type="dxa"/>
            <w:tcBorders>
              <w:top w:val="single" w:sz="4" w:space="0" w:color="auto"/>
              <w:left w:val="single" w:sz="4" w:space="0" w:color="auto"/>
              <w:bottom w:val="single" w:sz="4" w:space="0" w:color="auto"/>
              <w:right w:val="single" w:sz="4" w:space="0" w:color="auto"/>
            </w:tcBorders>
          </w:tcPr>
          <w:p w14:paraId="6F9FDD0F" w14:textId="5E14E43C" w:rsidR="00B24786" w:rsidRPr="00F768B6" w:rsidRDefault="00B24786" w:rsidP="00AF2BBF">
            <w:pPr>
              <w:tabs>
                <w:tab w:val="left" w:pos="360"/>
                <w:tab w:val="left" w:pos="504"/>
              </w:tabs>
              <w:spacing w:before="120"/>
              <w:jc w:val="center"/>
              <w:textAlignment w:val="baseline"/>
              <w:rPr>
                <w:rFonts w:cstheme="majorHAnsi"/>
              </w:rPr>
            </w:pPr>
            <w:r>
              <w:rPr>
                <w:rFonts w:cstheme="majorHAnsi"/>
              </w:rPr>
              <w:t>Par inhumation, dispersion des cendres, columbarium</w:t>
            </w:r>
          </w:p>
        </w:tc>
      </w:tr>
      <w:tr w:rsidR="00B24786" w:rsidRPr="00F91BDD" w14:paraId="40C543C2" w14:textId="62F07ACA"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16C6F6C6" w14:textId="7FEEBD46" w:rsidR="00B24786" w:rsidRPr="00F768B6" w:rsidRDefault="00B24786" w:rsidP="00AF2BBF">
            <w:pPr>
              <w:pStyle w:val="Titre3"/>
              <w:numPr>
                <w:ilvl w:val="0"/>
                <w:numId w:val="0"/>
              </w:numPr>
              <w:ind w:left="786"/>
            </w:pPr>
            <w:bookmarkStart w:id="5381" w:name="_Toc225504428"/>
            <w:bookmarkStart w:id="5382" w:name="_Toc225772517"/>
            <w:bookmarkStart w:id="5383" w:name="_Toc233626384"/>
            <w:r w:rsidRPr="21B2FD55">
              <w:t>04002/363-10 Utilisation de cercueils en polyester</w:t>
            </w:r>
            <w:bookmarkEnd w:id="5381"/>
            <w:bookmarkEnd w:id="5382"/>
            <w:bookmarkEnd w:id="5383"/>
          </w:p>
        </w:tc>
        <w:tc>
          <w:tcPr>
            <w:tcW w:w="1275" w:type="dxa"/>
            <w:tcBorders>
              <w:top w:val="single" w:sz="4" w:space="0" w:color="auto"/>
              <w:left w:val="single" w:sz="4" w:space="0" w:color="auto"/>
              <w:bottom w:val="single" w:sz="4" w:space="0" w:color="auto"/>
              <w:right w:val="single" w:sz="4" w:space="0" w:color="auto"/>
            </w:tcBorders>
          </w:tcPr>
          <w:p w14:paraId="69F5D109"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Taxe indirecte</w:t>
            </w:r>
          </w:p>
        </w:tc>
        <w:tc>
          <w:tcPr>
            <w:tcW w:w="2268" w:type="dxa"/>
            <w:tcBorders>
              <w:top w:val="single" w:sz="4" w:space="0" w:color="auto"/>
              <w:bottom w:val="single" w:sz="4" w:space="0" w:color="auto"/>
            </w:tcBorders>
          </w:tcPr>
          <w:p w14:paraId="5512E5F6" w14:textId="27071A8E"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250€ par cercueil</w:t>
            </w:r>
          </w:p>
        </w:tc>
        <w:tc>
          <w:tcPr>
            <w:tcW w:w="2268" w:type="dxa"/>
            <w:tcBorders>
              <w:top w:val="single" w:sz="4" w:space="0" w:color="auto"/>
              <w:left w:val="single" w:sz="4" w:space="0" w:color="auto"/>
              <w:bottom w:val="single" w:sz="4" w:space="0" w:color="auto"/>
              <w:right w:val="single" w:sz="4" w:space="0" w:color="auto"/>
            </w:tcBorders>
          </w:tcPr>
          <w:p w14:paraId="235E8DB3" w14:textId="669894D0"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311,97 €</w:t>
            </w:r>
          </w:p>
        </w:tc>
        <w:tc>
          <w:tcPr>
            <w:tcW w:w="3261" w:type="dxa"/>
            <w:tcBorders>
              <w:top w:val="single" w:sz="4" w:space="0" w:color="auto"/>
              <w:left w:val="single" w:sz="4" w:space="0" w:color="auto"/>
              <w:bottom w:val="single" w:sz="4" w:space="0" w:color="auto"/>
              <w:right w:val="single" w:sz="4" w:space="0" w:color="auto"/>
            </w:tcBorders>
          </w:tcPr>
          <w:p w14:paraId="3EA3786A" w14:textId="35C1DE78" w:rsidR="00B24786" w:rsidRPr="00F768B6" w:rsidRDefault="00B24786" w:rsidP="00AF2BBF">
            <w:pPr>
              <w:tabs>
                <w:tab w:val="left" w:pos="360"/>
                <w:tab w:val="left" w:pos="504"/>
              </w:tabs>
              <w:spacing w:before="120"/>
              <w:jc w:val="center"/>
              <w:textAlignment w:val="baseline"/>
              <w:rPr>
                <w:rFonts w:cstheme="majorHAnsi"/>
              </w:rPr>
            </w:pPr>
            <w:r>
              <w:rPr>
                <w:rFonts w:cstheme="majorHAnsi"/>
              </w:rPr>
              <w:t>Par cercueil</w:t>
            </w:r>
          </w:p>
        </w:tc>
      </w:tr>
      <w:tr w:rsidR="00B24786" w:rsidRPr="00F91BDD" w14:paraId="64E2C4E9" w14:textId="204F5CF7"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6AC53347" w14:textId="66F067BF" w:rsidR="00B24786" w:rsidRPr="00F768B6" w:rsidRDefault="00B24786" w:rsidP="00AF2BBF">
            <w:pPr>
              <w:pStyle w:val="Titre3"/>
              <w:numPr>
                <w:ilvl w:val="0"/>
                <w:numId w:val="0"/>
              </w:numPr>
              <w:ind w:left="786"/>
            </w:pPr>
            <w:bookmarkStart w:id="5384" w:name="_Toc225504429"/>
            <w:bookmarkStart w:id="5385" w:name="_Toc225772518"/>
            <w:bookmarkStart w:id="5386" w:name="_Toc233626385"/>
            <w:r w:rsidRPr="21B2FD55">
              <w:t>040/363-11 Exhumation</w:t>
            </w:r>
            <w:bookmarkEnd w:id="5384"/>
            <w:bookmarkEnd w:id="5385"/>
            <w:bookmarkEnd w:id="5386"/>
          </w:p>
        </w:tc>
        <w:tc>
          <w:tcPr>
            <w:tcW w:w="1275" w:type="dxa"/>
            <w:tcBorders>
              <w:top w:val="single" w:sz="4" w:space="0" w:color="auto"/>
              <w:left w:val="single" w:sz="4" w:space="0" w:color="auto"/>
              <w:bottom w:val="single" w:sz="4" w:space="0" w:color="auto"/>
              <w:right w:val="single" w:sz="4" w:space="0" w:color="auto"/>
            </w:tcBorders>
          </w:tcPr>
          <w:p w14:paraId="2A4D27C6"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Redevance</w:t>
            </w:r>
          </w:p>
        </w:tc>
        <w:tc>
          <w:tcPr>
            <w:tcW w:w="2268" w:type="dxa"/>
            <w:tcBorders>
              <w:top w:val="single" w:sz="4" w:space="0" w:color="auto"/>
              <w:bottom w:val="single" w:sz="4" w:space="0" w:color="auto"/>
            </w:tcBorders>
          </w:tcPr>
          <w:p w14:paraId="56928C9B"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Urne cinéraire et effectué par le personnel communal : 550€</w:t>
            </w:r>
          </w:p>
          <w:p w14:paraId="7A4B875C" w14:textId="4F28FA0A"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Frais administratifs si effectué par les pompes funèbres : 350€</w:t>
            </w:r>
          </w:p>
        </w:tc>
        <w:tc>
          <w:tcPr>
            <w:tcW w:w="2268" w:type="dxa"/>
            <w:tcBorders>
              <w:top w:val="single" w:sz="4" w:space="0" w:color="auto"/>
              <w:left w:val="single" w:sz="4" w:space="0" w:color="auto"/>
              <w:bottom w:val="single" w:sz="4" w:space="0" w:color="auto"/>
              <w:right w:val="single" w:sz="4" w:space="0" w:color="auto"/>
            </w:tcBorders>
          </w:tcPr>
          <w:p w14:paraId="02BBCD7A" w14:textId="3271D9AD" w:rsid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686,34€</w:t>
            </w:r>
          </w:p>
          <w:p w14:paraId="4ED5F6E9" w14:textId="7D7E0FFA" w:rsidR="01C1E901" w:rsidRDefault="01C1E901" w:rsidP="00AF2BBF">
            <w:pPr>
              <w:tabs>
                <w:tab w:val="left" w:pos="360"/>
                <w:tab w:val="left" w:pos="504"/>
              </w:tabs>
              <w:spacing w:before="120"/>
              <w:jc w:val="center"/>
              <w:rPr>
                <w:rFonts w:ascii="Cambria" w:eastAsia="Cambria" w:hAnsi="Cambria" w:cs="Cambria"/>
              </w:rPr>
            </w:pPr>
          </w:p>
          <w:p w14:paraId="0D59659D" w14:textId="22248D51"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436,76€</w:t>
            </w:r>
          </w:p>
        </w:tc>
        <w:tc>
          <w:tcPr>
            <w:tcW w:w="3261" w:type="dxa"/>
            <w:tcBorders>
              <w:top w:val="single" w:sz="4" w:space="0" w:color="auto"/>
              <w:left w:val="single" w:sz="4" w:space="0" w:color="auto"/>
              <w:bottom w:val="single" w:sz="4" w:space="0" w:color="auto"/>
              <w:right w:val="single" w:sz="4" w:space="0" w:color="auto"/>
            </w:tcBorders>
          </w:tcPr>
          <w:p w14:paraId="1FAE3D22" w14:textId="179C2723" w:rsidR="00B24786" w:rsidRPr="00F768B6" w:rsidRDefault="00B24786" w:rsidP="00AF2BBF">
            <w:pPr>
              <w:tabs>
                <w:tab w:val="left" w:pos="360"/>
                <w:tab w:val="left" w:pos="504"/>
              </w:tabs>
              <w:spacing w:before="120"/>
              <w:jc w:val="center"/>
              <w:textAlignment w:val="baseline"/>
              <w:rPr>
                <w:rFonts w:cstheme="majorHAnsi"/>
              </w:rPr>
            </w:pPr>
            <w:r>
              <w:rPr>
                <w:rFonts w:cstheme="majorHAnsi"/>
              </w:rPr>
              <w:t>Par exhumation</w:t>
            </w:r>
          </w:p>
        </w:tc>
      </w:tr>
      <w:tr w:rsidR="00B24786" w:rsidRPr="00F91BDD" w14:paraId="1AF64A1C" w14:textId="7A6C0D2D"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6AA9085E" w14:textId="6E0E0B3D" w:rsidR="00B24786" w:rsidRPr="00F768B6" w:rsidRDefault="00B24786" w:rsidP="00AF2BBF">
            <w:pPr>
              <w:pStyle w:val="Titre3"/>
              <w:numPr>
                <w:ilvl w:val="0"/>
                <w:numId w:val="0"/>
              </w:numPr>
              <w:ind w:left="786"/>
            </w:pPr>
            <w:bookmarkStart w:id="5387" w:name="_Toc225504430"/>
            <w:bookmarkStart w:id="5388" w:name="_Toc225772519"/>
            <w:bookmarkStart w:id="5389" w:name="_Toc233626386"/>
            <w:r w:rsidRPr="21B2FD55">
              <w:t>040/363-13 Location de caveaux d’attente</w:t>
            </w:r>
            <w:bookmarkEnd w:id="5387"/>
            <w:bookmarkEnd w:id="5388"/>
            <w:bookmarkEnd w:id="5389"/>
          </w:p>
        </w:tc>
        <w:tc>
          <w:tcPr>
            <w:tcW w:w="1275" w:type="dxa"/>
            <w:tcBorders>
              <w:top w:val="single" w:sz="4" w:space="0" w:color="auto"/>
              <w:left w:val="single" w:sz="4" w:space="0" w:color="auto"/>
              <w:bottom w:val="single" w:sz="4" w:space="0" w:color="auto"/>
              <w:right w:val="single" w:sz="4" w:space="0" w:color="auto"/>
            </w:tcBorders>
          </w:tcPr>
          <w:p w14:paraId="71B2E34D"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Redevance</w:t>
            </w:r>
          </w:p>
        </w:tc>
        <w:tc>
          <w:tcPr>
            <w:tcW w:w="2268" w:type="dxa"/>
            <w:tcBorders>
              <w:top w:val="single" w:sz="4" w:space="0" w:color="auto"/>
              <w:bottom w:val="single" w:sz="4" w:space="0" w:color="auto"/>
            </w:tcBorders>
          </w:tcPr>
          <w:p w14:paraId="6B805465" w14:textId="77777777" w:rsidR="00B24786" w:rsidRPr="00F768B6" w:rsidRDefault="00B24786" w:rsidP="00AF2BBF">
            <w:pPr>
              <w:tabs>
                <w:tab w:val="left" w:pos="360"/>
                <w:tab w:val="left" w:pos="504"/>
              </w:tabs>
              <w:spacing w:before="120"/>
              <w:jc w:val="center"/>
              <w:textAlignment w:val="baseline"/>
              <w:rPr>
                <w:rFonts w:cstheme="majorHAnsi"/>
              </w:rPr>
            </w:pPr>
          </w:p>
        </w:tc>
        <w:tc>
          <w:tcPr>
            <w:tcW w:w="2268" w:type="dxa"/>
            <w:tcBorders>
              <w:top w:val="single" w:sz="4" w:space="0" w:color="auto"/>
              <w:left w:val="single" w:sz="4" w:space="0" w:color="auto"/>
              <w:bottom w:val="single" w:sz="4" w:space="0" w:color="auto"/>
              <w:right w:val="single" w:sz="4" w:space="0" w:color="auto"/>
            </w:tcBorders>
          </w:tcPr>
          <w:p w14:paraId="0269B8BD" w14:textId="6837D4F7"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1E4270A9" w14:textId="02A558EF" w:rsidR="00B24786" w:rsidRPr="00F768B6" w:rsidRDefault="00B24786" w:rsidP="00AF2BBF">
            <w:pPr>
              <w:tabs>
                <w:tab w:val="left" w:pos="360"/>
                <w:tab w:val="left" w:pos="504"/>
              </w:tabs>
              <w:spacing w:before="120"/>
              <w:jc w:val="center"/>
              <w:textAlignment w:val="baseline"/>
              <w:rPr>
                <w:rFonts w:cstheme="majorHAnsi"/>
              </w:rPr>
            </w:pPr>
            <w:r>
              <w:rPr>
                <w:rFonts w:cstheme="majorHAnsi"/>
              </w:rPr>
              <w:t>Par jour d’occupation</w:t>
            </w:r>
          </w:p>
        </w:tc>
      </w:tr>
      <w:tr w:rsidR="00B24786" w:rsidRPr="00F91BDD" w14:paraId="20440AF7" w14:textId="75E8B9DD"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7585C1BA" w14:textId="5D694C38" w:rsidR="00B24786" w:rsidRPr="00F768B6" w:rsidRDefault="00B24786" w:rsidP="00AF2BBF">
            <w:pPr>
              <w:pStyle w:val="Titre3"/>
              <w:numPr>
                <w:ilvl w:val="0"/>
                <w:numId w:val="0"/>
              </w:numPr>
              <w:ind w:left="786"/>
            </w:pPr>
            <w:bookmarkStart w:id="5390" w:name="_Toc225504431"/>
            <w:bookmarkStart w:id="5391" w:name="_Toc225772520"/>
            <w:bookmarkStart w:id="5392" w:name="_Toc233626387"/>
            <w:r w:rsidRPr="21B2FD55">
              <w:t>040/363-14 Séjour à la morgue/dépôt mortuaire</w:t>
            </w:r>
            <w:bookmarkEnd w:id="5390"/>
            <w:bookmarkEnd w:id="5391"/>
            <w:bookmarkEnd w:id="5392"/>
          </w:p>
        </w:tc>
        <w:tc>
          <w:tcPr>
            <w:tcW w:w="1275" w:type="dxa"/>
            <w:tcBorders>
              <w:top w:val="single" w:sz="4" w:space="0" w:color="auto"/>
              <w:left w:val="single" w:sz="4" w:space="0" w:color="auto"/>
              <w:bottom w:val="single" w:sz="4" w:space="0" w:color="auto"/>
              <w:right w:val="single" w:sz="4" w:space="0" w:color="auto"/>
            </w:tcBorders>
          </w:tcPr>
          <w:p w14:paraId="2765E732"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Redevance</w:t>
            </w:r>
          </w:p>
        </w:tc>
        <w:tc>
          <w:tcPr>
            <w:tcW w:w="2268" w:type="dxa"/>
            <w:tcBorders>
              <w:top w:val="single" w:sz="4" w:space="0" w:color="auto"/>
              <w:bottom w:val="single" w:sz="4" w:space="0" w:color="auto"/>
            </w:tcBorders>
          </w:tcPr>
          <w:p w14:paraId="6FB5B97D" w14:textId="77777777" w:rsidR="00B24786" w:rsidRPr="00F768B6" w:rsidRDefault="00B24786" w:rsidP="00AF2BBF">
            <w:pPr>
              <w:tabs>
                <w:tab w:val="left" w:pos="360"/>
                <w:tab w:val="left" w:pos="504"/>
              </w:tabs>
              <w:spacing w:before="120"/>
              <w:jc w:val="center"/>
              <w:textAlignment w:val="baseline"/>
              <w:rPr>
                <w:rFonts w:cstheme="majorHAnsi"/>
              </w:rPr>
            </w:pPr>
          </w:p>
        </w:tc>
        <w:tc>
          <w:tcPr>
            <w:tcW w:w="2268" w:type="dxa"/>
            <w:tcBorders>
              <w:top w:val="single" w:sz="4" w:space="0" w:color="auto"/>
              <w:left w:val="single" w:sz="4" w:space="0" w:color="auto"/>
              <w:bottom w:val="single" w:sz="4" w:space="0" w:color="auto"/>
              <w:right w:val="single" w:sz="4" w:space="0" w:color="auto"/>
            </w:tcBorders>
          </w:tcPr>
          <w:p w14:paraId="444EEA36" w14:textId="40F1FE58"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7C2F5582" w14:textId="77777777" w:rsidR="00B24786" w:rsidRPr="00F768B6" w:rsidRDefault="00B24786" w:rsidP="00AF2BBF">
            <w:pPr>
              <w:tabs>
                <w:tab w:val="left" w:pos="360"/>
                <w:tab w:val="left" w:pos="504"/>
              </w:tabs>
              <w:spacing w:before="120"/>
              <w:jc w:val="center"/>
              <w:textAlignment w:val="baseline"/>
              <w:rPr>
                <w:rFonts w:cstheme="majorHAnsi"/>
              </w:rPr>
            </w:pPr>
          </w:p>
        </w:tc>
      </w:tr>
      <w:tr w:rsidR="00B24786" w:rsidRPr="00F91BDD" w14:paraId="0679CB78" w14:textId="3EF050BE"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6D655C5A" w14:textId="3E7D396D" w:rsidR="00B24786" w:rsidRPr="00F768B6" w:rsidRDefault="00B24786" w:rsidP="00AF2BBF">
            <w:pPr>
              <w:pStyle w:val="Titre3"/>
              <w:numPr>
                <w:ilvl w:val="0"/>
                <w:numId w:val="0"/>
              </w:numPr>
              <w:ind w:left="786"/>
            </w:pPr>
            <w:bookmarkStart w:id="5393" w:name="_Toc225504432"/>
            <w:bookmarkStart w:id="5394" w:name="_Toc225772521"/>
            <w:bookmarkStart w:id="5395" w:name="_Toc233626388"/>
            <w:r w:rsidRPr="21B2FD55">
              <w:t>040/363-15 Concessions dans les cimetières</w:t>
            </w:r>
            <w:bookmarkEnd w:id="5393"/>
            <w:bookmarkEnd w:id="5394"/>
            <w:bookmarkEnd w:id="5395"/>
          </w:p>
        </w:tc>
        <w:tc>
          <w:tcPr>
            <w:tcW w:w="1275" w:type="dxa"/>
            <w:tcBorders>
              <w:top w:val="single" w:sz="4" w:space="0" w:color="auto"/>
              <w:left w:val="single" w:sz="4" w:space="0" w:color="auto"/>
              <w:bottom w:val="single" w:sz="4" w:space="0" w:color="auto"/>
              <w:right w:val="single" w:sz="4" w:space="0" w:color="auto"/>
            </w:tcBorders>
          </w:tcPr>
          <w:p w14:paraId="6494D27E"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Redevance</w:t>
            </w:r>
          </w:p>
        </w:tc>
        <w:tc>
          <w:tcPr>
            <w:tcW w:w="2268" w:type="dxa"/>
            <w:tcBorders>
              <w:top w:val="single" w:sz="4" w:space="0" w:color="auto"/>
              <w:bottom w:val="single" w:sz="4" w:space="0" w:color="auto"/>
            </w:tcBorders>
          </w:tcPr>
          <w:p w14:paraId="118B2A8B" w14:textId="720D226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Tarif au m²</w:t>
            </w:r>
          </w:p>
        </w:tc>
        <w:tc>
          <w:tcPr>
            <w:tcW w:w="2268" w:type="dxa"/>
            <w:tcBorders>
              <w:top w:val="single" w:sz="4" w:space="0" w:color="auto"/>
              <w:left w:val="single" w:sz="4" w:space="0" w:color="auto"/>
              <w:bottom w:val="single" w:sz="4" w:space="0" w:color="auto"/>
              <w:right w:val="single" w:sz="4" w:space="0" w:color="auto"/>
            </w:tcBorders>
          </w:tcPr>
          <w:p w14:paraId="65BDF7A5" w14:textId="1EB73E0D"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24564DE2" w14:textId="3EC6E079" w:rsidR="00B24786" w:rsidRPr="00F768B6" w:rsidRDefault="00B24786" w:rsidP="00AF2BBF">
            <w:pPr>
              <w:tabs>
                <w:tab w:val="left" w:pos="360"/>
                <w:tab w:val="left" w:pos="504"/>
              </w:tabs>
              <w:spacing w:before="120"/>
              <w:jc w:val="center"/>
              <w:textAlignment w:val="baseline"/>
              <w:rPr>
                <w:rFonts w:cstheme="majorBidi"/>
              </w:rPr>
            </w:pPr>
            <w:r w:rsidRPr="1C6C0DED">
              <w:rPr>
                <w:rFonts w:cstheme="majorBidi"/>
              </w:rPr>
              <w:t xml:space="preserve">Par </w:t>
            </w:r>
            <w:r w:rsidR="24A51677" w:rsidRPr="1C6C0DED">
              <w:rPr>
                <w:rFonts w:cstheme="majorBidi"/>
              </w:rPr>
              <w:t>m</w:t>
            </w:r>
            <w:r w:rsidRPr="1C6C0DED">
              <w:rPr>
                <w:rFonts w:cstheme="majorBidi"/>
              </w:rPr>
              <w:t>2 et pour une durée de 10 à 30 ans</w:t>
            </w:r>
          </w:p>
        </w:tc>
      </w:tr>
      <w:tr w:rsidR="00B24786" w:rsidRPr="00F91BDD" w14:paraId="31AEA744" w14:textId="1DF6AE2C"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097F7125" w14:textId="58826211" w:rsidR="00B24786" w:rsidRPr="00F768B6" w:rsidRDefault="00B24786" w:rsidP="00AF2BBF">
            <w:pPr>
              <w:pStyle w:val="Titre3"/>
              <w:numPr>
                <w:ilvl w:val="0"/>
                <w:numId w:val="0"/>
              </w:numPr>
              <w:ind w:left="786"/>
            </w:pPr>
            <w:bookmarkStart w:id="5396" w:name="_Toc225504433"/>
            <w:bookmarkStart w:id="5397" w:name="_Toc225772522"/>
            <w:bookmarkStart w:id="5398" w:name="_Toc233626389"/>
            <w:r w:rsidRPr="21B2FD55">
              <w:t>040/363-48 Prestations diverses d’hygiène publique</w:t>
            </w:r>
            <w:bookmarkEnd w:id="5396"/>
            <w:bookmarkEnd w:id="5397"/>
            <w:bookmarkEnd w:id="5398"/>
          </w:p>
        </w:tc>
        <w:tc>
          <w:tcPr>
            <w:tcW w:w="1275" w:type="dxa"/>
            <w:tcBorders>
              <w:top w:val="single" w:sz="4" w:space="0" w:color="auto"/>
              <w:left w:val="single" w:sz="4" w:space="0" w:color="auto"/>
              <w:bottom w:val="single" w:sz="4" w:space="0" w:color="auto"/>
              <w:right w:val="single" w:sz="4" w:space="0" w:color="auto"/>
            </w:tcBorders>
          </w:tcPr>
          <w:p w14:paraId="792454E8"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Taxe ou redevance</w:t>
            </w:r>
          </w:p>
        </w:tc>
        <w:tc>
          <w:tcPr>
            <w:tcW w:w="2268" w:type="dxa"/>
            <w:tcBorders>
              <w:top w:val="single" w:sz="4" w:space="0" w:color="auto"/>
              <w:bottom w:val="single" w:sz="4" w:space="0" w:color="auto"/>
            </w:tcBorders>
          </w:tcPr>
          <w:p w14:paraId="493D57D0" w14:textId="77777777" w:rsidR="00B24786" w:rsidRPr="00F768B6" w:rsidRDefault="00B24786" w:rsidP="00AF2BBF">
            <w:pPr>
              <w:tabs>
                <w:tab w:val="left" w:pos="360"/>
                <w:tab w:val="left" w:pos="504"/>
              </w:tabs>
              <w:spacing w:before="120"/>
              <w:jc w:val="center"/>
              <w:textAlignment w:val="baseline"/>
              <w:rPr>
                <w:rFonts w:cstheme="majorHAnsi"/>
              </w:rPr>
            </w:pPr>
          </w:p>
        </w:tc>
        <w:tc>
          <w:tcPr>
            <w:tcW w:w="2268" w:type="dxa"/>
            <w:tcBorders>
              <w:top w:val="single" w:sz="4" w:space="0" w:color="auto"/>
              <w:left w:val="single" w:sz="4" w:space="0" w:color="auto"/>
              <w:bottom w:val="single" w:sz="4" w:space="0" w:color="auto"/>
              <w:right w:val="single" w:sz="4" w:space="0" w:color="auto"/>
            </w:tcBorders>
          </w:tcPr>
          <w:p w14:paraId="757FDB05" w14:textId="76D44885"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1B848403" w14:textId="77777777" w:rsidR="00B24786" w:rsidRPr="00F768B6" w:rsidRDefault="00B24786" w:rsidP="00AF2BBF">
            <w:pPr>
              <w:tabs>
                <w:tab w:val="left" w:pos="360"/>
                <w:tab w:val="left" w:pos="504"/>
              </w:tabs>
              <w:spacing w:before="120"/>
              <w:jc w:val="center"/>
              <w:textAlignment w:val="baseline"/>
              <w:rPr>
                <w:rFonts w:cstheme="majorHAnsi"/>
              </w:rPr>
            </w:pPr>
          </w:p>
        </w:tc>
      </w:tr>
      <w:tr w:rsidR="00B24786" w:rsidRPr="00F91BDD" w14:paraId="6C37498B" w14:textId="45C91924"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1453B59F" w14:textId="3FB70F25" w:rsidR="00B24786" w:rsidRPr="00F768B6" w:rsidRDefault="00B24786" w:rsidP="00AF2BBF">
            <w:pPr>
              <w:pStyle w:val="Titre3"/>
              <w:numPr>
                <w:ilvl w:val="0"/>
                <w:numId w:val="0"/>
              </w:numPr>
              <w:ind w:left="786"/>
            </w:pPr>
            <w:bookmarkStart w:id="5399" w:name="_Toc225504434"/>
            <w:bookmarkStart w:id="5400" w:name="_Toc225772523"/>
            <w:bookmarkStart w:id="5401" w:name="_Toc233626390"/>
            <w:r w:rsidRPr="21B2FD55">
              <w:t>04001/363-48 Propreté des trottoirs (désherbage)</w:t>
            </w:r>
            <w:bookmarkEnd w:id="5399"/>
            <w:bookmarkEnd w:id="5400"/>
            <w:bookmarkEnd w:id="5401"/>
          </w:p>
        </w:tc>
        <w:tc>
          <w:tcPr>
            <w:tcW w:w="1275" w:type="dxa"/>
            <w:tcBorders>
              <w:top w:val="single" w:sz="4" w:space="0" w:color="auto"/>
              <w:left w:val="single" w:sz="4" w:space="0" w:color="auto"/>
              <w:bottom w:val="single" w:sz="4" w:space="0" w:color="auto"/>
              <w:right w:val="single" w:sz="4" w:space="0" w:color="auto"/>
            </w:tcBorders>
          </w:tcPr>
          <w:p w14:paraId="6A6B4709" w14:textId="77777777"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Redevance</w:t>
            </w:r>
          </w:p>
        </w:tc>
        <w:tc>
          <w:tcPr>
            <w:tcW w:w="2268" w:type="dxa"/>
            <w:tcBorders>
              <w:top w:val="single" w:sz="4" w:space="0" w:color="auto"/>
              <w:bottom w:val="single" w:sz="4" w:space="0" w:color="auto"/>
            </w:tcBorders>
          </w:tcPr>
          <w:p w14:paraId="35594B4F" w14:textId="7CEDC246" w:rsidR="00B24786" w:rsidRPr="00F768B6" w:rsidRDefault="00B24786" w:rsidP="00AF2BBF">
            <w:pPr>
              <w:tabs>
                <w:tab w:val="left" w:pos="360"/>
                <w:tab w:val="left" w:pos="504"/>
              </w:tabs>
              <w:spacing w:before="120"/>
              <w:jc w:val="center"/>
              <w:textAlignment w:val="baseline"/>
              <w:rPr>
                <w:rFonts w:cstheme="majorHAnsi"/>
              </w:rPr>
            </w:pPr>
            <w:r w:rsidRPr="00F768B6">
              <w:rPr>
                <w:rFonts w:cstheme="majorHAnsi"/>
              </w:rPr>
              <w:t>Forfait jusqu’à 30 €/m² ou coût réel</w:t>
            </w:r>
          </w:p>
        </w:tc>
        <w:tc>
          <w:tcPr>
            <w:tcW w:w="2268" w:type="dxa"/>
            <w:tcBorders>
              <w:top w:val="single" w:sz="4" w:space="0" w:color="auto"/>
              <w:left w:val="single" w:sz="4" w:space="0" w:color="auto"/>
              <w:bottom w:val="single" w:sz="4" w:space="0" w:color="auto"/>
              <w:right w:val="single" w:sz="4" w:space="0" w:color="auto"/>
            </w:tcBorders>
          </w:tcPr>
          <w:p w14:paraId="5744DB98" w14:textId="16626E4A"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37,44€/m² ou coût réel</w:t>
            </w:r>
          </w:p>
        </w:tc>
        <w:tc>
          <w:tcPr>
            <w:tcW w:w="3261" w:type="dxa"/>
            <w:tcBorders>
              <w:top w:val="single" w:sz="4" w:space="0" w:color="auto"/>
              <w:left w:val="single" w:sz="4" w:space="0" w:color="auto"/>
              <w:bottom w:val="single" w:sz="4" w:space="0" w:color="auto"/>
              <w:right w:val="single" w:sz="4" w:space="0" w:color="auto"/>
            </w:tcBorders>
          </w:tcPr>
          <w:p w14:paraId="4ED660CE" w14:textId="606E1DA8" w:rsidR="00B24786" w:rsidRPr="00F768B6" w:rsidRDefault="00B24786" w:rsidP="00AF2BBF">
            <w:pPr>
              <w:tabs>
                <w:tab w:val="left" w:pos="360"/>
                <w:tab w:val="left" w:pos="504"/>
              </w:tabs>
              <w:spacing w:before="120"/>
              <w:jc w:val="center"/>
              <w:textAlignment w:val="baseline"/>
              <w:rPr>
                <w:rFonts w:cstheme="majorBidi"/>
              </w:rPr>
            </w:pPr>
            <w:r w:rsidRPr="1C6C0DED">
              <w:rPr>
                <w:rFonts w:cstheme="majorBidi"/>
              </w:rPr>
              <w:t xml:space="preserve">Par </w:t>
            </w:r>
            <w:r w:rsidR="040C4ABD" w:rsidRPr="1C6C0DED">
              <w:rPr>
                <w:rFonts w:cstheme="majorBidi"/>
              </w:rPr>
              <w:t>m</w:t>
            </w:r>
            <w:r w:rsidRPr="1C6C0DED">
              <w:rPr>
                <w:rFonts w:cstheme="majorBidi"/>
              </w:rPr>
              <w:t>2</w:t>
            </w:r>
          </w:p>
        </w:tc>
      </w:tr>
      <w:tr w:rsidR="00B24786" w:rsidRPr="00F91BDD" w14:paraId="7DA7E238" w14:textId="114C99CD"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00D5D99" w14:textId="26E672BA" w:rsidR="00B24786" w:rsidRPr="00F768B6" w:rsidRDefault="00B24786" w:rsidP="00AF2BBF">
            <w:pPr>
              <w:pStyle w:val="Titre3"/>
              <w:jc w:val="center"/>
            </w:pPr>
            <w:bookmarkStart w:id="5402" w:name="_Toc225504435"/>
            <w:bookmarkStart w:id="5403" w:name="_Toc225772524"/>
            <w:bookmarkStart w:id="5404" w:name="_Toc233626391"/>
            <w:r w:rsidRPr="21B2FD55">
              <w:lastRenderedPageBreak/>
              <w:t>040/364 Taxes sur les entreprises industrielles, commerciales et agricoles</w:t>
            </w:r>
            <w:bookmarkEnd w:id="5402"/>
            <w:bookmarkEnd w:id="5403"/>
            <w:bookmarkEnd w:id="5404"/>
          </w:p>
          <w:p w14:paraId="3BCC730D" w14:textId="77777777" w:rsidR="00B24786" w:rsidRPr="00F768B6" w:rsidRDefault="00B24786" w:rsidP="00AF2BBF">
            <w:pPr>
              <w:jc w:val="center"/>
              <w:rPr>
                <w:rFonts w:cstheme="majorHAnsi"/>
              </w:rPr>
            </w:pPr>
          </w:p>
        </w:tc>
        <w:tc>
          <w:tcPr>
            <w:tcW w:w="1275" w:type="dxa"/>
            <w:tcBorders>
              <w:top w:val="single" w:sz="4" w:space="0" w:color="auto"/>
              <w:left w:val="single" w:sz="4" w:space="0" w:color="auto"/>
              <w:bottom w:val="single" w:sz="4" w:space="0" w:color="auto"/>
              <w:right w:val="single" w:sz="4" w:space="0" w:color="auto"/>
            </w:tcBorders>
          </w:tcPr>
          <w:p w14:paraId="2D66839A" w14:textId="77777777" w:rsidR="00B24786" w:rsidRPr="00F768B6" w:rsidRDefault="00B24786" w:rsidP="00AF2BBF">
            <w:pPr>
              <w:tabs>
                <w:tab w:val="left" w:pos="360"/>
                <w:tab w:val="left" w:pos="504"/>
              </w:tabs>
              <w:spacing w:before="120"/>
              <w:jc w:val="center"/>
              <w:textAlignment w:val="baseline"/>
              <w:rPr>
                <w:rFonts w:cstheme="majorHAnsi"/>
              </w:rPr>
            </w:pPr>
          </w:p>
        </w:tc>
        <w:tc>
          <w:tcPr>
            <w:tcW w:w="2268" w:type="dxa"/>
            <w:tcBorders>
              <w:top w:val="single" w:sz="4" w:space="0" w:color="auto"/>
              <w:bottom w:val="single" w:sz="4" w:space="0" w:color="auto"/>
            </w:tcBorders>
          </w:tcPr>
          <w:p w14:paraId="5EAF1597" w14:textId="77777777" w:rsidR="00B24786" w:rsidRPr="00F768B6" w:rsidRDefault="00B24786" w:rsidP="00AF2BBF">
            <w:pPr>
              <w:tabs>
                <w:tab w:val="left" w:pos="360"/>
                <w:tab w:val="left" w:pos="504"/>
              </w:tabs>
              <w:spacing w:before="120"/>
              <w:jc w:val="center"/>
              <w:textAlignment w:val="baseline"/>
              <w:rPr>
                <w:rFonts w:cstheme="majorHAnsi"/>
              </w:rPr>
            </w:pPr>
          </w:p>
        </w:tc>
        <w:tc>
          <w:tcPr>
            <w:tcW w:w="2268" w:type="dxa"/>
            <w:tcBorders>
              <w:top w:val="single" w:sz="4" w:space="0" w:color="auto"/>
              <w:left w:val="single" w:sz="4" w:space="0" w:color="auto"/>
              <w:bottom w:val="single" w:sz="4" w:space="0" w:color="auto"/>
              <w:right w:val="single" w:sz="4" w:space="0" w:color="auto"/>
            </w:tcBorders>
          </w:tcPr>
          <w:p w14:paraId="384AAEA5" w14:textId="48EF0150"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42B51494" w14:textId="77777777" w:rsidR="00B24786" w:rsidRPr="00F768B6" w:rsidRDefault="00B24786" w:rsidP="00AF2BBF">
            <w:pPr>
              <w:tabs>
                <w:tab w:val="left" w:pos="360"/>
                <w:tab w:val="left" w:pos="504"/>
              </w:tabs>
              <w:spacing w:before="120"/>
              <w:jc w:val="center"/>
              <w:textAlignment w:val="baseline"/>
              <w:rPr>
                <w:rFonts w:cstheme="majorHAnsi"/>
              </w:rPr>
            </w:pPr>
          </w:p>
        </w:tc>
      </w:tr>
      <w:tr w:rsidR="00B24786" w:rsidRPr="00F91BDD" w14:paraId="066C7F89" w14:textId="37E35A11"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C9E85AA" w14:textId="23FD54F2" w:rsidR="00B24786" w:rsidRPr="00F768B6" w:rsidRDefault="00B24786" w:rsidP="00474E8C">
            <w:pPr>
              <w:pStyle w:val="Titre3"/>
              <w:numPr>
                <w:ilvl w:val="0"/>
                <w:numId w:val="0"/>
              </w:numPr>
              <w:ind w:left="786"/>
            </w:pPr>
            <w:bookmarkStart w:id="5405" w:name="_Toc225504436"/>
            <w:bookmarkStart w:id="5406" w:name="_Toc225772525"/>
            <w:bookmarkStart w:id="5407" w:name="_Toc233626392"/>
            <w:r w:rsidRPr="21B2FD55">
              <w:t>040/364-02 Établissement occupant du personnel de bar</w:t>
            </w:r>
            <w:bookmarkEnd w:id="5405"/>
            <w:bookmarkEnd w:id="5406"/>
            <w:bookmarkEnd w:id="5407"/>
          </w:p>
        </w:tc>
        <w:tc>
          <w:tcPr>
            <w:tcW w:w="1275" w:type="dxa"/>
            <w:tcBorders>
              <w:top w:val="single" w:sz="4" w:space="0" w:color="auto"/>
              <w:left w:val="single" w:sz="4" w:space="0" w:color="auto"/>
              <w:bottom w:val="single" w:sz="4" w:space="0" w:color="auto"/>
              <w:right w:val="single" w:sz="4" w:space="0" w:color="auto"/>
            </w:tcBorders>
          </w:tcPr>
          <w:p w14:paraId="587AA665"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053572C1" w14:textId="4842F72F"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21.000 €/établissement</w:t>
            </w:r>
          </w:p>
        </w:tc>
        <w:tc>
          <w:tcPr>
            <w:tcW w:w="2268" w:type="dxa"/>
            <w:tcBorders>
              <w:top w:val="single" w:sz="4" w:space="0" w:color="auto"/>
              <w:left w:val="single" w:sz="4" w:space="0" w:color="auto"/>
              <w:bottom w:val="single" w:sz="4" w:space="0" w:color="auto"/>
              <w:right w:val="single" w:sz="4" w:space="0" w:color="auto"/>
            </w:tcBorders>
          </w:tcPr>
          <w:p w14:paraId="2A608D12" w14:textId="06CE690E"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26.205,9 €/établissement</w:t>
            </w:r>
          </w:p>
        </w:tc>
        <w:tc>
          <w:tcPr>
            <w:tcW w:w="3261" w:type="dxa"/>
            <w:tcBorders>
              <w:top w:val="single" w:sz="4" w:space="0" w:color="auto"/>
              <w:left w:val="single" w:sz="4" w:space="0" w:color="auto"/>
              <w:bottom w:val="single" w:sz="4" w:space="0" w:color="auto"/>
              <w:right w:val="single" w:sz="4" w:space="0" w:color="auto"/>
            </w:tcBorders>
          </w:tcPr>
          <w:p w14:paraId="28031206" w14:textId="3EE0FA70" w:rsidR="00B24786" w:rsidRPr="00F768B6" w:rsidRDefault="00B24786" w:rsidP="00AF2BBF">
            <w:pPr>
              <w:tabs>
                <w:tab w:val="left" w:pos="360"/>
                <w:tab w:val="left" w:pos="504"/>
              </w:tabs>
              <w:spacing w:before="120"/>
              <w:jc w:val="center"/>
              <w:textAlignment w:val="baseline"/>
              <w:rPr>
                <w:rFonts w:cstheme="majorHAnsi"/>
                <w:iCs/>
              </w:rPr>
            </w:pPr>
            <w:r>
              <w:rPr>
                <w:rFonts w:cstheme="majorHAnsi"/>
                <w:iCs/>
              </w:rPr>
              <w:t>Par établissement et par an</w:t>
            </w:r>
          </w:p>
        </w:tc>
      </w:tr>
      <w:tr w:rsidR="00B24786" w:rsidRPr="00F91BDD" w14:paraId="65FB0611" w14:textId="18D72D79"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0B654F6A" w14:textId="4822A37A" w:rsidR="00B24786" w:rsidRPr="00F768B6" w:rsidRDefault="00B24786" w:rsidP="00474E8C">
            <w:pPr>
              <w:pStyle w:val="Titre3"/>
              <w:numPr>
                <w:ilvl w:val="0"/>
                <w:numId w:val="0"/>
              </w:numPr>
              <w:ind w:left="786"/>
            </w:pPr>
            <w:bookmarkStart w:id="5408" w:name="_Toc225504437"/>
            <w:bookmarkStart w:id="5409" w:name="_Toc225772526"/>
            <w:bookmarkStart w:id="5410" w:name="_Toc233626393"/>
            <w:r w:rsidRPr="21B2FD55">
              <w:t>040/364-03 Force motrice</w:t>
            </w:r>
            <w:bookmarkEnd w:id="5408"/>
            <w:bookmarkEnd w:id="5409"/>
            <w:bookmarkEnd w:id="5410"/>
          </w:p>
        </w:tc>
        <w:tc>
          <w:tcPr>
            <w:tcW w:w="1275" w:type="dxa"/>
            <w:tcBorders>
              <w:top w:val="single" w:sz="4" w:space="0" w:color="auto"/>
              <w:left w:val="single" w:sz="4" w:space="0" w:color="auto"/>
              <w:bottom w:val="single" w:sz="4" w:space="0" w:color="auto"/>
              <w:right w:val="single" w:sz="4" w:space="0" w:color="auto"/>
            </w:tcBorders>
          </w:tcPr>
          <w:p w14:paraId="48A4422A"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42DFA1CD" w14:textId="4C119460"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20,00 €/kW</w:t>
            </w:r>
          </w:p>
        </w:tc>
        <w:tc>
          <w:tcPr>
            <w:tcW w:w="2268" w:type="dxa"/>
            <w:tcBorders>
              <w:top w:val="single" w:sz="4" w:space="0" w:color="auto"/>
              <w:left w:val="single" w:sz="4" w:space="0" w:color="auto"/>
              <w:bottom w:val="single" w:sz="4" w:space="0" w:color="auto"/>
              <w:right w:val="single" w:sz="4" w:space="0" w:color="auto"/>
            </w:tcBorders>
          </w:tcPr>
          <w:p w14:paraId="742414E5" w14:textId="272CA0E8"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24,96 €/kW</w:t>
            </w:r>
          </w:p>
        </w:tc>
        <w:tc>
          <w:tcPr>
            <w:tcW w:w="3261" w:type="dxa"/>
            <w:tcBorders>
              <w:top w:val="single" w:sz="4" w:space="0" w:color="auto"/>
              <w:left w:val="single" w:sz="4" w:space="0" w:color="auto"/>
              <w:bottom w:val="single" w:sz="4" w:space="0" w:color="auto"/>
              <w:right w:val="single" w:sz="4" w:space="0" w:color="auto"/>
            </w:tcBorders>
          </w:tcPr>
          <w:p w14:paraId="11F844C4" w14:textId="052C9D06" w:rsidR="00B24786" w:rsidRPr="00F768B6" w:rsidRDefault="00B24786" w:rsidP="00AF2BBF">
            <w:pPr>
              <w:tabs>
                <w:tab w:val="left" w:pos="360"/>
                <w:tab w:val="left" w:pos="504"/>
              </w:tabs>
              <w:spacing w:before="120"/>
              <w:jc w:val="center"/>
              <w:textAlignment w:val="baseline"/>
              <w:rPr>
                <w:rFonts w:cstheme="majorHAnsi"/>
                <w:iCs/>
              </w:rPr>
            </w:pPr>
            <w:r>
              <w:rPr>
                <w:rFonts w:cstheme="majorHAnsi"/>
                <w:iCs/>
              </w:rPr>
              <w:t>Par KW et par an</w:t>
            </w:r>
          </w:p>
        </w:tc>
      </w:tr>
      <w:tr w:rsidR="00B24786" w:rsidRPr="00F91BDD" w14:paraId="75879B4E" w14:textId="7C72C374"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6A24B9DA" w14:textId="3CBC19BE" w:rsidR="00B24786" w:rsidRPr="00F768B6" w:rsidRDefault="00B24786" w:rsidP="00474E8C">
            <w:pPr>
              <w:pStyle w:val="Titre3"/>
              <w:numPr>
                <w:ilvl w:val="0"/>
                <w:numId w:val="0"/>
              </w:numPr>
              <w:ind w:left="786"/>
            </w:pPr>
            <w:bookmarkStart w:id="5411" w:name="_Toc225504438"/>
            <w:bookmarkStart w:id="5412" w:name="_Toc225772527"/>
            <w:bookmarkStart w:id="5413" w:name="_Toc233626394"/>
            <w:r w:rsidRPr="21B2FD55">
              <w:t>040/364-04 Tanks et réservoirs</w:t>
            </w:r>
            <w:bookmarkEnd w:id="5411"/>
            <w:bookmarkEnd w:id="5412"/>
            <w:bookmarkEnd w:id="5413"/>
          </w:p>
        </w:tc>
        <w:tc>
          <w:tcPr>
            <w:tcW w:w="1275" w:type="dxa"/>
            <w:tcBorders>
              <w:top w:val="single" w:sz="4" w:space="0" w:color="auto"/>
              <w:left w:val="single" w:sz="4" w:space="0" w:color="auto"/>
              <w:bottom w:val="single" w:sz="4" w:space="0" w:color="auto"/>
              <w:right w:val="single" w:sz="4" w:space="0" w:color="auto"/>
            </w:tcBorders>
          </w:tcPr>
          <w:p w14:paraId="1DFACDD1"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2BBAC55B" w14:textId="5975F998"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0,50 €/m³</w:t>
            </w:r>
          </w:p>
        </w:tc>
        <w:tc>
          <w:tcPr>
            <w:tcW w:w="2268" w:type="dxa"/>
            <w:tcBorders>
              <w:top w:val="single" w:sz="4" w:space="0" w:color="auto"/>
              <w:left w:val="single" w:sz="4" w:space="0" w:color="auto"/>
              <w:bottom w:val="single" w:sz="4" w:space="0" w:color="auto"/>
              <w:right w:val="single" w:sz="4" w:space="0" w:color="auto"/>
            </w:tcBorders>
          </w:tcPr>
          <w:p w14:paraId="63A4EB0B" w14:textId="76CA6C86"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0,62 €/m³</w:t>
            </w:r>
          </w:p>
        </w:tc>
        <w:tc>
          <w:tcPr>
            <w:tcW w:w="3261" w:type="dxa"/>
            <w:tcBorders>
              <w:top w:val="single" w:sz="4" w:space="0" w:color="auto"/>
              <w:left w:val="single" w:sz="4" w:space="0" w:color="auto"/>
              <w:bottom w:val="single" w:sz="4" w:space="0" w:color="auto"/>
              <w:right w:val="single" w:sz="4" w:space="0" w:color="auto"/>
            </w:tcBorders>
          </w:tcPr>
          <w:p w14:paraId="59C13871" w14:textId="2E2E4C45" w:rsidR="00B24786" w:rsidRPr="00F768B6" w:rsidRDefault="00B24786" w:rsidP="00AF2BBF">
            <w:pPr>
              <w:tabs>
                <w:tab w:val="left" w:pos="360"/>
                <w:tab w:val="left" w:pos="504"/>
              </w:tabs>
              <w:spacing w:before="120"/>
              <w:jc w:val="center"/>
              <w:textAlignment w:val="baseline"/>
              <w:rPr>
                <w:rFonts w:cstheme="majorHAnsi"/>
                <w:iCs/>
              </w:rPr>
            </w:pPr>
            <w:r>
              <w:rPr>
                <w:rFonts w:cstheme="majorHAnsi"/>
                <w:iCs/>
              </w:rPr>
              <w:t>Par M3 et par an</w:t>
            </w:r>
          </w:p>
        </w:tc>
      </w:tr>
      <w:tr w:rsidR="00B24786" w:rsidRPr="00F91BDD" w14:paraId="2B3210CE" w14:textId="649F3844"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6E5DE875" w14:textId="54CFE84B" w:rsidR="00B24786" w:rsidRPr="00F768B6" w:rsidRDefault="00B24786" w:rsidP="00474E8C">
            <w:pPr>
              <w:pStyle w:val="Titre3"/>
              <w:numPr>
                <w:ilvl w:val="0"/>
                <w:numId w:val="0"/>
              </w:numPr>
              <w:ind w:left="786"/>
            </w:pPr>
            <w:bookmarkStart w:id="5414" w:name="_Toc225504439"/>
            <w:bookmarkStart w:id="5415" w:name="_Toc225772528"/>
            <w:bookmarkStart w:id="5416" w:name="_Toc233626395"/>
            <w:r w:rsidRPr="21B2FD55">
              <w:t>040/364-09 Mines, minières, carrières et terrils</w:t>
            </w:r>
            <w:bookmarkEnd w:id="5414"/>
            <w:bookmarkEnd w:id="5415"/>
            <w:bookmarkEnd w:id="5416"/>
          </w:p>
        </w:tc>
        <w:tc>
          <w:tcPr>
            <w:tcW w:w="1275" w:type="dxa"/>
            <w:tcBorders>
              <w:top w:val="single" w:sz="4" w:space="0" w:color="auto"/>
              <w:left w:val="single" w:sz="4" w:space="0" w:color="auto"/>
              <w:bottom w:val="single" w:sz="4" w:space="0" w:color="auto"/>
              <w:right w:val="single" w:sz="4" w:space="0" w:color="auto"/>
            </w:tcBorders>
          </w:tcPr>
          <w:p w14:paraId="23ABCAB7"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1646427D" w14:textId="1DF52A71"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Taux fondé sur la production annuelle ; répartition recommandée</w:t>
            </w:r>
          </w:p>
        </w:tc>
        <w:tc>
          <w:tcPr>
            <w:tcW w:w="2268" w:type="dxa"/>
            <w:tcBorders>
              <w:top w:val="single" w:sz="4" w:space="0" w:color="auto"/>
              <w:left w:val="single" w:sz="4" w:space="0" w:color="auto"/>
              <w:bottom w:val="single" w:sz="4" w:space="0" w:color="auto"/>
              <w:right w:val="single" w:sz="4" w:space="0" w:color="auto"/>
            </w:tcBorders>
          </w:tcPr>
          <w:p w14:paraId="40B1CF45" w14:textId="14124297"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4B3E7426" w14:textId="77777777" w:rsidR="00B24786" w:rsidRPr="00F768B6" w:rsidRDefault="00B24786" w:rsidP="00AF2BBF">
            <w:pPr>
              <w:tabs>
                <w:tab w:val="left" w:pos="360"/>
                <w:tab w:val="left" w:pos="504"/>
              </w:tabs>
              <w:spacing w:before="120"/>
              <w:jc w:val="center"/>
              <w:textAlignment w:val="baseline"/>
              <w:rPr>
                <w:rFonts w:cstheme="majorHAnsi"/>
                <w:iCs/>
              </w:rPr>
            </w:pPr>
          </w:p>
        </w:tc>
      </w:tr>
      <w:tr w:rsidR="00B24786" w:rsidRPr="00F91BDD" w14:paraId="03C772BA" w14:textId="35FAC1C7"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3ABB883A" w14:textId="1870685E" w:rsidR="00B24786" w:rsidRPr="00F768B6" w:rsidRDefault="00B24786" w:rsidP="00474E8C">
            <w:pPr>
              <w:pStyle w:val="Titre3"/>
              <w:numPr>
                <w:ilvl w:val="0"/>
                <w:numId w:val="0"/>
              </w:numPr>
              <w:ind w:left="786"/>
            </w:pPr>
            <w:bookmarkStart w:id="5417" w:name="_Toc225504440"/>
            <w:bookmarkStart w:id="5418" w:name="_Toc225772529"/>
            <w:bookmarkStart w:id="5419" w:name="_Toc233626396"/>
            <w:r w:rsidRPr="21B2FD55">
              <w:t>040/364-12 Débits de boissons</w:t>
            </w:r>
            <w:bookmarkEnd w:id="5417"/>
            <w:bookmarkEnd w:id="5418"/>
            <w:bookmarkEnd w:id="5419"/>
          </w:p>
        </w:tc>
        <w:tc>
          <w:tcPr>
            <w:tcW w:w="1275" w:type="dxa"/>
            <w:tcBorders>
              <w:top w:val="single" w:sz="4" w:space="0" w:color="auto"/>
              <w:left w:val="single" w:sz="4" w:space="0" w:color="auto"/>
              <w:bottom w:val="single" w:sz="4" w:space="0" w:color="auto"/>
              <w:right w:val="single" w:sz="4" w:space="0" w:color="auto"/>
            </w:tcBorders>
          </w:tcPr>
          <w:p w14:paraId="4765E74C"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3AFC90B0" w14:textId="6169EBF1"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250 €/établissement</w:t>
            </w:r>
          </w:p>
        </w:tc>
        <w:tc>
          <w:tcPr>
            <w:tcW w:w="2268" w:type="dxa"/>
            <w:tcBorders>
              <w:top w:val="single" w:sz="4" w:space="0" w:color="auto"/>
              <w:left w:val="single" w:sz="4" w:space="0" w:color="auto"/>
              <w:bottom w:val="single" w:sz="4" w:space="0" w:color="auto"/>
              <w:right w:val="single" w:sz="4" w:space="0" w:color="auto"/>
            </w:tcBorders>
          </w:tcPr>
          <w:p w14:paraId="7D936D5B" w14:textId="5F61EA3B"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311,97 €/ établissement</w:t>
            </w:r>
          </w:p>
        </w:tc>
        <w:tc>
          <w:tcPr>
            <w:tcW w:w="3261" w:type="dxa"/>
            <w:tcBorders>
              <w:top w:val="single" w:sz="4" w:space="0" w:color="auto"/>
              <w:left w:val="single" w:sz="4" w:space="0" w:color="auto"/>
              <w:bottom w:val="single" w:sz="4" w:space="0" w:color="auto"/>
              <w:right w:val="single" w:sz="4" w:space="0" w:color="auto"/>
            </w:tcBorders>
          </w:tcPr>
          <w:p w14:paraId="6FE8BF50" w14:textId="66D2A00E" w:rsidR="00B24786" w:rsidRPr="00F768B6" w:rsidRDefault="00B24786" w:rsidP="00AF2BBF">
            <w:pPr>
              <w:tabs>
                <w:tab w:val="left" w:pos="360"/>
                <w:tab w:val="left" w:pos="504"/>
              </w:tabs>
              <w:spacing w:before="120"/>
              <w:jc w:val="center"/>
              <w:textAlignment w:val="baseline"/>
              <w:rPr>
                <w:rFonts w:cstheme="majorHAnsi"/>
                <w:iCs/>
              </w:rPr>
            </w:pPr>
            <w:r>
              <w:rPr>
                <w:rFonts w:cstheme="majorHAnsi"/>
                <w:iCs/>
              </w:rPr>
              <w:t>Par établissement et par an</w:t>
            </w:r>
          </w:p>
        </w:tc>
      </w:tr>
      <w:tr w:rsidR="00B24786" w:rsidRPr="00F91BDD" w14:paraId="43DEFE4C" w14:textId="4F005FF7"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1588F7BB" w14:textId="356D4FFB" w:rsidR="00B24786" w:rsidRPr="00F768B6" w:rsidRDefault="00B24786" w:rsidP="00474E8C">
            <w:pPr>
              <w:pStyle w:val="Titre3"/>
              <w:numPr>
                <w:ilvl w:val="0"/>
                <w:numId w:val="0"/>
              </w:numPr>
              <w:ind w:left="786"/>
            </w:pPr>
            <w:bookmarkStart w:id="5420" w:name="_Toc225504441"/>
            <w:bookmarkStart w:id="5421" w:name="_Toc225772530"/>
            <w:bookmarkStart w:id="5422" w:name="_Toc233626397"/>
            <w:r w:rsidRPr="21B2FD55">
              <w:t>040/364-13 Débits de tabac</w:t>
            </w:r>
            <w:bookmarkEnd w:id="5420"/>
            <w:bookmarkEnd w:id="5421"/>
            <w:bookmarkEnd w:id="5422"/>
          </w:p>
        </w:tc>
        <w:tc>
          <w:tcPr>
            <w:tcW w:w="1275" w:type="dxa"/>
            <w:tcBorders>
              <w:top w:val="single" w:sz="4" w:space="0" w:color="auto"/>
              <w:left w:val="single" w:sz="4" w:space="0" w:color="auto"/>
              <w:bottom w:val="single" w:sz="4" w:space="0" w:color="auto"/>
              <w:right w:val="single" w:sz="4" w:space="0" w:color="auto"/>
            </w:tcBorders>
          </w:tcPr>
          <w:p w14:paraId="42947037"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006F3520" w14:textId="378D73EA"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250 €/établissement</w:t>
            </w:r>
          </w:p>
        </w:tc>
        <w:tc>
          <w:tcPr>
            <w:tcW w:w="2268" w:type="dxa"/>
            <w:tcBorders>
              <w:top w:val="single" w:sz="4" w:space="0" w:color="auto"/>
              <w:left w:val="single" w:sz="4" w:space="0" w:color="auto"/>
              <w:bottom w:val="single" w:sz="4" w:space="0" w:color="auto"/>
              <w:right w:val="single" w:sz="4" w:space="0" w:color="auto"/>
            </w:tcBorders>
          </w:tcPr>
          <w:p w14:paraId="701217E3" w14:textId="0ACDC9E5"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311,97 €/ établissement</w:t>
            </w:r>
          </w:p>
        </w:tc>
        <w:tc>
          <w:tcPr>
            <w:tcW w:w="3261" w:type="dxa"/>
            <w:tcBorders>
              <w:top w:val="single" w:sz="4" w:space="0" w:color="auto"/>
              <w:left w:val="single" w:sz="4" w:space="0" w:color="auto"/>
              <w:bottom w:val="single" w:sz="4" w:space="0" w:color="auto"/>
              <w:right w:val="single" w:sz="4" w:space="0" w:color="auto"/>
            </w:tcBorders>
          </w:tcPr>
          <w:p w14:paraId="5C6E62F7" w14:textId="353A1079" w:rsidR="00B24786" w:rsidRPr="00F768B6" w:rsidRDefault="00B24786" w:rsidP="00AF2BBF">
            <w:pPr>
              <w:tabs>
                <w:tab w:val="left" w:pos="360"/>
                <w:tab w:val="left" w:pos="504"/>
              </w:tabs>
              <w:spacing w:before="120"/>
              <w:jc w:val="center"/>
              <w:textAlignment w:val="baseline"/>
              <w:rPr>
                <w:rFonts w:cstheme="majorHAnsi"/>
                <w:iCs/>
              </w:rPr>
            </w:pPr>
            <w:r>
              <w:rPr>
                <w:rFonts w:cstheme="majorHAnsi"/>
                <w:iCs/>
              </w:rPr>
              <w:t>Par établissement et par an</w:t>
            </w:r>
          </w:p>
        </w:tc>
      </w:tr>
      <w:tr w:rsidR="00B24786" w:rsidRPr="00F91BDD" w14:paraId="6AD22DA6" w14:textId="11D78E93"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5CCE7AC1" w14:textId="738C0EA4" w:rsidR="00B24786" w:rsidRPr="00F768B6" w:rsidRDefault="00B24786" w:rsidP="00474E8C">
            <w:pPr>
              <w:pStyle w:val="Titre3"/>
              <w:numPr>
                <w:ilvl w:val="0"/>
                <w:numId w:val="0"/>
              </w:numPr>
              <w:ind w:left="786"/>
            </w:pPr>
            <w:bookmarkStart w:id="5423" w:name="_Toc225504442"/>
            <w:bookmarkStart w:id="5424" w:name="_Toc225772531"/>
            <w:bookmarkStart w:id="5425" w:name="_Toc233626398"/>
            <w:r w:rsidRPr="21B2FD55">
              <w:t>040/364-16 Agences de paris chevaux</w:t>
            </w:r>
            <w:bookmarkEnd w:id="5423"/>
            <w:bookmarkEnd w:id="5424"/>
            <w:bookmarkEnd w:id="5425"/>
          </w:p>
        </w:tc>
        <w:tc>
          <w:tcPr>
            <w:tcW w:w="1275" w:type="dxa"/>
            <w:tcBorders>
              <w:top w:val="single" w:sz="4" w:space="0" w:color="auto"/>
              <w:left w:val="single" w:sz="4" w:space="0" w:color="auto"/>
              <w:bottom w:val="single" w:sz="4" w:space="0" w:color="auto"/>
              <w:right w:val="single" w:sz="4" w:space="0" w:color="auto"/>
            </w:tcBorders>
          </w:tcPr>
          <w:p w14:paraId="78483373"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0635F16F" w14:textId="48A4990C"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62 €/mois – non indexable ; agences art. 66 CTAAIR</w:t>
            </w:r>
          </w:p>
        </w:tc>
        <w:tc>
          <w:tcPr>
            <w:tcW w:w="2268" w:type="dxa"/>
            <w:tcBorders>
              <w:top w:val="single" w:sz="4" w:space="0" w:color="auto"/>
              <w:left w:val="single" w:sz="4" w:space="0" w:color="auto"/>
              <w:bottom w:val="single" w:sz="4" w:space="0" w:color="auto"/>
              <w:right w:val="single" w:sz="4" w:space="0" w:color="auto"/>
            </w:tcBorders>
          </w:tcPr>
          <w:p w14:paraId="0EA73259" w14:textId="44EDDF78"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15856603" w14:textId="79CEC8E6" w:rsidR="00B24786" w:rsidRPr="00F768B6" w:rsidRDefault="00B24786" w:rsidP="00AF2BBF">
            <w:pPr>
              <w:tabs>
                <w:tab w:val="left" w:pos="360"/>
                <w:tab w:val="left" w:pos="504"/>
              </w:tabs>
              <w:spacing w:before="120"/>
              <w:jc w:val="center"/>
              <w:textAlignment w:val="baseline"/>
              <w:rPr>
                <w:rFonts w:cstheme="majorHAnsi"/>
                <w:iCs/>
              </w:rPr>
            </w:pPr>
            <w:r>
              <w:rPr>
                <w:rFonts w:cstheme="majorHAnsi"/>
                <w:iCs/>
              </w:rPr>
              <w:t>Par établissement et par mois</w:t>
            </w:r>
          </w:p>
        </w:tc>
      </w:tr>
      <w:tr w:rsidR="00B24786" w:rsidRPr="00F91BDD" w14:paraId="32FA350A" w14:textId="39A734F1"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1C2E3337" w14:textId="10CEE7AB" w:rsidR="00B24786" w:rsidRPr="00F768B6" w:rsidRDefault="00B24786" w:rsidP="00474E8C">
            <w:pPr>
              <w:pStyle w:val="Titre3"/>
              <w:numPr>
                <w:ilvl w:val="0"/>
                <w:numId w:val="0"/>
              </w:numPr>
              <w:ind w:left="786"/>
            </w:pPr>
            <w:bookmarkStart w:id="5426" w:name="_Toc225504443"/>
            <w:bookmarkStart w:id="5427" w:name="_Toc225772532"/>
            <w:bookmarkStart w:id="5428" w:name="_Toc233626399"/>
            <w:r w:rsidRPr="21B2FD55">
              <w:t>040/364-18 Clubs privés</w:t>
            </w:r>
            <w:bookmarkEnd w:id="5426"/>
            <w:bookmarkEnd w:id="5427"/>
            <w:bookmarkEnd w:id="5428"/>
          </w:p>
        </w:tc>
        <w:tc>
          <w:tcPr>
            <w:tcW w:w="1275" w:type="dxa"/>
            <w:tcBorders>
              <w:top w:val="single" w:sz="4" w:space="0" w:color="auto"/>
              <w:left w:val="single" w:sz="4" w:space="0" w:color="auto"/>
              <w:bottom w:val="single" w:sz="4" w:space="0" w:color="auto"/>
              <w:right w:val="single" w:sz="4" w:space="0" w:color="auto"/>
            </w:tcBorders>
          </w:tcPr>
          <w:p w14:paraId="336F8CD6"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4F31E13E" w14:textId="6D902E4F"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10.000 €/établissement</w:t>
            </w:r>
          </w:p>
        </w:tc>
        <w:tc>
          <w:tcPr>
            <w:tcW w:w="2268" w:type="dxa"/>
            <w:tcBorders>
              <w:top w:val="single" w:sz="4" w:space="0" w:color="auto"/>
              <w:left w:val="single" w:sz="4" w:space="0" w:color="auto"/>
              <w:bottom w:val="single" w:sz="4" w:space="0" w:color="auto"/>
              <w:right w:val="single" w:sz="4" w:space="0" w:color="auto"/>
            </w:tcBorders>
          </w:tcPr>
          <w:p w14:paraId="6DE9FC7D" w14:textId="29E32E5C"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12.479€/établissement</w:t>
            </w:r>
          </w:p>
        </w:tc>
        <w:tc>
          <w:tcPr>
            <w:tcW w:w="3261" w:type="dxa"/>
            <w:tcBorders>
              <w:top w:val="single" w:sz="4" w:space="0" w:color="auto"/>
              <w:left w:val="single" w:sz="4" w:space="0" w:color="auto"/>
              <w:bottom w:val="single" w:sz="4" w:space="0" w:color="auto"/>
              <w:right w:val="single" w:sz="4" w:space="0" w:color="auto"/>
            </w:tcBorders>
          </w:tcPr>
          <w:p w14:paraId="5EA6CFB3" w14:textId="003BC7F5" w:rsidR="00B24786" w:rsidRPr="00F768B6" w:rsidRDefault="00B24786" w:rsidP="00AF2BBF">
            <w:pPr>
              <w:tabs>
                <w:tab w:val="left" w:pos="360"/>
                <w:tab w:val="left" w:pos="504"/>
              </w:tabs>
              <w:spacing w:before="120"/>
              <w:jc w:val="center"/>
              <w:textAlignment w:val="baseline"/>
              <w:rPr>
                <w:rFonts w:cstheme="majorHAnsi"/>
                <w:iCs/>
              </w:rPr>
            </w:pPr>
            <w:r>
              <w:rPr>
                <w:rFonts w:cstheme="majorHAnsi"/>
                <w:iCs/>
              </w:rPr>
              <w:t>Par établissement et par an</w:t>
            </w:r>
          </w:p>
        </w:tc>
      </w:tr>
      <w:tr w:rsidR="00B24786" w:rsidRPr="00F91BDD" w14:paraId="0394B490" w14:textId="407AF12D"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43D18D96" w14:textId="182C1972" w:rsidR="00B24786" w:rsidRPr="00F768B6" w:rsidRDefault="00B24786" w:rsidP="00474E8C">
            <w:pPr>
              <w:pStyle w:val="Titre3"/>
              <w:numPr>
                <w:ilvl w:val="0"/>
                <w:numId w:val="0"/>
              </w:numPr>
              <w:ind w:left="786"/>
            </w:pPr>
            <w:bookmarkStart w:id="5429" w:name="_Toc225504444"/>
            <w:bookmarkStart w:id="5430" w:name="_Toc225772533"/>
            <w:bookmarkStart w:id="5431" w:name="_Toc233626400"/>
            <w:r w:rsidRPr="21B2FD55">
              <w:t>040/364-21 Exploitations de taxis</w:t>
            </w:r>
            <w:bookmarkEnd w:id="5429"/>
            <w:bookmarkEnd w:id="5430"/>
            <w:bookmarkEnd w:id="5431"/>
          </w:p>
        </w:tc>
        <w:tc>
          <w:tcPr>
            <w:tcW w:w="1275" w:type="dxa"/>
            <w:tcBorders>
              <w:top w:val="single" w:sz="4" w:space="0" w:color="auto"/>
              <w:left w:val="single" w:sz="4" w:space="0" w:color="auto"/>
              <w:bottom w:val="single" w:sz="4" w:space="0" w:color="auto"/>
              <w:right w:val="single" w:sz="4" w:space="0" w:color="auto"/>
            </w:tcBorders>
          </w:tcPr>
          <w:p w14:paraId="59317BDF"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4F4D7B71"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500 €/licence/an (décret 28/09/2023 ; AE 16/05/2024)</w:t>
            </w:r>
          </w:p>
          <w:p w14:paraId="6A8589DF"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Redevance plaque (30 € via 361</w:t>
            </w:r>
            <w:r w:rsidRPr="00F768B6">
              <w:rPr>
                <w:rFonts w:cs="Cambria Math"/>
                <w:iCs/>
              </w:rPr>
              <w:t>‑</w:t>
            </w:r>
            <w:r w:rsidRPr="00F768B6">
              <w:rPr>
                <w:rFonts w:cstheme="majorHAnsi"/>
                <w:iCs/>
              </w:rPr>
              <w:t>04)</w:t>
            </w:r>
          </w:p>
          <w:p w14:paraId="1CAD53FC" w14:textId="200718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Certificat de capacité (30 € via 361</w:t>
            </w:r>
            <w:r w:rsidRPr="00F768B6">
              <w:rPr>
                <w:rFonts w:cs="Cambria Math"/>
                <w:iCs/>
              </w:rPr>
              <w:t>‑</w:t>
            </w:r>
            <w:r w:rsidRPr="00F768B6">
              <w:rPr>
                <w:rFonts w:cstheme="majorHAnsi"/>
                <w:iCs/>
              </w:rPr>
              <w:t>04)</w:t>
            </w:r>
          </w:p>
        </w:tc>
        <w:tc>
          <w:tcPr>
            <w:tcW w:w="2268" w:type="dxa"/>
            <w:tcBorders>
              <w:top w:val="single" w:sz="4" w:space="0" w:color="auto"/>
              <w:left w:val="single" w:sz="4" w:space="0" w:color="auto"/>
              <w:bottom w:val="single" w:sz="4" w:space="0" w:color="auto"/>
              <w:right w:val="single" w:sz="4" w:space="0" w:color="auto"/>
            </w:tcBorders>
          </w:tcPr>
          <w:p w14:paraId="28FC185F" w14:textId="3530D90F" w:rsid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623,95€</w:t>
            </w:r>
          </w:p>
          <w:p w14:paraId="755962F2" w14:textId="1B915D3F" w:rsidR="01C1E901" w:rsidRDefault="01C1E901" w:rsidP="00AF2BBF">
            <w:pPr>
              <w:tabs>
                <w:tab w:val="left" w:pos="360"/>
                <w:tab w:val="left" w:pos="504"/>
              </w:tabs>
              <w:spacing w:before="120"/>
              <w:jc w:val="center"/>
              <w:rPr>
                <w:rFonts w:ascii="Cambria" w:eastAsia="Cambria" w:hAnsi="Cambria" w:cs="Cambria"/>
              </w:rPr>
            </w:pPr>
          </w:p>
          <w:p w14:paraId="7906ED00" w14:textId="1138F24C" w:rsid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37,44€</w:t>
            </w:r>
          </w:p>
          <w:p w14:paraId="4D8CD36B" w14:textId="32B2EAD1" w:rsidR="01C1E901" w:rsidRDefault="01C1E901" w:rsidP="00AF2BBF">
            <w:pPr>
              <w:tabs>
                <w:tab w:val="left" w:pos="360"/>
                <w:tab w:val="left" w:pos="504"/>
              </w:tabs>
              <w:spacing w:before="120"/>
              <w:ind w:right="33"/>
              <w:jc w:val="center"/>
              <w:rPr>
                <w:rFonts w:ascii="Cambria" w:eastAsia="Cambria" w:hAnsi="Cambria" w:cs="Cambria"/>
              </w:rPr>
            </w:pPr>
          </w:p>
          <w:p w14:paraId="1F9DF6F3" w14:textId="3779062D"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37,44€</w:t>
            </w:r>
          </w:p>
        </w:tc>
        <w:tc>
          <w:tcPr>
            <w:tcW w:w="3261" w:type="dxa"/>
            <w:tcBorders>
              <w:top w:val="single" w:sz="4" w:space="0" w:color="auto"/>
              <w:left w:val="single" w:sz="4" w:space="0" w:color="auto"/>
              <w:bottom w:val="single" w:sz="4" w:space="0" w:color="auto"/>
              <w:right w:val="single" w:sz="4" w:space="0" w:color="auto"/>
            </w:tcBorders>
          </w:tcPr>
          <w:p w14:paraId="47831B72" w14:textId="3FAB5698" w:rsidR="00B24786" w:rsidRPr="00F768B6" w:rsidRDefault="00B24786" w:rsidP="00AF2BBF">
            <w:pPr>
              <w:tabs>
                <w:tab w:val="left" w:pos="360"/>
                <w:tab w:val="left" w:pos="504"/>
              </w:tabs>
              <w:spacing w:before="120"/>
              <w:jc w:val="center"/>
              <w:textAlignment w:val="baseline"/>
              <w:rPr>
                <w:rFonts w:cstheme="majorHAnsi"/>
                <w:iCs/>
              </w:rPr>
            </w:pPr>
            <w:r>
              <w:rPr>
                <w:rFonts w:cstheme="majorHAnsi"/>
                <w:iCs/>
              </w:rPr>
              <w:t>Par licence et par an</w:t>
            </w:r>
          </w:p>
        </w:tc>
      </w:tr>
      <w:tr w:rsidR="00B24786" w:rsidRPr="00F91BDD" w14:paraId="77F7DAD4" w14:textId="0BC0C4ED"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7ADFAF02" w14:textId="67B809D6" w:rsidR="00B24786" w:rsidRPr="00F768B6" w:rsidRDefault="00B24786" w:rsidP="00474E8C">
            <w:pPr>
              <w:pStyle w:val="Titre3"/>
              <w:numPr>
                <w:ilvl w:val="0"/>
                <w:numId w:val="0"/>
              </w:numPr>
              <w:ind w:left="786"/>
            </w:pPr>
            <w:bookmarkStart w:id="5432" w:name="_Toc225504445"/>
            <w:bookmarkStart w:id="5433" w:name="_Toc225772534"/>
            <w:bookmarkStart w:id="5434" w:name="_Toc233626401"/>
            <w:r w:rsidRPr="21B2FD55">
              <w:lastRenderedPageBreak/>
              <w:t>040/364-22 Enseignes et publicités assimilées</w:t>
            </w:r>
            <w:bookmarkEnd w:id="5432"/>
            <w:bookmarkEnd w:id="5433"/>
            <w:bookmarkEnd w:id="5434"/>
          </w:p>
        </w:tc>
        <w:tc>
          <w:tcPr>
            <w:tcW w:w="1275" w:type="dxa"/>
            <w:tcBorders>
              <w:top w:val="single" w:sz="4" w:space="0" w:color="auto"/>
              <w:left w:val="single" w:sz="4" w:space="0" w:color="auto"/>
              <w:bottom w:val="single" w:sz="4" w:space="0" w:color="auto"/>
              <w:right w:val="single" w:sz="4" w:space="0" w:color="auto"/>
            </w:tcBorders>
          </w:tcPr>
          <w:p w14:paraId="7249D07E"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4B4248A6"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0,30 €/dm²</w:t>
            </w:r>
          </w:p>
          <w:p w14:paraId="48E9E3B8"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Lumineuses 0,60 €/dm²</w:t>
            </w:r>
          </w:p>
          <w:p w14:paraId="6310AAD7" w14:textId="4FD1D466"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Cordons 3,00 €/m</w:t>
            </w:r>
          </w:p>
        </w:tc>
        <w:tc>
          <w:tcPr>
            <w:tcW w:w="2268" w:type="dxa"/>
            <w:tcBorders>
              <w:top w:val="single" w:sz="4" w:space="0" w:color="auto"/>
              <w:left w:val="single" w:sz="4" w:space="0" w:color="auto"/>
              <w:bottom w:val="single" w:sz="4" w:space="0" w:color="auto"/>
              <w:right w:val="single" w:sz="4" w:space="0" w:color="auto"/>
            </w:tcBorders>
          </w:tcPr>
          <w:p w14:paraId="637B8D67" w14:textId="4678D231" w:rsid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0,37 €/dm²</w:t>
            </w:r>
          </w:p>
          <w:p w14:paraId="79A33446" w14:textId="5D666484" w:rsid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0,75/dm²</w:t>
            </w:r>
          </w:p>
          <w:p w14:paraId="4C0BA6A6" w14:textId="3A98D48A"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3,74€/m</w:t>
            </w:r>
          </w:p>
        </w:tc>
        <w:tc>
          <w:tcPr>
            <w:tcW w:w="3261" w:type="dxa"/>
            <w:tcBorders>
              <w:top w:val="single" w:sz="4" w:space="0" w:color="auto"/>
              <w:left w:val="single" w:sz="4" w:space="0" w:color="auto"/>
              <w:bottom w:val="single" w:sz="4" w:space="0" w:color="auto"/>
              <w:right w:val="single" w:sz="4" w:space="0" w:color="auto"/>
            </w:tcBorders>
          </w:tcPr>
          <w:p w14:paraId="219EE800" w14:textId="14E71EDB" w:rsidR="00B24786" w:rsidRDefault="00B24786" w:rsidP="00AF2BBF">
            <w:pPr>
              <w:tabs>
                <w:tab w:val="left" w:pos="360"/>
                <w:tab w:val="left" w:pos="504"/>
              </w:tabs>
              <w:spacing w:before="120"/>
              <w:jc w:val="center"/>
              <w:textAlignment w:val="baseline"/>
              <w:rPr>
                <w:rFonts w:cstheme="majorHAnsi"/>
                <w:iCs/>
              </w:rPr>
            </w:pPr>
            <w:r>
              <w:rPr>
                <w:rFonts w:cstheme="majorHAnsi"/>
                <w:iCs/>
              </w:rPr>
              <w:t>Par dm2 d’enseigne</w:t>
            </w:r>
          </w:p>
          <w:p w14:paraId="7D4F69C6" w14:textId="07F74AE1" w:rsidR="00B24786" w:rsidRPr="00F768B6" w:rsidRDefault="00B24786" w:rsidP="00AF2BBF">
            <w:pPr>
              <w:tabs>
                <w:tab w:val="left" w:pos="360"/>
                <w:tab w:val="left" w:pos="504"/>
              </w:tabs>
              <w:spacing w:before="120"/>
              <w:jc w:val="center"/>
              <w:textAlignment w:val="baseline"/>
              <w:rPr>
                <w:rFonts w:cstheme="majorHAnsi"/>
                <w:iCs/>
              </w:rPr>
            </w:pPr>
            <w:r>
              <w:rPr>
                <w:rFonts w:cstheme="majorHAnsi"/>
                <w:iCs/>
              </w:rPr>
              <w:t>Par an si fixe/ Prorata temporis si mobile</w:t>
            </w:r>
          </w:p>
        </w:tc>
      </w:tr>
      <w:tr w:rsidR="00B24786" w:rsidRPr="00F91BDD" w14:paraId="5B23FFB7" w14:textId="6A99BB2D"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7A92EBD3" w14:textId="21F0E291" w:rsidR="00B24786" w:rsidRPr="00F768B6" w:rsidRDefault="00B24786" w:rsidP="00474E8C">
            <w:pPr>
              <w:pStyle w:val="Titre3"/>
              <w:numPr>
                <w:ilvl w:val="0"/>
                <w:numId w:val="0"/>
              </w:numPr>
              <w:ind w:left="786"/>
            </w:pPr>
            <w:bookmarkStart w:id="5435" w:name="_Toc225504446"/>
            <w:bookmarkStart w:id="5436" w:name="_Toc225772535"/>
            <w:bookmarkStart w:id="5437" w:name="_Toc233626402"/>
            <w:r w:rsidRPr="21B2FD55">
              <w:t>04001/364-22 Enseignes/publicités obsolètes</w:t>
            </w:r>
            <w:bookmarkEnd w:id="5435"/>
            <w:bookmarkEnd w:id="5436"/>
            <w:bookmarkEnd w:id="5437"/>
          </w:p>
        </w:tc>
        <w:tc>
          <w:tcPr>
            <w:tcW w:w="1275" w:type="dxa"/>
            <w:tcBorders>
              <w:top w:val="single" w:sz="4" w:space="0" w:color="auto"/>
              <w:left w:val="single" w:sz="4" w:space="0" w:color="auto"/>
              <w:bottom w:val="single" w:sz="4" w:space="0" w:color="auto"/>
              <w:right w:val="single" w:sz="4" w:space="0" w:color="auto"/>
            </w:tcBorders>
          </w:tcPr>
          <w:p w14:paraId="716E04BF"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3FCE1CA1"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1,75 €/dm²</w:t>
            </w:r>
          </w:p>
          <w:p w14:paraId="17D00F87" w14:textId="612D2294"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min. 250 €/an/enseigne</w:t>
            </w:r>
          </w:p>
        </w:tc>
        <w:tc>
          <w:tcPr>
            <w:tcW w:w="2268" w:type="dxa"/>
            <w:tcBorders>
              <w:top w:val="single" w:sz="4" w:space="0" w:color="auto"/>
              <w:left w:val="single" w:sz="4" w:space="0" w:color="auto"/>
              <w:bottom w:val="single" w:sz="4" w:space="0" w:color="auto"/>
              <w:right w:val="single" w:sz="4" w:space="0" w:color="auto"/>
            </w:tcBorders>
          </w:tcPr>
          <w:p w14:paraId="4F6A89A5" w14:textId="4A7AADFE" w:rsid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2,18 €/dm²</w:t>
            </w:r>
          </w:p>
          <w:p w14:paraId="56F4A84E" w14:textId="247710A2"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min. 311,97 €/an/enseigne</w:t>
            </w:r>
          </w:p>
        </w:tc>
        <w:tc>
          <w:tcPr>
            <w:tcW w:w="3261" w:type="dxa"/>
            <w:tcBorders>
              <w:top w:val="single" w:sz="4" w:space="0" w:color="auto"/>
              <w:left w:val="single" w:sz="4" w:space="0" w:color="auto"/>
              <w:bottom w:val="single" w:sz="4" w:space="0" w:color="auto"/>
              <w:right w:val="single" w:sz="4" w:space="0" w:color="auto"/>
            </w:tcBorders>
          </w:tcPr>
          <w:p w14:paraId="26AE9D11" w14:textId="505C169A" w:rsidR="00B24786" w:rsidRPr="00F768B6" w:rsidRDefault="00B24786" w:rsidP="00AF2BBF">
            <w:pPr>
              <w:tabs>
                <w:tab w:val="left" w:pos="360"/>
                <w:tab w:val="left" w:pos="504"/>
              </w:tabs>
              <w:spacing w:before="120"/>
              <w:jc w:val="center"/>
              <w:textAlignment w:val="baseline"/>
              <w:rPr>
                <w:rFonts w:cstheme="majorHAnsi"/>
                <w:iCs/>
              </w:rPr>
            </w:pPr>
            <w:r>
              <w:rPr>
                <w:rFonts w:cstheme="majorHAnsi"/>
                <w:iCs/>
              </w:rPr>
              <w:t>Par dm2 d’enseigne et par an</w:t>
            </w:r>
          </w:p>
        </w:tc>
      </w:tr>
      <w:tr w:rsidR="00B24786" w:rsidRPr="00F91BDD" w14:paraId="513371A5" w14:textId="13CC6859"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0F15EB1F" w14:textId="5B89C2F9" w:rsidR="00B24786" w:rsidRPr="00F768B6" w:rsidRDefault="00B24786" w:rsidP="00474E8C">
            <w:pPr>
              <w:pStyle w:val="Titre3"/>
              <w:numPr>
                <w:ilvl w:val="0"/>
                <w:numId w:val="0"/>
              </w:numPr>
              <w:ind w:left="786"/>
            </w:pPr>
            <w:bookmarkStart w:id="5438" w:name="_Toc225504447"/>
            <w:bookmarkStart w:id="5439" w:name="_Toc225772536"/>
            <w:bookmarkStart w:id="5440" w:name="_Toc233626403"/>
            <w:r w:rsidRPr="21B2FD55">
              <w:t>040/364-23 Panneaux publicitaires</w:t>
            </w:r>
            <w:bookmarkEnd w:id="5438"/>
            <w:bookmarkEnd w:id="5439"/>
            <w:bookmarkEnd w:id="5440"/>
          </w:p>
        </w:tc>
        <w:tc>
          <w:tcPr>
            <w:tcW w:w="1275" w:type="dxa"/>
            <w:tcBorders>
              <w:top w:val="single" w:sz="4" w:space="0" w:color="auto"/>
              <w:left w:val="single" w:sz="4" w:space="0" w:color="auto"/>
              <w:bottom w:val="single" w:sz="4" w:space="0" w:color="auto"/>
              <w:right w:val="single" w:sz="4" w:space="0" w:color="auto"/>
            </w:tcBorders>
          </w:tcPr>
          <w:p w14:paraId="56E9C8D2"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1B947CA8"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0,85 €/dm²</w:t>
            </w:r>
          </w:p>
          <w:p w14:paraId="2A7EFA4C"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Majoration ×2 (lumineux OU défilement)</w:t>
            </w:r>
          </w:p>
          <w:p w14:paraId="58A613CE" w14:textId="6454F11A"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Majoration ×3 (lumineux ET défilement)</w:t>
            </w:r>
          </w:p>
        </w:tc>
        <w:tc>
          <w:tcPr>
            <w:tcW w:w="2268" w:type="dxa"/>
            <w:tcBorders>
              <w:top w:val="single" w:sz="4" w:space="0" w:color="auto"/>
              <w:left w:val="single" w:sz="4" w:space="0" w:color="auto"/>
              <w:bottom w:val="single" w:sz="4" w:space="0" w:color="auto"/>
              <w:right w:val="single" w:sz="4" w:space="0" w:color="auto"/>
            </w:tcBorders>
          </w:tcPr>
          <w:p w14:paraId="2422D369" w14:textId="47A2FD01"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1,06 €/dm²</w:t>
            </w:r>
          </w:p>
        </w:tc>
        <w:tc>
          <w:tcPr>
            <w:tcW w:w="3261" w:type="dxa"/>
            <w:tcBorders>
              <w:top w:val="single" w:sz="4" w:space="0" w:color="auto"/>
              <w:left w:val="single" w:sz="4" w:space="0" w:color="auto"/>
              <w:bottom w:val="single" w:sz="4" w:space="0" w:color="auto"/>
              <w:right w:val="single" w:sz="4" w:space="0" w:color="auto"/>
            </w:tcBorders>
          </w:tcPr>
          <w:p w14:paraId="77DBE7F6" w14:textId="0197839D" w:rsidR="00B24786" w:rsidRDefault="00B24786" w:rsidP="00AF2BBF">
            <w:pPr>
              <w:tabs>
                <w:tab w:val="left" w:pos="360"/>
                <w:tab w:val="left" w:pos="504"/>
              </w:tabs>
              <w:spacing w:before="120"/>
              <w:jc w:val="center"/>
              <w:textAlignment w:val="baseline"/>
              <w:rPr>
                <w:rFonts w:cstheme="majorHAnsi"/>
                <w:iCs/>
              </w:rPr>
            </w:pPr>
            <w:r>
              <w:rPr>
                <w:rFonts w:cstheme="majorHAnsi"/>
                <w:iCs/>
              </w:rPr>
              <w:t>Par dm2 d’enseigne</w:t>
            </w:r>
          </w:p>
          <w:p w14:paraId="23CBE9A3" w14:textId="4A5EB649" w:rsidR="00B24786" w:rsidRPr="00F768B6" w:rsidRDefault="00B24786" w:rsidP="00AF2BBF">
            <w:pPr>
              <w:tabs>
                <w:tab w:val="left" w:pos="360"/>
                <w:tab w:val="left" w:pos="504"/>
              </w:tabs>
              <w:spacing w:before="120"/>
              <w:jc w:val="center"/>
              <w:textAlignment w:val="baseline"/>
              <w:rPr>
                <w:rFonts w:cstheme="majorHAnsi"/>
                <w:iCs/>
              </w:rPr>
            </w:pPr>
            <w:r>
              <w:rPr>
                <w:rFonts w:cstheme="majorHAnsi"/>
                <w:iCs/>
              </w:rPr>
              <w:t>Par an si fixe/ Prorata temporis si mobile</w:t>
            </w:r>
          </w:p>
        </w:tc>
      </w:tr>
      <w:tr w:rsidR="00B24786" w:rsidRPr="00F91BDD" w14:paraId="7A0AF0E2" w14:textId="60CEDABE"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3D9BACEB" w14:textId="21CFD8CE" w:rsidR="00B24786" w:rsidRPr="00F768B6" w:rsidRDefault="00B24786" w:rsidP="00474E8C">
            <w:pPr>
              <w:pStyle w:val="Titre3"/>
              <w:numPr>
                <w:ilvl w:val="0"/>
                <w:numId w:val="0"/>
              </w:numPr>
              <w:ind w:left="786"/>
            </w:pPr>
            <w:bookmarkStart w:id="5441" w:name="_Toc225504448"/>
            <w:bookmarkStart w:id="5442" w:name="_Toc225772537"/>
            <w:bookmarkStart w:id="5443" w:name="_Toc233626404"/>
            <w:r w:rsidRPr="21B2FD55">
              <w:lastRenderedPageBreak/>
              <w:t>04001/364-24 Distribution gratuite (publicités / PRG)</w:t>
            </w:r>
            <w:bookmarkEnd w:id="5441"/>
            <w:bookmarkEnd w:id="5442"/>
            <w:bookmarkEnd w:id="5443"/>
          </w:p>
        </w:tc>
        <w:tc>
          <w:tcPr>
            <w:tcW w:w="1275" w:type="dxa"/>
            <w:tcBorders>
              <w:top w:val="single" w:sz="4" w:space="0" w:color="auto"/>
              <w:left w:val="single" w:sz="4" w:space="0" w:color="auto"/>
              <w:bottom w:val="single" w:sz="4" w:space="0" w:color="auto"/>
              <w:right w:val="single" w:sz="4" w:space="0" w:color="auto"/>
            </w:tcBorders>
          </w:tcPr>
          <w:p w14:paraId="18459561"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Taxe indirecte</w:t>
            </w:r>
          </w:p>
        </w:tc>
        <w:tc>
          <w:tcPr>
            <w:tcW w:w="2268" w:type="dxa"/>
            <w:tcBorders>
              <w:top w:val="single" w:sz="4" w:space="0" w:color="auto"/>
              <w:bottom w:val="single" w:sz="4" w:space="0" w:color="auto"/>
            </w:tcBorders>
          </w:tcPr>
          <w:p w14:paraId="29B254D4"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Pour les écrits et les échantillons publicitaires :</w:t>
            </w:r>
          </w:p>
          <w:p w14:paraId="396D0F73" w14:textId="77777777" w:rsidR="00B24786" w:rsidRPr="00F768B6" w:rsidRDefault="00B24786">
            <w:pPr>
              <w:pStyle w:val="Paragraphedeliste"/>
              <w:numPr>
                <w:ilvl w:val="0"/>
                <w:numId w:val="9"/>
              </w:numPr>
              <w:tabs>
                <w:tab w:val="left" w:pos="360"/>
                <w:tab w:val="left" w:pos="504"/>
              </w:tabs>
              <w:spacing w:before="120"/>
              <w:jc w:val="center"/>
              <w:textAlignment w:val="baseline"/>
              <w:rPr>
                <w:rFonts w:cstheme="majorHAnsi"/>
                <w:iCs/>
              </w:rPr>
            </w:pPr>
            <w:r w:rsidRPr="00F768B6">
              <w:rPr>
                <w:rFonts w:cstheme="majorHAnsi"/>
                <w:iCs/>
              </w:rPr>
              <w:t>0,0150€ par exemplaire distribué jusqu'à 10 grammes inclus ;</w:t>
            </w:r>
          </w:p>
          <w:p w14:paraId="27F67EBA" w14:textId="77777777" w:rsidR="00B24786" w:rsidRPr="00F768B6" w:rsidRDefault="00B24786">
            <w:pPr>
              <w:pStyle w:val="Paragraphedeliste"/>
              <w:numPr>
                <w:ilvl w:val="0"/>
                <w:numId w:val="9"/>
              </w:numPr>
              <w:tabs>
                <w:tab w:val="left" w:pos="360"/>
                <w:tab w:val="left" w:pos="504"/>
              </w:tabs>
              <w:spacing w:before="120"/>
              <w:jc w:val="center"/>
              <w:textAlignment w:val="baseline"/>
              <w:rPr>
                <w:rFonts w:cstheme="majorHAnsi"/>
                <w:iCs/>
              </w:rPr>
            </w:pPr>
            <w:r w:rsidRPr="00F768B6">
              <w:rPr>
                <w:rFonts w:cstheme="majorHAnsi"/>
                <w:iCs/>
              </w:rPr>
              <w:t>0,0390€ par exemplaire distribué au-delà de 10 et jusqu'à 40 grammes inclus ;</w:t>
            </w:r>
          </w:p>
          <w:p w14:paraId="36687824" w14:textId="77777777" w:rsidR="00B24786" w:rsidRPr="00F768B6" w:rsidRDefault="00B24786">
            <w:pPr>
              <w:pStyle w:val="Paragraphedeliste"/>
              <w:numPr>
                <w:ilvl w:val="0"/>
                <w:numId w:val="9"/>
              </w:numPr>
              <w:tabs>
                <w:tab w:val="left" w:pos="360"/>
                <w:tab w:val="left" w:pos="504"/>
              </w:tabs>
              <w:spacing w:before="120"/>
              <w:jc w:val="center"/>
              <w:textAlignment w:val="baseline"/>
              <w:rPr>
                <w:rFonts w:cstheme="majorHAnsi"/>
                <w:iCs/>
              </w:rPr>
            </w:pPr>
            <w:r w:rsidRPr="00F768B6">
              <w:rPr>
                <w:rFonts w:cstheme="majorHAnsi"/>
                <w:iCs/>
              </w:rPr>
              <w:t>0,0585€ par exemplaire distribué au-delà de 40 et jusqu'à 225 grammes inclus ;</w:t>
            </w:r>
          </w:p>
          <w:p w14:paraId="60D5DD5C" w14:textId="77777777" w:rsidR="00B24786" w:rsidRPr="00F768B6" w:rsidRDefault="7F085376">
            <w:pPr>
              <w:pStyle w:val="Paragraphedeliste"/>
              <w:numPr>
                <w:ilvl w:val="0"/>
                <w:numId w:val="9"/>
              </w:numPr>
              <w:tabs>
                <w:tab w:val="left" w:pos="360"/>
                <w:tab w:val="left" w:pos="504"/>
              </w:tabs>
              <w:spacing w:before="120"/>
              <w:jc w:val="center"/>
              <w:textAlignment w:val="baseline"/>
              <w:rPr>
                <w:rFonts w:cstheme="majorBidi"/>
              </w:rPr>
            </w:pPr>
            <w:r w:rsidRPr="42E2FCEB">
              <w:rPr>
                <w:rFonts w:cstheme="majorBidi"/>
              </w:rPr>
              <w:t>0,1050€ par exemplaire distribué supérieurs à 225 grammes.</w:t>
            </w:r>
          </w:p>
          <w:p w14:paraId="1B97EDD4" w14:textId="6D5CF976" w:rsidR="01C1E901" w:rsidRDefault="01C1E901" w:rsidP="00474E8C">
            <w:pPr>
              <w:tabs>
                <w:tab w:val="left" w:pos="360"/>
                <w:tab w:val="left" w:pos="504"/>
              </w:tabs>
              <w:spacing w:before="120"/>
              <w:jc w:val="center"/>
              <w:rPr>
                <w:rFonts w:cstheme="majorBidi"/>
              </w:rPr>
            </w:pPr>
          </w:p>
          <w:p w14:paraId="0C10F599" w14:textId="108886C8" w:rsidR="01C1E901" w:rsidRDefault="01C1E901" w:rsidP="00AF2BBF">
            <w:pPr>
              <w:tabs>
                <w:tab w:val="left" w:pos="360"/>
                <w:tab w:val="left" w:pos="504"/>
              </w:tabs>
              <w:spacing w:before="120"/>
              <w:jc w:val="center"/>
              <w:rPr>
                <w:rFonts w:cstheme="majorBidi"/>
              </w:rPr>
            </w:pPr>
          </w:p>
          <w:p w14:paraId="0799FBED"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Pour la PRG :</w:t>
            </w:r>
          </w:p>
          <w:p w14:paraId="5CD84998" w14:textId="6FBCBCA8" w:rsidR="00B24786" w:rsidRPr="00F768B6" w:rsidRDefault="504F7AD6" w:rsidP="00AF2BBF">
            <w:pPr>
              <w:tabs>
                <w:tab w:val="left" w:pos="360"/>
                <w:tab w:val="left" w:pos="504"/>
              </w:tabs>
              <w:spacing w:before="120"/>
              <w:jc w:val="center"/>
              <w:textAlignment w:val="baseline"/>
              <w:rPr>
                <w:rFonts w:cstheme="majorBidi"/>
              </w:rPr>
            </w:pPr>
            <w:r w:rsidRPr="207B0CD2">
              <w:rPr>
                <w:rFonts w:cstheme="majorBidi"/>
              </w:rPr>
              <w:t>0,01€ par exemplaire distribué</w:t>
            </w:r>
          </w:p>
        </w:tc>
        <w:tc>
          <w:tcPr>
            <w:tcW w:w="2268" w:type="dxa"/>
            <w:tcBorders>
              <w:top w:val="single" w:sz="4" w:space="0" w:color="auto"/>
              <w:left w:val="single" w:sz="4" w:space="0" w:color="auto"/>
              <w:bottom w:val="single" w:sz="4" w:space="0" w:color="auto"/>
              <w:right w:val="single" w:sz="4" w:space="0" w:color="auto"/>
            </w:tcBorders>
          </w:tcPr>
          <w:p w14:paraId="46388798" w14:textId="1AADB4E6" w:rsid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Pour les écrits et les échantillons publicitaires :</w:t>
            </w:r>
          </w:p>
          <w:p w14:paraId="4CB5C5A0" w14:textId="77777777" w:rsidR="005B58CA" w:rsidRDefault="005B58CA" w:rsidP="00AF606C">
            <w:pPr>
              <w:tabs>
                <w:tab w:val="left" w:pos="360"/>
                <w:tab w:val="left" w:pos="504"/>
              </w:tabs>
              <w:spacing w:before="120"/>
              <w:rPr>
                <w:rFonts w:ascii="Cambria" w:eastAsia="Cambria" w:hAnsi="Cambria" w:cs="Cambria"/>
              </w:rPr>
            </w:pPr>
          </w:p>
          <w:p w14:paraId="25473141" w14:textId="6F167E19" w:rsidR="01C1E901" w:rsidRDefault="6B9B560F">
            <w:pPr>
              <w:pStyle w:val="Paragraphedeliste"/>
              <w:numPr>
                <w:ilvl w:val="0"/>
                <w:numId w:val="52"/>
              </w:numPr>
              <w:tabs>
                <w:tab w:val="num" w:pos="360"/>
              </w:tabs>
              <w:ind w:left="360"/>
              <w:jc w:val="center"/>
              <w:rPr>
                <w:rFonts w:ascii="Cambria" w:eastAsia="Cambria" w:hAnsi="Cambria" w:cs="Cambria"/>
              </w:rPr>
            </w:pPr>
            <w:r w:rsidRPr="42E2FCEB">
              <w:rPr>
                <w:rFonts w:ascii="Cambria" w:eastAsia="Cambria" w:hAnsi="Cambria" w:cs="Cambria"/>
              </w:rPr>
              <w:t>0,0187€ par exemplaire distribué jusqu'à 10 grammes inclus ;</w:t>
            </w:r>
          </w:p>
          <w:p w14:paraId="6488B26A" w14:textId="77777777" w:rsidR="005B58CA" w:rsidRDefault="005B58CA">
            <w:pPr>
              <w:pStyle w:val="Paragraphedeliste"/>
              <w:numPr>
                <w:ilvl w:val="0"/>
                <w:numId w:val="52"/>
              </w:numPr>
              <w:tabs>
                <w:tab w:val="num" w:pos="360"/>
              </w:tabs>
              <w:ind w:left="360"/>
              <w:jc w:val="center"/>
              <w:rPr>
                <w:rFonts w:ascii="Cambria" w:eastAsia="Cambria" w:hAnsi="Cambria" w:cs="Cambria"/>
              </w:rPr>
            </w:pPr>
          </w:p>
          <w:p w14:paraId="3DDF1CE1" w14:textId="6DC71179" w:rsidR="01C1E901" w:rsidRDefault="6B9B560F">
            <w:pPr>
              <w:pStyle w:val="Paragraphedeliste"/>
              <w:numPr>
                <w:ilvl w:val="0"/>
                <w:numId w:val="52"/>
              </w:numPr>
              <w:tabs>
                <w:tab w:val="num" w:pos="360"/>
              </w:tabs>
              <w:ind w:left="360"/>
              <w:jc w:val="center"/>
              <w:rPr>
                <w:rFonts w:ascii="Cambria" w:eastAsia="Cambria" w:hAnsi="Cambria" w:cs="Cambria"/>
              </w:rPr>
            </w:pPr>
            <w:r w:rsidRPr="42E2FCEB">
              <w:rPr>
                <w:rFonts w:ascii="Cambria" w:eastAsia="Cambria" w:hAnsi="Cambria" w:cs="Cambria"/>
              </w:rPr>
              <w:t>0,0487€ par exemplaire distribué au-delà de 10 et jusqu'à 40 grammes inclus ;</w:t>
            </w:r>
          </w:p>
          <w:p w14:paraId="40E139B2" w14:textId="77777777" w:rsidR="005B58CA" w:rsidRDefault="005B58CA" w:rsidP="005B58CA">
            <w:pPr>
              <w:jc w:val="center"/>
              <w:rPr>
                <w:rFonts w:ascii="Cambria" w:eastAsia="Cambria" w:hAnsi="Cambria" w:cs="Cambria"/>
              </w:rPr>
            </w:pPr>
          </w:p>
          <w:p w14:paraId="18CEC2DD" w14:textId="77777777" w:rsidR="005B58CA" w:rsidRDefault="005B58CA" w:rsidP="005B58CA">
            <w:pPr>
              <w:jc w:val="center"/>
              <w:rPr>
                <w:rFonts w:ascii="Cambria" w:eastAsia="Cambria" w:hAnsi="Cambria" w:cs="Cambria"/>
              </w:rPr>
            </w:pPr>
          </w:p>
          <w:p w14:paraId="7BE33137" w14:textId="77777777" w:rsidR="005B58CA" w:rsidRPr="00AF606C" w:rsidRDefault="005B58CA" w:rsidP="00AF606C">
            <w:pPr>
              <w:rPr>
                <w:rFonts w:ascii="Cambria" w:eastAsia="Cambria" w:hAnsi="Cambria" w:cs="Cambria"/>
              </w:rPr>
            </w:pPr>
          </w:p>
          <w:p w14:paraId="20FD0FBD" w14:textId="0FE42E78" w:rsidR="01C1E901" w:rsidRDefault="6B9B560F">
            <w:pPr>
              <w:pStyle w:val="Paragraphedeliste"/>
              <w:numPr>
                <w:ilvl w:val="0"/>
                <w:numId w:val="52"/>
              </w:numPr>
              <w:tabs>
                <w:tab w:val="num" w:pos="360"/>
              </w:tabs>
              <w:ind w:left="360"/>
              <w:jc w:val="center"/>
              <w:rPr>
                <w:rFonts w:ascii="Cambria" w:eastAsia="Cambria" w:hAnsi="Cambria" w:cs="Cambria"/>
              </w:rPr>
            </w:pPr>
            <w:r w:rsidRPr="42E2FCEB">
              <w:rPr>
                <w:rFonts w:ascii="Cambria" w:eastAsia="Cambria" w:hAnsi="Cambria" w:cs="Cambria"/>
              </w:rPr>
              <w:t>0,073€ par exemplaire distribué au-delà de 40 et jusqu'à 225 grammes inclus ;</w:t>
            </w:r>
          </w:p>
          <w:p w14:paraId="02828616" w14:textId="2CA0DF86" w:rsidR="01C1E901" w:rsidRDefault="01C1E901" w:rsidP="00AF2BBF">
            <w:pPr>
              <w:tabs>
                <w:tab w:val="left" w:pos="360"/>
                <w:tab w:val="left" w:pos="504"/>
              </w:tabs>
              <w:spacing w:before="120"/>
              <w:ind w:left="720"/>
              <w:jc w:val="center"/>
              <w:rPr>
                <w:rFonts w:ascii="Cambria" w:eastAsia="Cambria" w:hAnsi="Cambria" w:cs="Cambria"/>
              </w:rPr>
            </w:pPr>
          </w:p>
          <w:p w14:paraId="5C90B5DD" w14:textId="3AAD1431" w:rsidR="01C1E901" w:rsidRDefault="6B9B560F">
            <w:pPr>
              <w:pStyle w:val="Paragraphedeliste"/>
              <w:numPr>
                <w:ilvl w:val="0"/>
                <w:numId w:val="52"/>
              </w:numPr>
              <w:tabs>
                <w:tab w:val="num" w:pos="360"/>
              </w:tabs>
              <w:ind w:left="360"/>
              <w:jc w:val="center"/>
              <w:rPr>
                <w:rFonts w:ascii="Cambria" w:eastAsia="Cambria" w:hAnsi="Cambria" w:cs="Cambria"/>
              </w:rPr>
            </w:pPr>
            <w:r w:rsidRPr="42E2FCEB">
              <w:rPr>
                <w:rFonts w:ascii="Cambria" w:eastAsia="Cambria" w:hAnsi="Cambria" w:cs="Cambria"/>
              </w:rPr>
              <w:t>0,131€ par exemplaire distribué supérieurs à 225 grammes.</w:t>
            </w:r>
          </w:p>
          <w:p w14:paraId="3BA860D7" w14:textId="32ABE814" w:rsidR="01C1E901" w:rsidRDefault="01C1E901" w:rsidP="00AF2BBF">
            <w:pPr>
              <w:tabs>
                <w:tab w:val="left" w:pos="360"/>
                <w:tab w:val="left" w:pos="504"/>
              </w:tabs>
              <w:spacing w:before="120"/>
              <w:jc w:val="center"/>
              <w:rPr>
                <w:rFonts w:ascii="Cambria" w:eastAsia="Cambria" w:hAnsi="Cambria" w:cs="Cambria"/>
              </w:rPr>
            </w:pPr>
          </w:p>
          <w:p w14:paraId="2277FCCC" w14:textId="1F3B0D93" w:rsid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Pour la PRG :</w:t>
            </w:r>
          </w:p>
          <w:p w14:paraId="73EC79D0" w14:textId="7E90BC73" w:rsidR="01C1E901" w:rsidRPr="01C1E901" w:rsidRDefault="51D9B4CE" w:rsidP="00AF2BBF">
            <w:pPr>
              <w:tabs>
                <w:tab w:val="left" w:pos="360"/>
                <w:tab w:val="left" w:pos="504"/>
              </w:tabs>
              <w:spacing w:before="120"/>
              <w:jc w:val="center"/>
              <w:rPr>
                <w:rFonts w:ascii="Cambria" w:eastAsia="Cambria" w:hAnsi="Cambria" w:cs="Cambria"/>
              </w:rPr>
            </w:pPr>
            <w:r w:rsidRPr="0A7F2749">
              <w:rPr>
                <w:rFonts w:ascii="Cambria" w:eastAsia="Cambria" w:hAnsi="Cambria" w:cs="Cambria"/>
              </w:rPr>
              <w:t>0,01</w:t>
            </w:r>
            <w:r w:rsidR="285383B2" w:rsidRPr="0A7F2749">
              <w:rPr>
                <w:rFonts w:ascii="Cambria" w:eastAsia="Cambria" w:hAnsi="Cambria" w:cs="Cambria"/>
              </w:rPr>
              <w:t>25</w:t>
            </w:r>
            <w:r w:rsidRPr="0A7F2749">
              <w:rPr>
                <w:rFonts w:ascii="Cambria" w:eastAsia="Cambria" w:hAnsi="Cambria" w:cs="Cambria"/>
              </w:rPr>
              <w:t>€ par exemplaire distribué</w:t>
            </w:r>
          </w:p>
        </w:tc>
        <w:tc>
          <w:tcPr>
            <w:tcW w:w="3261" w:type="dxa"/>
            <w:tcBorders>
              <w:top w:val="single" w:sz="4" w:space="0" w:color="auto"/>
              <w:left w:val="single" w:sz="4" w:space="0" w:color="auto"/>
              <w:bottom w:val="single" w:sz="4" w:space="0" w:color="auto"/>
              <w:right w:val="single" w:sz="4" w:space="0" w:color="auto"/>
            </w:tcBorders>
          </w:tcPr>
          <w:p w14:paraId="7AAAA4A1" w14:textId="534C47C0" w:rsidR="00B24786" w:rsidRPr="00F768B6" w:rsidRDefault="00B24786" w:rsidP="00AF2BBF">
            <w:pPr>
              <w:tabs>
                <w:tab w:val="left" w:pos="360"/>
                <w:tab w:val="left" w:pos="504"/>
              </w:tabs>
              <w:spacing w:before="120"/>
              <w:jc w:val="center"/>
              <w:textAlignment w:val="baseline"/>
              <w:rPr>
                <w:rFonts w:cstheme="majorHAnsi"/>
                <w:iCs/>
              </w:rPr>
            </w:pPr>
            <w:r>
              <w:rPr>
                <w:rFonts w:cstheme="majorHAnsi"/>
                <w:iCs/>
              </w:rPr>
              <w:t xml:space="preserve">Par forfait </w:t>
            </w:r>
            <w:r w:rsidR="000738BB">
              <w:rPr>
                <w:rFonts w:cstheme="majorHAnsi"/>
                <w:iCs/>
              </w:rPr>
              <w:t>au poids</w:t>
            </w:r>
          </w:p>
        </w:tc>
      </w:tr>
      <w:tr w:rsidR="00B24786" w:rsidRPr="00F91BDD" w14:paraId="1A417AE3" w14:textId="7F7AAD1F"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10C8023E" w14:textId="04AC6EEA" w:rsidR="00B24786" w:rsidRPr="00F768B6" w:rsidRDefault="00B24786" w:rsidP="00474E8C">
            <w:pPr>
              <w:pStyle w:val="Titre3"/>
              <w:numPr>
                <w:ilvl w:val="0"/>
                <w:numId w:val="0"/>
              </w:numPr>
              <w:ind w:left="786"/>
            </w:pPr>
            <w:bookmarkStart w:id="5444" w:name="_Toc225504449"/>
            <w:bookmarkStart w:id="5445" w:name="_Toc225772538"/>
            <w:bookmarkStart w:id="5446" w:name="_Toc233626405"/>
            <w:r w:rsidRPr="21B2FD55">
              <w:t>04002/364-24 Diffusion publicitaire voie publique</w:t>
            </w:r>
            <w:bookmarkEnd w:id="5444"/>
            <w:bookmarkEnd w:id="5445"/>
            <w:bookmarkEnd w:id="5446"/>
          </w:p>
        </w:tc>
        <w:tc>
          <w:tcPr>
            <w:tcW w:w="1275" w:type="dxa"/>
            <w:tcBorders>
              <w:top w:val="single" w:sz="4" w:space="0" w:color="auto"/>
              <w:left w:val="single" w:sz="4" w:space="0" w:color="auto"/>
              <w:bottom w:val="single" w:sz="4" w:space="0" w:color="auto"/>
              <w:right w:val="single" w:sz="4" w:space="0" w:color="auto"/>
            </w:tcBorders>
          </w:tcPr>
          <w:p w14:paraId="640ACCFA"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Taxe indirecte</w:t>
            </w:r>
          </w:p>
        </w:tc>
        <w:tc>
          <w:tcPr>
            <w:tcW w:w="2268" w:type="dxa"/>
            <w:tcBorders>
              <w:top w:val="single" w:sz="4" w:space="0" w:color="auto"/>
              <w:bottom w:val="single" w:sz="4" w:space="0" w:color="auto"/>
            </w:tcBorders>
          </w:tcPr>
          <w:p w14:paraId="0D95F7A2"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Diffuseurs sonores 85 €/j</w:t>
            </w:r>
          </w:p>
          <w:p w14:paraId="4C49575C" w14:textId="4D49AB49"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Panneaux/lasers/tracts 25 €/j</w:t>
            </w:r>
          </w:p>
        </w:tc>
        <w:tc>
          <w:tcPr>
            <w:tcW w:w="2268" w:type="dxa"/>
            <w:tcBorders>
              <w:top w:val="single" w:sz="4" w:space="0" w:color="auto"/>
              <w:left w:val="single" w:sz="4" w:space="0" w:color="auto"/>
              <w:bottom w:val="single" w:sz="4" w:space="0" w:color="auto"/>
              <w:right w:val="single" w:sz="4" w:space="0" w:color="auto"/>
            </w:tcBorders>
          </w:tcPr>
          <w:p w14:paraId="5BCCCC23" w14:textId="647D99F9" w:rsid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106,07 €/j</w:t>
            </w:r>
          </w:p>
          <w:p w14:paraId="0DF3493B" w14:textId="3A58D794" w:rsidR="01C1E901" w:rsidRDefault="01C1E901" w:rsidP="00AF2BBF">
            <w:pPr>
              <w:tabs>
                <w:tab w:val="left" w:pos="360"/>
                <w:tab w:val="left" w:pos="504"/>
              </w:tabs>
              <w:spacing w:before="120"/>
              <w:jc w:val="center"/>
              <w:rPr>
                <w:rFonts w:ascii="Cambria" w:eastAsia="Cambria" w:hAnsi="Cambria" w:cs="Cambria"/>
              </w:rPr>
            </w:pPr>
          </w:p>
          <w:p w14:paraId="1AA592BC" w14:textId="4CC4E5A9" w:rsidR="01C1E901" w:rsidRP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31,20 €/j</w:t>
            </w:r>
          </w:p>
        </w:tc>
        <w:tc>
          <w:tcPr>
            <w:tcW w:w="3261" w:type="dxa"/>
            <w:tcBorders>
              <w:top w:val="single" w:sz="4" w:space="0" w:color="auto"/>
              <w:left w:val="single" w:sz="4" w:space="0" w:color="auto"/>
              <w:bottom w:val="single" w:sz="4" w:space="0" w:color="auto"/>
              <w:right w:val="single" w:sz="4" w:space="0" w:color="auto"/>
            </w:tcBorders>
          </w:tcPr>
          <w:p w14:paraId="20506930" w14:textId="6704045C" w:rsidR="00B24786" w:rsidRPr="00F768B6" w:rsidRDefault="00B24786" w:rsidP="00AF2BBF">
            <w:pPr>
              <w:tabs>
                <w:tab w:val="left" w:pos="360"/>
                <w:tab w:val="left" w:pos="504"/>
              </w:tabs>
              <w:spacing w:before="120"/>
              <w:jc w:val="center"/>
              <w:textAlignment w:val="baseline"/>
              <w:rPr>
                <w:rFonts w:cstheme="majorHAnsi"/>
                <w:iCs/>
              </w:rPr>
            </w:pPr>
            <w:r>
              <w:rPr>
                <w:rFonts w:cstheme="majorHAnsi"/>
                <w:iCs/>
              </w:rPr>
              <w:t>Par jour de diffusion</w:t>
            </w:r>
          </w:p>
        </w:tc>
      </w:tr>
      <w:tr w:rsidR="00B24786" w:rsidRPr="00F91BDD" w14:paraId="40FCD50A" w14:textId="47E011B5"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5D140B5D" w14:textId="668869B6" w:rsidR="00B24786" w:rsidRPr="00F768B6" w:rsidRDefault="327C5D5F" w:rsidP="00474E8C">
            <w:pPr>
              <w:pStyle w:val="Titre3"/>
              <w:numPr>
                <w:ilvl w:val="0"/>
                <w:numId w:val="0"/>
              </w:numPr>
              <w:ind w:left="786"/>
            </w:pPr>
            <w:bookmarkStart w:id="5447" w:name="_Toc233626406"/>
            <w:bookmarkStart w:id="5448" w:name="_Toc225504450"/>
            <w:bookmarkStart w:id="5449" w:name="_Toc225772539"/>
            <w:r w:rsidRPr="2149C156">
              <w:t>040/364-26 Séjour</w:t>
            </w:r>
            <w:bookmarkEnd w:id="5447"/>
            <w:r w:rsidRPr="2149C156">
              <w:t xml:space="preserve"> </w:t>
            </w:r>
            <w:bookmarkEnd w:id="5448"/>
            <w:bookmarkEnd w:id="5449"/>
          </w:p>
        </w:tc>
        <w:tc>
          <w:tcPr>
            <w:tcW w:w="1275" w:type="dxa"/>
            <w:tcBorders>
              <w:top w:val="single" w:sz="4" w:space="0" w:color="auto"/>
              <w:left w:val="single" w:sz="4" w:space="0" w:color="auto"/>
              <w:bottom w:val="single" w:sz="4" w:space="0" w:color="auto"/>
              <w:right w:val="single" w:sz="4" w:space="0" w:color="auto"/>
            </w:tcBorders>
          </w:tcPr>
          <w:p w14:paraId="6504D1C3" w14:textId="1A4C6B3F"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Taxe indirecte</w:t>
            </w:r>
          </w:p>
        </w:tc>
        <w:tc>
          <w:tcPr>
            <w:tcW w:w="2268" w:type="dxa"/>
            <w:tcBorders>
              <w:top w:val="single" w:sz="4" w:space="0" w:color="auto"/>
              <w:bottom w:val="single" w:sz="4" w:space="0" w:color="auto"/>
            </w:tcBorders>
          </w:tcPr>
          <w:p w14:paraId="1E3CFA85" w14:textId="77777777" w:rsidR="00B24786" w:rsidRPr="00F768B6" w:rsidRDefault="00B24786" w:rsidP="00AF2BBF">
            <w:pPr>
              <w:tabs>
                <w:tab w:val="left" w:pos="360"/>
                <w:tab w:val="left" w:pos="504"/>
              </w:tabs>
              <w:spacing w:before="120"/>
              <w:jc w:val="center"/>
              <w:textAlignment w:val="baseline"/>
              <w:rPr>
                <w:rFonts w:cstheme="majorHAnsi"/>
                <w:iCs/>
              </w:rPr>
            </w:pPr>
            <w:r w:rsidRPr="00F768B6">
              <w:rPr>
                <w:rFonts w:cstheme="majorHAnsi"/>
                <w:iCs/>
              </w:rPr>
              <w:t>1,30 €/pers./nuit</w:t>
            </w:r>
          </w:p>
          <w:p w14:paraId="5EEB3DCD" w14:textId="24F7F05E" w:rsidR="00B24786" w:rsidRPr="00F768B6" w:rsidRDefault="00B24786" w:rsidP="00AB06CF">
            <w:pPr>
              <w:tabs>
                <w:tab w:val="left" w:pos="360"/>
                <w:tab w:val="left" w:pos="504"/>
              </w:tabs>
              <w:spacing w:before="120"/>
              <w:jc w:val="center"/>
              <w:textAlignment w:val="baseline"/>
              <w:rPr>
                <w:rFonts w:cstheme="majorHAnsi"/>
                <w:iCs/>
              </w:rPr>
            </w:pPr>
          </w:p>
        </w:tc>
        <w:tc>
          <w:tcPr>
            <w:tcW w:w="2268" w:type="dxa"/>
            <w:tcBorders>
              <w:top w:val="single" w:sz="4" w:space="0" w:color="auto"/>
              <w:left w:val="single" w:sz="4" w:space="0" w:color="auto"/>
              <w:bottom w:val="single" w:sz="4" w:space="0" w:color="auto"/>
              <w:right w:val="single" w:sz="4" w:space="0" w:color="auto"/>
            </w:tcBorders>
          </w:tcPr>
          <w:p w14:paraId="16767F3D" w14:textId="54D8ACED" w:rsidR="01C1E901" w:rsidRDefault="6B9B560F" w:rsidP="00AF2BBF">
            <w:pPr>
              <w:tabs>
                <w:tab w:val="left" w:pos="360"/>
                <w:tab w:val="left" w:pos="504"/>
              </w:tabs>
              <w:spacing w:before="120"/>
              <w:jc w:val="center"/>
              <w:rPr>
                <w:rFonts w:ascii="Cambria" w:eastAsia="Cambria" w:hAnsi="Cambria" w:cs="Cambria"/>
              </w:rPr>
            </w:pPr>
            <w:r w:rsidRPr="42E2FCEB">
              <w:rPr>
                <w:rFonts w:ascii="Cambria" w:eastAsia="Cambria" w:hAnsi="Cambria" w:cs="Cambria"/>
              </w:rPr>
              <w:t>1,62 €/pers./nuit</w:t>
            </w:r>
          </w:p>
          <w:p w14:paraId="7750197F" w14:textId="14851EC7" w:rsidR="01C1E901" w:rsidRPr="01C1E901" w:rsidRDefault="01C1E901" w:rsidP="00AF2BB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0F170F78" w14:textId="07F328CA" w:rsidR="00B24786" w:rsidRDefault="00B24786" w:rsidP="00AF2BBF">
            <w:pPr>
              <w:tabs>
                <w:tab w:val="left" w:pos="360"/>
                <w:tab w:val="left" w:pos="504"/>
              </w:tabs>
              <w:spacing w:before="120"/>
              <w:jc w:val="center"/>
              <w:textAlignment w:val="baseline"/>
              <w:rPr>
                <w:rFonts w:cstheme="majorHAnsi"/>
                <w:iCs/>
              </w:rPr>
            </w:pPr>
            <w:r>
              <w:rPr>
                <w:rFonts w:cstheme="majorHAnsi"/>
                <w:iCs/>
              </w:rPr>
              <w:t>Par personne et par nuit</w:t>
            </w:r>
          </w:p>
          <w:p w14:paraId="7A141A3A" w14:textId="4F97883C" w:rsidR="00B24786" w:rsidRPr="00F768B6" w:rsidRDefault="00B24786" w:rsidP="00AF2BBF">
            <w:pPr>
              <w:tabs>
                <w:tab w:val="left" w:pos="360"/>
                <w:tab w:val="left" w:pos="504"/>
              </w:tabs>
              <w:spacing w:before="120"/>
              <w:jc w:val="center"/>
              <w:textAlignment w:val="baseline"/>
              <w:rPr>
                <w:rFonts w:cstheme="majorHAnsi"/>
                <w:iCs/>
              </w:rPr>
            </w:pPr>
          </w:p>
        </w:tc>
      </w:tr>
      <w:tr w:rsidR="005E50DF" w:rsidRPr="00F91BDD" w14:paraId="38384FE4" w14:textId="77777777"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1143FFCB" w14:textId="4050B8C3" w:rsidR="005E50DF" w:rsidRPr="2149C156" w:rsidRDefault="005E50DF" w:rsidP="005E50DF">
            <w:pPr>
              <w:pStyle w:val="Titre3"/>
              <w:numPr>
                <w:ilvl w:val="0"/>
                <w:numId w:val="0"/>
              </w:numPr>
              <w:ind w:left="786"/>
            </w:pPr>
            <w:bookmarkStart w:id="5450" w:name="_Toc225504451"/>
            <w:bookmarkStart w:id="5451" w:name="_Toc225772540"/>
            <w:bookmarkStart w:id="5452" w:name="_Toc233626407"/>
            <w:r w:rsidRPr="2149C156">
              <w:t xml:space="preserve">040/364-26 </w:t>
            </w:r>
            <w:r w:rsidR="00AB06CF">
              <w:t>H</w:t>
            </w:r>
            <w:r w:rsidRPr="2149C156">
              <w:t>ébergement</w:t>
            </w:r>
            <w:r w:rsidR="00AB06CF">
              <w:t xml:space="preserve"> touristique</w:t>
            </w:r>
            <w:bookmarkEnd w:id="5450"/>
            <w:bookmarkEnd w:id="5451"/>
            <w:bookmarkEnd w:id="5452"/>
          </w:p>
        </w:tc>
        <w:tc>
          <w:tcPr>
            <w:tcW w:w="1275" w:type="dxa"/>
            <w:tcBorders>
              <w:top w:val="single" w:sz="4" w:space="0" w:color="auto"/>
              <w:left w:val="single" w:sz="4" w:space="0" w:color="auto"/>
              <w:bottom w:val="single" w:sz="4" w:space="0" w:color="auto"/>
              <w:right w:val="single" w:sz="4" w:space="0" w:color="auto"/>
            </w:tcBorders>
          </w:tcPr>
          <w:p w14:paraId="78B8D0C2" w14:textId="4E091F51"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652D88CA" w14:textId="56CC2804"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180 €/an/lit-chambre/emplacement</w:t>
            </w:r>
          </w:p>
        </w:tc>
        <w:tc>
          <w:tcPr>
            <w:tcW w:w="2268" w:type="dxa"/>
            <w:tcBorders>
              <w:top w:val="single" w:sz="4" w:space="0" w:color="auto"/>
              <w:left w:val="single" w:sz="4" w:space="0" w:color="auto"/>
              <w:bottom w:val="single" w:sz="4" w:space="0" w:color="auto"/>
              <w:right w:val="single" w:sz="4" w:space="0" w:color="auto"/>
            </w:tcBorders>
          </w:tcPr>
          <w:p w14:paraId="1EE59B9B" w14:textId="50396991" w:rsidR="005E50DF" w:rsidRPr="42E2FCEB"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224,62 €/an/lit-chambre/emplacement</w:t>
            </w:r>
          </w:p>
        </w:tc>
        <w:tc>
          <w:tcPr>
            <w:tcW w:w="3261" w:type="dxa"/>
            <w:tcBorders>
              <w:top w:val="single" w:sz="4" w:space="0" w:color="auto"/>
              <w:left w:val="single" w:sz="4" w:space="0" w:color="auto"/>
              <w:bottom w:val="single" w:sz="4" w:space="0" w:color="auto"/>
              <w:right w:val="single" w:sz="4" w:space="0" w:color="auto"/>
            </w:tcBorders>
          </w:tcPr>
          <w:p w14:paraId="698F4433" w14:textId="2BA3BAF8" w:rsidR="005E50DF" w:rsidRDefault="005E50DF" w:rsidP="005E50DF">
            <w:pPr>
              <w:tabs>
                <w:tab w:val="left" w:pos="360"/>
                <w:tab w:val="left" w:pos="504"/>
              </w:tabs>
              <w:spacing w:before="120"/>
              <w:jc w:val="center"/>
              <w:textAlignment w:val="baseline"/>
              <w:rPr>
                <w:rFonts w:cstheme="majorHAnsi"/>
                <w:iCs/>
              </w:rPr>
            </w:pPr>
            <w:r>
              <w:rPr>
                <w:rFonts w:cstheme="majorHAnsi"/>
                <w:iCs/>
              </w:rPr>
              <w:t>Forfait annuel par lit/</w:t>
            </w:r>
            <w:r w:rsidRPr="2149C156">
              <w:rPr>
                <w:rFonts w:cstheme="majorBidi"/>
              </w:rPr>
              <w:t>chambre /</w:t>
            </w:r>
            <w:r>
              <w:rPr>
                <w:rFonts w:cstheme="majorHAnsi"/>
                <w:iCs/>
              </w:rPr>
              <w:t>emplacement</w:t>
            </w:r>
          </w:p>
        </w:tc>
      </w:tr>
      <w:tr w:rsidR="005E50DF" w:rsidRPr="00F91BDD" w14:paraId="1945BB65" w14:textId="703F1C3A"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3E85C496" w14:textId="15A92A04" w:rsidR="005E50DF" w:rsidRPr="00F768B6" w:rsidRDefault="005E50DF" w:rsidP="005E50DF">
            <w:pPr>
              <w:pStyle w:val="Titre3"/>
              <w:numPr>
                <w:ilvl w:val="0"/>
                <w:numId w:val="0"/>
              </w:numPr>
              <w:ind w:left="786"/>
            </w:pPr>
            <w:bookmarkStart w:id="5453" w:name="_Toc225504452"/>
            <w:bookmarkStart w:id="5454" w:name="_Toc225772541"/>
            <w:bookmarkStart w:id="5455" w:name="_Toc233626408"/>
            <w:r w:rsidRPr="21B2FD55">
              <w:lastRenderedPageBreak/>
              <w:t>040/364-27 Terrains de camping</w:t>
            </w:r>
            <w:bookmarkEnd w:id="5453"/>
            <w:bookmarkEnd w:id="5454"/>
            <w:bookmarkEnd w:id="5455"/>
          </w:p>
        </w:tc>
        <w:tc>
          <w:tcPr>
            <w:tcW w:w="1275" w:type="dxa"/>
            <w:tcBorders>
              <w:top w:val="single" w:sz="4" w:space="0" w:color="auto"/>
              <w:left w:val="single" w:sz="4" w:space="0" w:color="auto"/>
              <w:bottom w:val="single" w:sz="4" w:space="0" w:color="auto"/>
              <w:right w:val="single" w:sz="4" w:space="0" w:color="auto"/>
            </w:tcBorders>
          </w:tcPr>
          <w:p w14:paraId="2CD3942C"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1DC568D5"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85 €/emplacement (abri mobile)</w:t>
            </w:r>
          </w:p>
          <w:p w14:paraId="26D083AF" w14:textId="39537E4F"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135 €/emplacement (abri fixe)</w:t>
            </w:r>
          </w:p>
        </w:tc>
        <w:tc>
          <w:tcPr>
            <w:tcW w:w="2268" w:type="dxa"/>
            <w:tcBorders>
              <w:top w:val="single" w:sz="4" w:space="0" w:color="auto"/>
              <w:left w:val="single" w:sz="4" w:space="0" w:color="auto"/>
              <w:bottom w:val="single" w:sz="4" w:space="0" w:color="auto"/>
              <w:right w:val="single" w:sz="4" w:space="0" w:color="auto"/>
            </w:tcBorders>
          </w:tcPr>
          <w:p w14:paraId="538B1D2D" w14:textId="2422F13D"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106,07€</w:t>
            </w:r>
          </w:p>
          <w:p w14:paraId="3A939D95" w14:textId="16707D3A" w:rsidR="005E50DF" w:rsidRDefault="005E50DF" w:rsidP="005E50DF">
            <w:pPr>
              <w:tabs>
                <w:tab w:val="left" w:pos="360"/>
                <w:tab w:val="left" w:pos="504"/>
              </w:tabs>
              <w:spacing w:before="120"/>
              <w:jc w:val="center"/>
              <w:rPr>
                <w:rFonts w:ascii="Cambria" w:eastAsia="Cambria" w:hAnsi="Cambria" w:cs="Cambria"/>
              </w:rPr>
            </w:pPr>
          </w:p>
          <w:p w14:paraId="7DF37810" w14:textId="40EB05D7"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168,47€</w:t>
            </w:r>
          </w:p>
        </w:tc>
        <w:tc>
          <w:tcPr>
            <w:tcW w:w="3261" w:type="dxa"/>
            <w:tcBorders>
              <w:top w:val="single" w:sz="4" w:space="0" w:color="auto"/>
              <w:left w:val="single" w:sz="4" w:space="0" w:color="auto"/>
              <w:bottom w:val="single" w:sz="4" w:space="0" w:color="auto"/>
              <w:right w:val="single" w:sz="4" w:space="0" w:color="auto"/>
            </w:tcBorders>
          </w:tcPr>
          <w:p w14:paraId="402AD255" w14:textId="7DD6E48B"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Par emplacement et par an</w:t>
            </w:r>
          </w:p>
        </w:tc>
      </w:tr>
      <w:tr w:rsidR="005E50DF" w:rsidRPr="00F91BDD" w14:paraId="55037824" w14:textId="45D3EB0F"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332E2EA" w14:textId="02F3E4E1" w:rsidR="005E50DF" w:rsidRPr="00F768B6" w:rsidRDefault="005E50DF" w:rsidP="005E50DF">
            <w:pPr>
              <w:pStyle w:val="Titre3"/>
              <w:numPr>
                <w:ilvl w:val="0"/>
                <w:numId w:val="0"/>
              </w:numPr>
              <w:ind w:left="786"/>
            </w:pPr>
            <w:bookmarkStart w:id="5456" w:name="_Toc225504453"/>
            <w:bookmarkStart w:id="5457" w:name="_Toc225772542"/>
            <w:bookmarkStart w:id="5458" w:name="_Toc233626409"/>
            <w:r w:rsidRPr="21B2FD55">
              <w:t>040/364-29 Mitrailles/véhicules usagés &amp; véhicules isolés abandonnés</w:t>
            </w:r>
            <w:bookmarkEnd w:id="5456"/>
            <w:bookmarkEnd w:id="5457"/>
            <w:bookmarkEnd w:id="5458"/>
          </w:p>
        </w:tc>
        <w:tc>
          <w:tcPr>
            <w:tcW w:w="1275" w:type="dxa"/>
            <w:tcBorders>
              <w:top w:val="single" w:sz="4" w:space="0" w:color="auto"/>
              <w:left w:val="single" w:sz="4" w:space="0" w:color="auto"/>
              <w:bottom w:val="single" w:sz="4" w:space="0" w:color="auto"/>
              <w:right w:val="single" w:sz="4" w:space="0" w:color="auto"/>
            </w:tcBorders>
          </w:tcPr>
          <w:p w14:paraId="723800F3"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directe/indirecte</w:t>
            </w:r>
          </w:p>
        </w:tc>
        <w:tc>
          <w:tcPr>
            <w:tcW w:w="2268" w:type="dxa"/>
            <w:tcBorders>
              <w:top w:val="single" w:sz="4" w:space="0" w:color="auto"/>
              <w:bottom w:val="single" w:sz="4" w:space="0" w:color="auto"/>
            </w:tcBorders>
          </w:tcPr>
          <w:p w14:paraId="532168C0" w14:textId="77777777" w:rsidR="005E50DF" w:rsidRDefault="005E50DF" w:rsidP="005E50DF">
            <w:pPr>
              <w:tabs>
                <w:tab w:val="left" w:pos="360"/>
                <w:tab w:val="left" w:pos="504"/>
              </w:tabs>
              <w:spacing w:before="120"/>
              <w:jc w:val="center"/>
              <w:textAlignment w:val="baseline"/>
              <w:rPr>
                <w:rFonts w:cstheme="majorHAnsi"/>
                <w:iCs/>
              </w:rPr>
            </w:pPr>
            <w:r w:rsidRPr="00F768B6">
              <w:rPr>
                <w:rFonts w:cstheme="majorHAnsi"/>
                <w:iCs/>
              </w:rPr>
              <w:t>Dépôts : 10,50 €/m² – max 5.500 €/an/installation</w:t>
            </w:r>
          </w:p>
          <w:p w14:paraId="43BC759A" w14:textId="77777777" w:rsidR="005E50DF" w:rsidRPr="00F768B6" w:rsidRDefault="005E50DF" w:rsidP="005E50DF">
            <w:pPr>
              <w:tabs>
                <w:tab w:val="left" w:pos="360"/>
                <w:tab w:val="left" w:pos="504"/>
              </w:tabs>
              <w:spacing w:before="120"/>
              <w:jc w:val="center"/>
              <w:textAlignment w:val="baseline"/>
              <w:rPr>
                <w:rFonts w:cstheme="majorHAnsi"/>
                <w:iCs/>
              </w:rPr>
            </w:pPr>
          </w:p>
          <w:p w14:paraId="6C2711D6" w14:textId="2FF86558"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Véhicule isolé : 850 €</w:t>
            </w:r>
          </w:p>
        </w:tc>
        <w:tc>
          <w:tcPr>
            <w:tcW w:w="2268" w:type="dxa"/>
            <w:tcBorders>
              <w:top w:val="single" w:sz="4" w:space="0" w:color="auto"/>
              <w:left w:val="single" w:sz="4" w:space="0" w:color="auto"/>
              <w:bottom w:val="single" w:sz="4" w:space="0" w:color="auto"/>
              <w:right w:val="single" w:sz="4" w:space="0" w:color="auto"/>
            </w:tcBorders>
          </w:tcPr>
          <w:p w14:paraId="656E9D65" w14:textId="7AFBD768"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Dépôts : 13,10 €/m² – max 6.863,45 € /an/installation</w:t>
            </w:r>
          </w:p>
          <w:p w14:paraId="1C1462FD" w14:textId="7480DFDD" w:rsidR="005E50DF" w:rsidRDefault="005E50DF" w:rsidP="005E50DF">
            <w:pPr>
              <w:tabs>
                <w:tab w:val="left" w:pos="360"/>
                <w:tab w:val="left" w:pos="504"/>
              </w:tabs>
              <w:spacing w:before="120"/>
              <w:jc w:val="center"/>
              <w:rPr>
                <w:rFonts w:ascii="Cambria" w:eastAsia="Cambria" w:hAnsi="Cambria" w:cs="Cambria"/>
              </w:rPr>
            </w:pPr>
          </w:p>
          <w:p w14:paraId="2172620E" w14:textId="0938B030"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Véhicule isolé : 1.060,71 €</w:t>
            </w:r>
          </w:p>
        </w:tc>
        <w:tc>
          <w:tcPr>
            <w:tcW w:w="3261" w:type="dxa"/>
            <w:tcBorders>
              <w:top w:val="single" w:sz="4" w:space="0" w:color="auto"/>
              <w:left w:val="single" w:sz="4" w:space="0" w:color="auto"/>
              <w:bottom w:val="single" w:sz="4" w:space="0" w:color="auto"/>
              <w:right w:val="single" w:sz="4" w:space="0" w:color="auto"/>
            </w:tcBorders>
          </w:tcPr>
          <w:p w14:paraId="36ACE578" w14:textId="77777777" w:rsidR="005E50DF" w:rsidRDefault="005E50DF" w:rsidP="005E50DF">
            <w:pPr>
              <w:tabs>
                <w:tab w:val="left" w:pos="360"/>
                <w:tab w:val="left" w:pos="504"/>
              </w:tabs>
              <w:spacing w:before="120"/>
              <w:jc w:val="center"/>
              <w:textAlignment w:val="baseline"/>
              <w:rPr>
                <w:rFonts w:cstheme="majorHAnsi"/>
                <w:iCs/>
              </w:rPr>
            </w:pPr>
            <w:r>
              <w:rPr>
                <w:rFonts w:cstheme="majorHAnsi"/>
                <w:iCs/>
              </w:rPr>
              <w:t>Par infrastructure et par an</w:t>
            </w:r>
          </w:p>
          <w:p w14:paraId="782F9170" w14:textId="77777777" w:rsidR="005E50DF" w:rsidRDefault="005E50DF" w:rsidP="005E50DF">
            <w:pPr>
              <w:tabs>
                <w:tab w:val="left" w:pos="360"/>
                <w:tab w:val="left" w:pos="504"/>
              </w:tabs>
              <w:spacing w:before="120"/>
              <w:jc w:val="center"/>
              <w:textAlignment w:val="baseline"/>
              <w:rPr>
                <w:rFonts w:cstheme="majorHAnsi"/>
                <w:iCs/>
              </w:rPr>
            </w:pPr>
          </w:p>
          <w:p w14:paraId="0C752DCD" w14:textId="77777777" w:rsidR="005E50DF" w:rsidRDefault="005E50DF" w:rsidP="005E50DF">
            <w:pPr>
              <w:tabs>
                <w:tab w:val="left" w:pos="360"/>
                <w:tab w:val="left" w:pos="504"/>
              </w:tabs>
              <w:spacing w:before="120"/>
              <w:jc w:val="center"/>
              <w:textAlignment w:val="baseline"/>
              <w:rPr>
                <w:rFonts w:cstheme="majorHAnsi"/>
                <w:iCs/>
              </w:rPr>
            </w:pPr>
          </w:p>
          <w:p w14:paraId="7AE4E427" w14:textId="0F1915EA" w:rsidR="005E50DF" w:rsidRDefault="005E50DF" w:rsidP="005E50DF">
            <w:pPr>
              <w:tabs>
                <w:tab w:val="left" w:pos="360"/>
                <w:tab w:val="left" w:pos="504"/>
              </w:tabs>
              <w:spacing w:before="120"/>
              <w:jc w:val="center"/>
              <w:textAlignment w:val="baseline"/>
              <w:rPr>
                <w:rFonts w:cstheme="majorHAnsi"/>
                <w:iCs/>
              </w:rPr>
            </w:pPr>
            <w:r>
              <w:rPr>
                <w:rFonts w:cstheme="majorHAnsi"/>
                <w:iCs/>
              </w:rPr>
              <w:t>Par véhicule isolé</w:t>
            </w:r>
          </w:p>
          <w:p w14:paraId="6DED72AB" w14:textId="51092189" w:rsidR="005E50DF" w:rsidRPr="00F768B6" w:rsidRDefault="005E50DF" w:rsidP="005E50DF">
            <w:pPr>
              <w:tabs>
                <w:tab w:val="left" w:pos="360"/>
                <w:tab w:val="left" w:pos="504"/>
              </w:tabs>
              <w:spacing w:before="120"/>
              <w:jc w:val="center"/>
              <w:textAlignment w:val="baseline"/>
              <w:rPr>
                <w:rFonts w:cstheme="majorHAnsi"/>
                <w:iCs/>
              </w:rPr>
            </w:pPr>
          </w:p>
        </w:tc>
      </w:tr>
      <w:tr w:rsidR="005E50DF" w:rsidRPr="00F91BDD" w14:paraId="7E0548FA" w14:textId="4954EA41"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0124F019" w14:textId="0CB1273E" w:rsidR="005E50DF" w:rsidRPr="00F768B6" w:rsidRDefault="005E50DF" w:rsidP="005E50DF">
            <w:pPr>
              <w:pStyle w:val="Titre3"/>
              <w:numPr>
                <w:ilvl w:val="0"/>
                <w:numId w:val="0"/>
              </w:numPr>
              <w:ind w:left="786"/>
            </w:pPr>
            <w:bookmarkStart w:id="5459" w:name="_Toc225504454"/>
            <w:bookmarkStart w:id="5460" w:name="_Toc225772543"/>
            <w:bookmarkStart w:id="5461" w:name="_Toc233626410"/>
            <w:r w:rsidRPr="21B2FD55">
              <w:t>040/364-30 Etablissements dangereux/insalubres/incommodes &amp; permis env.</w:t>
            </w:r>
            <w:bookmarkEnd w:id="5459"/>
            <w:bookmarkEnd w:id="5460"/>
            <w:bookmarkEnd w:id="5461"/>
          </w:p>
        </w:tc>
        <w:tc>
          <w:tcPr>
            <w:tcW w:w="1275" w:type="dxa"/>
            <w:tcBorders>
              <w:top w:val="single" w:sz="4" w:space="0" w:color="auto"/>
              <w:left w:val="single" w:sz="4" w:space="0" w:color="auto"/>
              <w:bottom w:val="single" w:sz="4" w:space="0" w:color="auto"/>
              <w:right w:val="single" w:sz="4" w:space="0" w:color="auto"/>
            </w:tcBorders>
          </w:tcPr>
          <w:p w14:paraId="011B9B98"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6754B6FC" w14:textId="76EFB721" w:rsidR="005E50DF" w:rsidRPr="00F768B6" w:rsidRDefault="005E50DF" w:rsidP="005E50DF">
            <w:pPr>
              <w:tabs>
                <w:tab w:val="left" w:pos="360"/>
                <w:tab w:val="left" w:pos="504"/>
              </w:tabs>
              <w:spacing w:before="120"/>
              <w:jc w:val="center"/>
              <w:textAlignment w:val="baseline"/>
              <w:rPr>
                <w:rFonts w:cstheme="majorBidi"/>
              </w:rPr>
            </w:pPr>
            <w:r w:rsidRPr="065BA9F9">
              <w:rPr>
                <w:rFonts w:cstheme="majorBidi"/>
              </w:rPr>
              <w:t>1re classe : 220 €</w:t>
            </w:r>
          </w:p>
          <w:p w14:paraId="37FCCF78" w14:textId="549F2B7A" w:rsidR="005E50DF" w:rsidRPr="00F768B6" w:rsidRDefault="005E50DF" w:rsidP="005E50DF">
            <w:pPr>
              <w:tabs>
                <w:tab w:val="left" w:pos="360"/>
                <w:tab w:val="left" w:pos="504"/>
              </w:tabs>
              <w:spacing w:before="120"/>
              <w:jc w:val="center"/>
              <w:textAlignment w:val="baseline"/>
              <w:rPr>
                <w:rFonts w:cstheme="majorBidi"/>
              </w:rPr>
            </w:pPr>
            <w:r w:rsidRPr="065BA9F9">
              <w:rPr>
                <w:rFonts w:cstheme="majorBidi"/>
              </w:rPr>
              <w:t>2e classe :  110 €</w:t>
            </w:r>
          </w:p>
          <w:p w14:paraId="1A1F14CF" w14:textId="6A55128C" w:rsidR="005E50DF" w:rsidRPr="00F768B6" w:rsidRDefault="005E50DF" w:rsidP="005E50DF">
            <w:pPr>
              <w:tabs>
                <w:tab w:val="left" w:pos="360"/>
                <w:tab w:val="left" w:pos="504"/>
              </w:tabs>
              <w:spacing w:before="120"/>
              <w:jc w:val="center"/>
              <w:textAlignment w:val="baseline"/>
              <w:rPr>
                <w:rFonts w:cstheme="majorBidi"/>
              </w:rPr>
            </w:pPr>
            <w:r w:rsidRPr="065BA9F9">
              <w:rPr>
                <w:rFonts w:cstheme="majorBidi"/>
              </w:rPr>
              <w:t>3e classe :  50 €</w:t>
            </w:r>
          </w:p>
        </w:tc>
        <w:tc>
          <w:tcPr>
            <w:tcW w:w="2268" w:type="dxa"/>
            <w:tcBorders>
              <w:top w:val="single" w:sz="4" w:space="0" w:color="auto"/>
              <w:left w:val="single" w:sz="4" w:space="0" w:color="auto"/>
              <w:bottom w:val="single" w:sz="4" w:space="0" w:color="auto"/>
              <w:right w:val="single" w:sz="4" w:space="0" w:color="auto"/>
            </w:tcBorders>
          </w:tcPr>
          <w:p w14:paraId="11BC0967" w14:textId="087A0276" w:rsidR="005E50DF" w:rsidRDefault="005E50DF" w:rsidP="005E50DF">
            <w:pPr>
              <w:tabs>
                <w:tab w:val="left" w:pos="360"/>
                <w:tab w:val="left" w:pos="504"/>
              </w:tabs>
              <w:spacing w:before="120"/>
              <w:jc w:val="center"/>
              <w:rPr>
                <w:rFonts w:ascii="Cambria" w:eastAsia="Cambria" w:hAnsi="Cambria" w:cs="Cambria"/>
              </w:rPr>
            </w:pPr>
            <w:r w:rsidRPr="065BA9F9">
              <w:rPr>
                <w:rFonts w:ascii="Cambria" w:eastAsia="Cambria" w:hAnsi="Cambria" w:cs="Cambria"/>
              </w:rPr>
              <w:t>1re classe : 274,54 €</w:t>
            </w:r>
          </w:p>
          <w:p w14:paraId="70D066BD" w14:textId="0F3DDA5A" w:rsidR="005E50DF" w:rsidRDefault="005E50DF" w:rsidP="005E50DF">
            <w:pPr>
              <w:tabs>
                <w:tab w:val="left" w:pos="360"/>
                <w:tab w:val="left" w:pos="504"/>
              </w:tabs>
              <w:spacing w:before="120"/>
              <w:jc w:val="center"/>
              <w:rPr>
                <w:rFonts w:ascii="Cambria" w:eastAsia="Cambria" w:hAnsi="Cambria" w:cs="Cambria"/>
              </w:rPr>
            </w:pPr>
            <w:r w:rsidRPr="065BA9F9">
              <w:rPr>
                <w:rFonts w:ascii="Cambria" w:eastAsia="Cambria" w:hAnsi="Cambria" w:cs="Cambria"/>
              </w:rPr>
              <w:t>2e classe : 137,27 €</w:t>
            </w:r>
          </w:p>
          <w:p w14:paraId="2EA4BA9C" w14:textId="6189D4D0" w:rsidR="005E50DF" w:rsidRPr="01C1E901" w:rsidRDefault="005E50DF" w:rsidP="005E50DF">
            <w:pPr>
              <w:tabs>
                <w:tab w:val="left" w:pos="360"/>
                <w:tab w:val="left" w:pos="504"/>
              </w:tabs>
              <w:spacing w:before="120"/>
              <w:jc w:val="center"/>
              <w:rPr>
                <w:rFonts w:ascii="Cambria" w:eastAsia="Cambria" w:hAnsi="Cambria" w:cs="Cambria"/>
              </w:rPr>
            </w:pPr>
            <w:r w:rsidRPr="065BA9F9">
              <w:rPr>
                <w:rFonts w:ascii="Cambria" w:eastAsia="Cambria" w:hAnsi="Cambria" w:cs="Cambria"/>
              </w:rPr>
              <w:t>3e classe : 62,39 €</w:t>
            </w:r>
          </w:p>
        </w:tc>
        <w:tc>
          <w:tcPr>
            <w:tcW w:w="3261" w:type="dxa"/>
            <w:tcBorders>
              <w:top w:val="single" w:sz="4" w:space="0" w:color="auto"/>
              <w:left w:val="single" w:sz="4" w:space="0" w:color="auto"/>
              <w:bottom w:val="single" w:sz="4" w:space="0" w:color="auto"/>
              <w:right w:val="single" w:sz="4" w:space="0" w:color="auto"/>
            </w:tcBorders>
          </w:tcPr>
          <w:p w14:paraId="59AB9B40" w14:textId="62EA93B0"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Par établissement et par an</w:t>
            </w:r>
          </w:p>
        </w:tc>
      </w:tr>
      <w:tr w:rsidR="005E50DF" w:rsidRPr="00F91BDD" w14:paraId="4190BC78" w14:textId="276FC5B6"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BCDA0F9" w14:textId="674B687F" w:rsidR="005E50DF" w:rsidRPr="00F768B6" w:rsidRDefault="005E50DF" w:rsidP="005E50DF">
            <w:pPr>
              <w:pStyle w:val="Titre3"/>
              <w:numPr>
                <w:ilvl w:val="0"/>
                <w:numId w:val="0"/>
              </w:numPr>
              <w:ind w:left="786"/>
            </w:pPr>
            <w:bookmarkStart w:id="5462" w:name="_Toc225504455"/>
            <w:bookmarkStart w:id="5463" w:name="_Toc225772544"/>
            <w:bookmarkStart w:id="5464" w:name="_Toc233626411"/>
            <w:r w:rsidRPr="21B2FD55">
              <w:t>040/364-32 Agences bancaires</w:t>
            </w:r>
            <w:bookmarkEnd w:id="5462"/>
            <w:bookmarkEnd w:id="5463"/>
            <w:bookmarkEnd w:id="5464"/>
          </w:p>
        </w:tc>
        <w:tc>
          <w:tcPr>
            <w:tcW w:w="1275" w:type="dxa"/>
            <w:tcBorders>
              <w:top w:val="single" w:sz="4" w:space="0" w:color="auto"/>
              <w:left w:val="single" w:sz="4" w:space="0" w:color="auto"/>
              <w:bottom w:val="single" w:sz="4" w:space="0" w:color="auto"/>
              <w:right w:val="single" w:sz="4" w:space="0" w:color="auto"/>
            </w:tcBorders>
          </w:tcPr>
          <w:p w14:paraId="0AA53791"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57246EC9" w14:textId="112F9F4E"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500 €/poste de réception</w:t>
            </w:r>
          </w:p>
        </w:tc>
        <w:tc>
          <w:tcPr>
            <w:tcW w:w="2268" w:type="dxa"/>
            <w:tcBorders>
              <w:top w:val="single" w:sz="4" w:space="0" w:color="auto"/>
              <w:left w:val="single" w:sz="4" w:space="0" w:color="auto"/>
              <w:bottom w:val="single" w:sz="4" w:space="0" w:color="auto"/>
              <w:right w:val="single" w:sz="4" w:space="0" w:color="auto"/>
            </w:tcBorders>
          </w:tcPr>
          <w:p w14:paraId="40E1DBFF" w14:textId="15B989BA"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623,95€/poste de réception</w:t>
            </w:r>
          </w:p>
        </w:tc>
        <w:tc>
          <w:tcPr>
            <w:tcW w:w="3261" w:type="dxa"/>
            <w:tcBorders>
              <w:top w:val="single" w:sz="4" w:space="0" w:color="auto"/>
              <w:left w:val="single" w:sz="4" w:space="0" w:color="auto"/>
              <w:bottom w:val="single" w:sz="4" w:space="0" w:color="auto"/>
              <w:right w:val="single" w:sz="4" w:space="0" w:color="auto"/>
            </w:tcBorders>
          </w:tcPr>
          <w:p w14:paraId="06009A55" w14:textId="33A733EA"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Par poste de réception et par an</w:t>
            </w:r>
          </w:p>
        </w:tc>
      </w:tr>
      <w:tr w:rsidR="005E50DF" w:rsidRPr="00F91BDD" w14:paraId="57D6A5A0" w14:textId="602D5FBB"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689B1870" w14:textId="1B156847" w:rsidR="005E50DF" w:rsidRPr="00F768B6" w:rsidRDefault="005E50DF" w:rsidP="005E50DF">
            <w:pPr>
              <w:pStyle w:val="Titre3"/>
              <w:numPr>
                <w:ilvl w:val="0"/>
                <w:numId w:val="0"/>
              </w:numPr>
              <w:ind w:left="786"/>
            </w:pPr>
            <w:bookmarkStart w:id="5465" w:name="_Toc225504456"/>
            <w:bookmarkStart w:id="5466" w:name="_Toc225772545"/>
            <w:bookmarkStart w:id="5467" w:name="_Toc233626412"/>
            <w:r w:rsidRPr="21B2FD55">
              <w:t>040/364-33 Centres d’enfouissement technique</w:t>
            </w:r>
            <w:bookmarkEnd w:id="5465"/>
            <w:bookmarkEnd w:id="5466"/>
            <w:bookmarkEnd w:id="5467"/>
          </w:p>
        </w:tc>
        <w:tc>
          <w:tcPr>
            <w:tcW w:w="1275" w:type="dxa"/>
            <w:tcBorders>
              <w:top w:val="single" w:sz="4" w:space="0" w:color="auto"/>
              <w:left w:val="single" w:sz="4" w:space="0" w:color="auto"/>
              <w:bottom w:val="single" w:sz="4" w:space="0" w:color="auto"/>
              <w:right w:val="single" w:sz="4" w:space="0" w:color="auto"/>
            </w:tcBorders>
          </w:tcPr>
          <w:p w14:paraId="21058084"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indirecte</w:t>
            </w:r>
          </w:p>
        </w:tc>
        <w:tc>
          <w:tcPr>
            <w:tcW w:w="2268" w:type="dxa"/>
            <w:tcBorders>
              <w:top w:val="single" w:sz="4" w:space="0" w:color="auto"/>
              <w:bottom w:val="single" w:sz="4" w:space="0" w:color="auto"/>
            </w:tcBorders>
          </w:tcPr>
          <w:p w14:paraId="6AFF32F3" w14:textId="3723DECF" w:rsidR="005E50DF" w:rsidRPr="00F768B6" w:rsidRDefault="005E50DF" w:rsidP="005E50DF">
            <w:pPr>
              <w:tabs>
                <w:tab w:val="left" w:pos="360"/>
                <w:tab w:val="left" w:pos="504"/>
              </w:tabs>
              <w:spacing w:before="120"/>
              <w:jc w:val="center"/>
              <w:textAlignment w:val="baseline"/>
              <w:rPr>
                <w:rFonts w:cstheme="majorBidi"/>
              </w:rPr>
            </w:pPr>
            <w:r w:rsidRPr="065BA9F9">
              <w:rPr>
                <w:rFonts w:cstheme="majorBidi"/>
              </w:rPr>
              <w:t>Classe 1 : 3,</w:t>
            </w:r>
            <w:r w:rsidR="004A12D6">
              <w:rPr>
                <w:rFonts w:cstheme="majorBidi"/>
              </w:rPr>
              <w:t>6</w:t>
            </w:r>
            <w:r w:rsidRPr="065BA9F9">
              <w:rPr>
                <w:rFonts w:cstheme="majorBidi"/>
              </w:rPr>
              <w:t xml:space="preserve"> – 5,25 €/t</w:t>
            </w:r>
          </w:p>
          <w:p w14:paraId="5B527648" w14:textId="7B613D10"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Classe 2 : 1,7</w:t>
            </w:r>
            <w:r w:rsidR="00E30B2D">
              <w:rPr>
                <w:rFonts w:cstheme="majorHAnsi"/>
                <w:iCs/>
              </w:rPr>
              <w:t>6</w:t>
            </w:r>
            <w:r w:rsidRPr="00F768B6">
              <w:rPr>
                <w:rFonts w:cstheme="majorHAnsi"/>
                <w:iCs/>
              </w:rPr>
              <w:t xml:space="preserve"> – 3,5 €/t</w:t>
            </w:r>
          </w:p>
          <w:p w14:paraId="0590987A"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Classe 3 : 0,65 – 1,75 €/t</w:t>
            </w:r>
          </w:p>
          <w:p w14:paraId="407AFC4A" w14:textId="17363E83"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Classe 5 non taxable</w:t>
            </w:r>
          </w:p>
        </w:tc>
        <w:tc>
          <w:tcPr>
            <w:tcW w:w="2268" w:type="dxa"/>
            <w:tcBorders>
              <w:top w:val="single" w:sz="4" w:space="0" w:color="auto"/>
              <w:left w:val="single" w:sz="4" w:space="0" w:color="auto"/>
              <w:bottom w:val="single" w:sz="4" w:space="0" w:color="auto"/>
              <w:right w:val="single" w:sz="4" w:space="0" w:color="auto"/>
            </w:tcBorders>
          </w:tcPr>
          <w:p w14:paraId="003E9E06" w14:textId="6441C3A7" w:rsidR="005E50DF" w:rsidRPr="005E50DF" w:rsidRDefault="005E50DF" w:rsidP="005E50DF">
            <w:pPr>
              <w:tabs>
                <w:tab w:val="left" w:pos="360"/>
                <w:tab w:val="left" w:pos="504"/>
              </w:tabs>
              <w:spacing w:before="120"/>
              <w:jc w:val="center"/>
              <w:rPr>
                <w:rFonts w:ascii="Cambria" w:eastAsia="Cambria" w:hAnsi="Cambria" w:cs="Cambria"/>
              </w:rPr>
            </w:pPr>
            <w:r w:rsidRPr="005E50DF">
              <w:rPr>
                <w:rFonts w:ascii="Cambria" w:eastAsia="Cambria" w:hAnsi="Cambria" w:cs="Cambria"/>
              </w:rPr>
              <w:t>Classe 1 : 4,3</w:t>
            </w:r>
            <w:r w:rsidR="004A12D6">
              <w:rPr>
                <w:rFonts w:ascii="Cambria" w:eastAsia="Cambria" w:hAnsi="Cambria" w:cs="Cambria"/>
              </w:rPr>
              <w:t>8</w:t>
            </w:r>
            <w:r w:rsidRPr="005E50DF">
              <w:rPr>
                <w:rFonts w:ascii="Cambria" w:eastAsia="Cambria" w:hAnsi="Cambria" w:cs="Cambria"/>
              </w:rPr>
              <w:t>–6,55€/t</w:t>
            </w:r>
          </w:p>
          <w:p w14:paraId="25D43A9F" w14:textId="61C18583"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Classe 2 : 2,1</w:t>
            </w:r>
            <w:r w:rsidR="00E30B2D">
              <w:rPr>
                <w:rFonts w:ascii="Cambria" w:eastAsia="Cambria" w:hAnsi="Cambria" w:cs="Cambria"/>
              </w:rPr>
              <w:t>9</w:t>
            </w:r>
            <w:r w:rsidRPr="42E2FCEB">
              <w:rPr>
                <w:rFonts w:ascii="Cambria" w:eastAsia="Cambria" w:hAnsi="Cambria" w:cs="Cambria"/>
              </w:rPr>
              <w:t>–4,37€/t</w:t>
            </w:r>
          </w:p>
          <w:p w14:paraId="29435715" w14:textId="0B7A9590"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Classe 3 : 0,81–2,18€/t</w:t>
            </w:r>
          </w:p>
          <w:p w14:paraId="5DDDFB71" w14:textId="76528747" w:rsidR="005E50DF" w:rsidRPr="001B1663"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Classe 5 non taxable</w:t>
            </w:r>
          </w:p>
        </w:tc>
        <w:tc>
          <w:tcPr>
            <w:tcW w:w="3261" w:type="dxa"/>
            <w:tcBorders>
              <w:top w:val="single" w:sz="4" w:space="0" w:color="auto"/>
              <w:left w:val="single" w:sz="4" w:space="0" w:color="auto"/>
              <w:bottom w:val="single" w:sz="4" w:space="0" w:color="auto"/>
              <w:right w:val="single" w:sz="4" w:space="0" w:color="auto"/>
            </w:tcBorders>
          </w:tcPr>
          <w:p w14:paraId="47BE7342" w14:textId="4EC510F2"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Par tonne et par an</w:t>
            </w:r>
          </w:p>
        </w:tc>
      </w:tr>
      <w:tr w:rsidR="005E50DF" w:rsidRPr="00F91BDD" w14:paraId="2DE45A7F" w14:textId="70587B26"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609CD752" w14:textId="3DFB3CE6" w:rsidR="005E50DF" w:rsidRPr="00F768B6" w:rsidRDefault="005E50DF" w:rsidP="005E50DF">
            <w:pPr>
              <w:pStyle w:val="Titre3"/>
              <w:numPr>
                <w:ilvl w:val="0"/>
                <w:numId w:val="0"/>
              </w:numPr>
              <w:ind w:left="786"/>
            </w:pPr>
            <w:bookmarkStart w:id="5468" w:name="_Toc225504457"/>
            <w:bookmarkStart w:id="5469" w:name="_Toc225772546"/>
            <w:bookmarkStart w:id="5470" w:name="_Toc233626413"/>
            <w:r w:rsidRPr="21B2FD55">
              <w:t>040/364-34 Logements loués meublés (incl. Airbnb)</w:t>
            </w:r>
            <w:bookmarkEnd w:id="5468"/>
            <w:bookmarkEnd w:id="5469"/>
            <w:bookmarkEnd w:id="5470"/>
          </w:p>
        </w:tc>
        <w:tc>
          <w:tcPr>
            <w:tcW w:w="1275" w:type="dxa"/>
            <w:tcBorders>
              <w:top w:val="single" w:sz="4" w:space="0" w:color="auto"/>
              <w:left w:val="single" w:sz="4" w:space="0" w:color="auto"/>
              <w:bottom w:val="single" w:sz="4" w:space="0" w:color="auto"/>
              <w:right w:val="single" w:sz="4" w:space="0" w:color="auto"/>
            </w:tcBorders>
          </w:tcPr>
          <w:p w14:paraId="7BFD49B7"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6F254D40" w14:textId="1708F84A"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220 €</w:t>
            </w:r>
          </w:p>
        </w:tc>
        <w:tc>
          <w:tcPr>
            <w:tcW w:w="2268" w:type="dxa"/>
            <w:tcBorders>
              <w:top w:val="single" w:sz="4" w:space="0" w:color="auto"/>
              <w:left w:val="single" w:sz="4" w:space="0" w:color="auto"/>
              <w:bottom w:val="single" w:sz="4" w:space="0" w:color="auto"/>
              <w:right w:val="single" w:sz="4" w:space="0" w:color="auto"/>
            </w:tcBorders>
          </w:tcPr>
          <w:p w14:paraId="56106866" w14:textId="22F88689"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274,54 €</w:t>
            </w:r>
          </w:p>
        </w:tc>
        <w:tc>
          <w:tcPr>
            <w:tcW w:w="3261" w:type="dxa"/>
            <w:tcBorders>
              <w:top w:val="single" w:sz="4" w:space="0" w:color="auto"/>
              <w:left w:val="single" w:sz="4" w:space="0" w:color="auto"/>
              <w:bottom w:val="single" w:sz="4" w:space="0" w:color="auto"/>
              <w:right w:val="single" w:sz="4" w:space="0" w:color="auto"/>
            </w:tcBorders>
          </w:tcPr>
          <w:p w14:paraId="0D794849" w14:textId="7E322AE3"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Par logement et par an</w:t>
            </w:r>
          </w:p>
        </w:tc>
      </w:tr>
      <w:tr w:rsidR="005E50DF" w:rsidRPr="00F91BDD" w14:paraId="660139EF" w14:textId="00D6C628"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C708D89" w14:textId="1D38F6C2" w:rsidR="005E50DF" w:rsidRPr="00F768B6" w:rsidRDefault="005E50DF" w:rsidP="005E50DF">
            <w:pPr>
              <w:pStyle w:val="Titre3"/>
              <w:numPr>
                <w:ilvl w:val="0"/>
                <w:numId w:val="0"/>
              </w:numPr>
              <w:ind w:left="786"/>
            </w:pPr>
            <w:bookmarkStart w:id="5471" w:name="_Toc225504458"/>
            <w:bookmarkStart w:id="5472" w:name="_Toc225772547"/>
            <w:bookmarkStart w:id="5473" w:name="_Toc233626414"/>
            <w:r w:rsidRPr="21B2FD55">
              <w:t>04001/364-48 Taxe industrielle compensatoire</w:t>
            </w:r>
            <w:bookmarkEnd w:id="5471"/>
            <w:bookmarkEnd w:id="5472"/>
            <w:bookmarkEnd w:id="5473"/>
          </w:p>
        </w:tc>
        <w:tc>
          <w:tcPr>
            <w:tcW w:w="1275" w:type="dxa"/>
            <w:tcBorders>
              <w:top w:val="single" w:sz="4" w:space="0" w:color="auto"/>
              <w:left w:val="single" w:sz="4" w:space="0" w:color="auto"/>
              <w:bottom w:val="single" w:sz="4" w:space="0" w:color="auto"/>
              <w:right w:val="single" w:sz="4" w:space="0" w:color="auto"/>
            </w:tcBorders>
          </w:tcPr>
          <w:p w14:paraId="74F27A9C" w14:textId="77777777" w:rsidR="005E50DF" w:rsidRPr="00F768B6" w:rsidRDefault="005E50DF" w:rsidP="005E50DF">
            <w:pPr>
              <w:tabs>
                <w:tab w:val="left" w:pos="360"/>
                <w:tab w:val="left" w:pos="504"/>
              </w:tabs>
              <w:spacing w:before="120"/>
              <w:jc w:val="center"/>
              <w:textAlignment w:val="baseline"/>
              <w:rPr>
                <w:rFonts w:cstheme="majorHAnsi"/>
                <w:iCs/>
              </w:rPr>
            </w:pPr>
          </w:p>
        </w:tc>
        <w:tc>
          <w:tcPr>
            <w:tcW w:w="2268" w:type="dxa"/>
            <w:tcBorders>
              <w:top w:val="single" w:sz="4" w:space="0" w:color="auto"/>
              <w:bottom w:val="single" w:sz="4" w:space="0" w:color="auto"/>
            </w:tcBorders>
          </w:tcPr>
          <w:p w14:paraId="0B6A0023" w14:textId="77777777" w:rsidR="005E50DF" w:rsidRPr="00F768B6" w:rsidRDefault="005E50DF" w:rsidP="005E50DF">
            <w:pPr>
              <w:tabs>
                <w:tab w:val="left" w:pos="360"/>
                <w:tab w:val="left" w:pos="504"/>
              </w:tabs>
              <w:spacing w:before="120"/>
              <w:jc w:val="center"/>
              <w:textAlignment w:val="baseline"/>
              <w:rPr>
                <w:rFonts w:cstheme="majorHAnsi"/>
                <w:iCs/>
              </w:rPr>
            </w:pPr>
          </w:p>
        </w:tc>
        <w:tc>
          <w:tcPr>
            <w:tcW w:w="2268" w:type="dxa"/>
            <w:tcBorders>
              <w:top w:val="single" w:sz="4" w:space="0" w:color="auto"/>
              <w:left w:val="single" w:sz="4" w:space="0" w:color="auto"/>
              <w:bottom w:val="single" w:sz="4" w:space="0" w:color="auto"/>
              <w:right w:val="single" w:sz="4" w:space="0" w:color="auto"/>
            </w:tcBorders>
          </w:tcPr>
          <w:p w14:paraId="7B76674B" w14:textId="506A6E2D" w:rsidR="005E50DF" w:rsidRPr="01C1E901" w:rsidRDefault="005E50DF" w:rsidP="005E50D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4A7C9165" w14:textId="77777777" w:rsidR="005E50DF" w:rsidRPr="00F768B6" w:rsidRDefault="005E50DF" w:rsidP="005E50DF">
            <w:pPr>
              <w:tabs>
                <w:tab w:val="left" w:pos="360"/>
                <w:tab w:val="left" w:pos="504"/>
              </w:tabs>
              <w:spacing w:before="120"/>
              <w:jc w:val="center"/>
              <w:textAlignment w:val="baseline"/>
              <w:rPr>
                <w:rFonts w:cstheme="majorHAnsi"/>
                <w:iCs/>
              </w:rPr>
            </w:pPr>
          </w:p>
        </w:tc>
      </w:tr>
      <w:tr w:rsidR="005E50DF" w:rsidRPr="00F91BDD" w14:paraId="296F1504" w14:textId="27E2B79F"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58187B63" w14:textId="5A1CA83D" w:rsidR="005E50DF" w:rsidRPr="00F768B6" w:rsidRDefault="005E50DF" w:rsidP="005E50DF">
            <w:pPr>
              <w:pStyle w:val="Titre3"/>
              <w:numPr>
                <w:ilvl w:val="0"/>
                <w:numId w:val="0"/>
              </w:numPr>
              <w:ind w:left="786"/>
            </w:pPr>
            <w:bookmarkStart w:id="5474" w:name="_Toc225504459"/>
            <w:bookmarkStart w:id="5475" w:name="_Toc225772548"/>
            <w:bookmarkStart w:id="5476" w:name="_Toc233626415"/>
            <w:r w:rsidRPr="21B2FD55">
              <w:t>04002/364-48 Commerce de frites &amp; petite restauration à emporter</w:t>
            </w:r>
            <w:bookmarkEnd w:id="5474"/>
            <w:bookmarkEnd w:id="5475"/>
            <w:bookmarkEnd w:id="5476"/>
          </w:p>
        </w:tc>
        <w:tc>
          <w:tcPr>
            <w:tcW w:w="1275" w:type="dxa"/>
            <w:tcBorders>
              <w:top w:val="single" w:sz="4" w:space="0" w:color="auto"/>
              <w:left w:val="single" w:sz="4" w:space="0" w:color="auto"/>
              <w:bottom w:val="single" w:sz="4" w:space="0" w:color="auto"/>
              <w:right w:val="single" w:sz="4" w:space="0" w:color="auto"/>
            </w:tcBorders>
          </w:tcPr>
          <w:p w14:paraId="3E425E94"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55B31175" w14:textId="4E29FA69"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1.150 €/an</w:t>
            </w:r>
          </w:p>
        </w:tc>
        <w:tc>
          <w:tcPr>
            <w:tcW w:w="2268" w:type="dxa"/>
            <w:tcBorders>
              <w:top w:val="single" w:sz="4" w:space="0" w:color="auto"/>
              <w:left w:val="single" w:sz="4" w:space="0" w:color="auto"/>
              <w:bottom w:val="single" w:sz="4" w:space="0" w:color="auto"/>
              <w:right w:val="single" w:sz="4" w:space="0" w:color="auto"/>
            </w:tcBorders>
          </w:tcPr>
          <w:p w14:paraId="706915E7" w14:textId="42B38EFC"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1.435,08€/an</w:t>
            </w:r>
          </w:p>
        </w:tc>
        <w:tc>
          <w:tcPr>
            <w:tcW w:w="3261" w:type="dxa"/>
            <w:tcBorders>
              <w:top w:val="single" w:sz="4" w:space="0" w:color="auto"/>
              <w:left w:val="single" w:sz="4" w:space="0" w:color="auto"/>
              <w:bottom w:val="single" w:sz="4" w:space="0" w:color="auto"/>
              <w:right w:val="single" w:sz="4" w:space="0" w:color="auto"/>
            </w:tcBorders>
          </w:tcPr>
          <w:p w14:paraId="3FAB0B3B" w14:textId="6B9DFD8A"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Par commerce et par an</w:t>
            </w:r>
          </w:p>
        </w:tc>
      </w:tr>
      <w:tr w:rsidR="005E50DF" w:rsidRPr="00F91BDD" w14:paraId="344D8296" w14:textId="1FDAA051"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58610C6" w14:textId="4B8D2F5A" w:rsidR="005E50DF" w:rsidRPr="00F768B6" w:rsidRDefault="005E50DF" w:rsidP="005E50DF">
            <w:pPr>
              <w:pStyle w:val="Titre3"/>
              <w:numPr>
                <w:ilvl w:val="0"/>
                <w:numId w:val="0"/>
              </w:numPr>
              <w:ind w:left="786"/>
            </w:pPr>
            <w:bookmarkStart w:id="5477" w:name="_Toc225504460"/>
            <w:bookmarkStart w:id="5478" w:name="_Toc225772549"/>
            <w:bookmarkStart w:id="5479" w:name="_Toc233626416"/>
            <w:r w:rsidRPr="21B2FD55">
              <w:t>04003/364-48 Loges foraines et loges mobiles</w:t>
            </w:r>
            <w:bookmarkEnd w:id="5477"/>
            <w:bookmarkEnd w:id="5478"/>
            <w:bookmarkEnd w:id="5479"/>
          </w:p>
        </w:tc>
        <w:tc>
          <w:tcPr>
            <w:tcW w:w="1275" w:type="dxa"/>
            <w:tcBorders>
              <w:top w:val="single" w:sz="4" w:space="0" w:color="auto"/>
              <w:left w:val="single" w:sz="4" w:space="0" w:color="auto"/>
              <w:bottom w:val="single" w:sz="4" w:space="0" w:color="auto"/>
              <w:right w:val="single" w:sz="4" w:space="0" w:color="auto"/>
            </w:tcBorders>
          </w:tcPr>
          <w:p w14:paraId="233E3900"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indirecte</w:t>
            </w:r>
          </w:p>
        </w:tc>
        <w:tc>
          <w:tcPr>
            <w:tcW w:w="2268" w:type="dxa"/>
            <w:tcBorders>
              <w:top w:val="single" w:sz="4" w:space="0" w:color="auto"/>
              <w:bottom w:val="single" w:sz="4" w:space="0" w:color="auto"/>
            </w:tcBorders>
          </w:tcPr>
          <w:p w14:paraId="281383C2" w14:textId="3B786B95"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4,50 €/m²/j</w:t>
            </w:r>
          </w:p>
        </w:tc>
        <w:tc>
          <w:tcPr>
            <w:tcW w:w="2268" w:type="dxa"/>
            <w:tcBorders>
              <w:top w:val="single" w:sz="4" w:space="0" w:color="auto"/>
              <w:left w:val="single" w:sz="4" w:space="0" w:color="auto"/>
              <w:bottom w:val="single" w:sz="4" w:space="0" w:color="auto"/>
              <w:right w:val="single" w:sz="4" w:space="0" w:color="auto"/>
            </w:tcBorders>
          </w:tcPr>
          <w:p w14:paraId="2D3AD3DE" w14:textId="633157C9"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5,62 €/m²/j</w:t>
            </w:r>
          </w:p>
        </w:tc>
        <w:tc>
          <w:tcPr>
            <w:tcW w:w="3261" w:type="dxa"/>
            <w:tcBorders>
              <w:top w:val="single" w:sz="4" w:space="0" w:color="auto"/>
              <w:left w:val="single" w:sz="4" w:space="0" w:color="auto"/>
              <w:bottom w:val="single" w:sz="4" w:space="0" w:color="auto"/>
              <w:right w:val="single" w:sz="4" w:space="0" w:color="auto"/>
            </w:tcBorders>
          </w:tcPr>
          <w:p w14:paraId="2144FAA6" w14:textId="7CC945E6" w:rsidR="005E50DF" w:rsidRPr="00F768B6" w:rsidRDefault="005E50DF" w:rsidP="005E50DF">
            <w:pPr>
              <w:tabs>
                <w:tab w:val="left" w:pos="360"/>
                <w:tab w:val="left" w:pos="504"/>
              </w:tabs>
              <w:spacing w:before="120"/>
              <w:jc w:val="center"/>
              <w:textAlignment w:val="baseline"/>
              <w:rPr>
                <w:rFonts w:cstheme="majorBidi"/>
              </w:rPr>
            </w:pPr>
            <w:r w:rsidRPr="065BA9F9">
              <w:rPr>
                <w:rFonts w:cstheme="majorBidi"/>
              </w:rPr>
              <w:t>Par m2 de loge et par jour</w:t>
            </w:r>
          </w:p>
        </w:tc>
      </w:tr>
      <w:tr w:rsidR="005E50DF" w:rsidRPr="00F91BDD" w14:paraId="22A626BD" w14:textId="6E50871F"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1C9789D7" w14:textId="67B21824" w:rsidR="005E50DF" w:rsidRPr="00F768B6" w:rsidRDefault="005E50DF" w:rsidP="005E50DF">
            <w:pPr>
              <w:pStyle w:val="Titre3"/>
              <w:numPr>
                <w:ilvl w:val="0"/>
                <w:numId w:val="0"/>
              </w:numPr>
              <w:ind w:left="786"/>
            </w:pPr>
            <w:bookmarkStart w:id="5480" w:name="_Toc225504461"/>
            <w:bookmarkStart w:id="5481" w:name="_Toc225772550"/>
            <w:bookmarkStart w:id="5482" w:name="_Toc233626417"/>
            <w:r w:rsidRPr="21B2FD55">
              <w:lastRenderedPageBreak/>
              <w:t>04004/364-48 Commerces de nuit</w:t>
            </w:r>
            <w:bookmarkEnd w:id="5480"/>
            <w:bookmarkEnd w:id="5481"/>
            <w:bookmarkEnd w:id="5482"/>
          </w:p>
        </w:tc>
        <w:tc>
          <w:tcPr>
            <w:tcW w:w="1275" w:type="dxa"/>
            <w:tcBorders>
              <w:top w:val="single" w:sz="4" w:space="0" w:color="auto"/>
              <w:left w:val="single" w:sz="4" w:space="0" w:color="auto"/>
              <w:bottom w:val="single" w:sz="4" w:space="0" w:color="auto"/>
              <w:right w:val="single" w:sz="4" w:space="0" w:color="auto"/>
            </w:tcBorders>
          </w:tcPr>
          <w:p w14:paraId="7C8FAC4F"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15C3FA04"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25 €/m²</w:t>
            </w:r>
          </w:p>
          <w:p w14:paraId="1A5B187D"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Plafond 3.350 €</w:t>
            </w:r>
          </w:p>
          <w:p w14:paraId="4AD834F7" w14:textId="1F344ECC" w:rsidR="005E50DF" w:rsidRPr="00F768B6" w:rsidRDefault="005E50DF" w:rsidP="005E50DF">
            <w:pPr>
              <w:tabs>
                <w:tab w:val="left" w:pos="360"/>
                <w:tab w:val="left" w:pos="504"/>
              </w:tabs>
              <w:spacing w:before="120"/>
              <w:jc w:val="center"/>
              <w:textAlignment w:val="baseline"/>
              <w:rPr>
                <w:rFonts w:cstheme="majorBidi"/>
              </w:rPr>
            </w:pPr>
            <w:r w:rsidRPr="065BA9F9">
              <w:rPr>
                <w:rFonts w:cstheme="majorBidi"/>
              </w:rPr>
              <w:t>&lt;50 m² : forfait 1.000 €</w:t>
            </w:r>
          </w:p>
        </w:tc>
        <w:tc>
          <w:tcPr>
            <w:tcW w:w="2268" w:type="dxa"/>
            <w:tcBorders>
              <w:top w:val="single" w:sz="4" w:space="0" w:color="auto"/>
              <w:left w:val="single" w:sz="4" w:space="0" w:color="auto"/>
              <w:bottom w:val="single" w:sz="4" w:space="0" w:color="auto"/>
              <w:right w:val="single" w:sz="4" w:space="0" w:color="auto"/>
            </w:tcBorders>
          </w:tcPr>
          <w:p w14:paraId="04C37886" w14:textId="54612BD9"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31,20€/m²</w:t>
            </w:r>
          </w:p>
          <w:p w14:paraId="155E2D18" w14:textId="07B5D9FE"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Plafond 4.180,46 €</w:t>
            </w:r>
          </w:p>
          <w:p w14:paraId="31EBDC37" w14:textId="27B87A01"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&lt;50 m² : forfait 1.247,9 €</w:t>
            </w:r>
          </w:p>
        </w:tc>
        <w:tc>
          <w:tcPr>
            <w:tcW w:w="3261" w:type="dxa"/>
            <w:tcBorders>
              <w:top w:val="single" w:sz="4" w:space="0" w:color="auto"/>
              <w:left w:val="single" w:sz="4" w:space="0" w:color="auto"/>
              <w:bottom w:val="single" w:sz="4" w:space="0" w:color="auto"/>
              <w:right w:val="single" w:sz="4" w:space="0" w:color="auto"/>
            </w:tcBorders>
          </w:tcPr>
          <w:p w14:paraId="225CA1C8" w14:textId="3F246495"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Par m2 d’établissement et par an</w:t>
            </w:r>
          </w:p>
        </w:tc>
      </w:tr>
      <w:tr w:rsidR="005E50DF" w:rsidRPr="00F91BDD" w14:paraId="579CA241" w14:textId="56B73053"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5B28D376" w14:textId="05C8BFAF" w:rsidR="005E50DF" w:rsidRPr="00F768B6" w:rsidRDefault="005E50DF" w:rsidP="005E50DF">
            <w:pPr>
              <w:pStyle w:val="Titre3"/>
              <w:numPr>
                <w:ilvl w:val="0"/>
                <w:numId w:val="0"/>
              </w:numPr>
              <w:ind w:left="786"/>
            </w:pPr>
            <w:bookmarkStart w:id="5483" w:name="_Toc225504462"/>
            <w:bookmarkStart w:id="5484" w:name="_Toc225772551"/>
            <w:bookmarkStart w:id="5485" w:name="_Toc233626418"/>
            <w:r w:rsidRPr="21B2FD55">
              <w:t>04005/364-48 Phone shops</w:t>
            </w:r>
            <w:bookmarkEnd w:id="5483"/>
            <w:bookmarkEnd w:id="5484"/>
            <w:bookmarkEnd w:id="5485"/>
          </w:p>
        </w:tc>
        <w:tc>
          <w:tcPr>
            <w:tcW w:w="1275" w:type="dxa"/>
            <w:tcBorders>
              <w:top w:val="single" w:sz="4" w:space="0" w:color="auto"/>
              <w:left w:val="single" w:sz="4" w:space="0" w:color="auto"/>
              <w:bottom w:val="single" w:sz="4" w:space="0" w:color="auto"/>
              <w:right w:val="single" w:sz="4" w:space="0" w:color="auto"/>
            </w:tcBorders>
          </w:tcPr>
          <w:p w14:paraId="4845358D"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7B1FF924"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25 €/m²</w:t>
            </w:r>
          </w:p>
          <w:p w14:paraId="14A5D4D0"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Plafond 3.350 €</w:t>
            </w:r>
          </w:p>
          <w:p w14:paraId="10D1141C" w14:textId="38E1F76B"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&lt;50 m² : forfait 1.000 €</w:t>
            </w:r>
          </w:p>
        </w:tc>
        <w:tc>
          <w:tcPr>
            <w:tcW w:w="2268" w:type="dxa"/>
            <w:tcBorders>
              <w:top w:val="single" w:sz="4" w:space="0" w:color="auto"/>
              <w:left w:val="single" w:sz="4" w:space="0" w:color="auto"/>
              <w:bottom w:val="single" w:sz="4" w:space="0" w:color="auto"/>
              <w:right w:val="single" w:sz="4" w:space="0" w:color="auto"/>
            </w:tcBorders>
          </w:tcPr>
          <w:p w14:paraId="6AFC4072" w14:textId="3064840C"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31,20€/m²</w:t>
            </w:r>
          </w:p>
          <w:p w14:paraId="1BA9A1F2" w14:textId="3221DECB"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Plafond 4.180,46 €</w:t>
            </w:r>
          </w:p>
          <w:p w14:paraId="32A58948" w14:textId="2E4E82D5"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&lt;50 m² : forfait 1.247,9 €</w:t>
            </w:r>
          </w:p>
        </w:tc>
        <w:tc>
          <w:tcPr>
            <w:tcW w:w="3261" w:type="dxa"/>
            <w:tcBorders>
              <w:top w:val="single" w:sz="4" w:space="0" w:color="auto"/>
              <w:left w:val="single" w:sz="4" w:space="0" w:color="auto"/>
              <w:bottom w:val="single" w:sz="4" w:space="0" w:color="auto"/>
              <w:right w:val="single" w:sz="4" w:space="0" w:color="auto"/>
            </w:tcBorders>
          </w:tcPr>
          <w:p w14:paraId="4CC5C29C" w14:textId="38B1FB38"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Par m2 d’établissement et par an</w:t>
            </w:r>
          </w:p>
        </w:tc>
      </w:tr>
      <w:tr w:rsidR="005E50DF" w:rsidRPr="00F91BDD" w14:paraId="33E5521B" w14:textId="59C7A812"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F0981A3" w14:textId="1592813A" w:rsidR="005E50DF" w:rsidRPr="00F768B6" w:rsidRDefault="005E50DF" w:rsidP="005E50DF">
            <w:pPr>
              <w:pStyle w:val="Titre3"/>
              <w:numPr>
                <w:ilvl w:val="0"/>
                <w:numId w:val="0"/>
              </w:numPr>
              <w:ind w:left="786"/>
            </w:pPr>
            <w:bookmarkStart w:id="5486" w:name="_Toc225504463"/>
            <w:bookmarkStart w:id="5487" w:name="_Toc225772552"/>
            <w:bookmarkStart w:id="5488" w:name="_Toc233626419"/>
            <w:r w:rsidRPr="21B2FD55">
              <w:t>04006/364-48 Exploitation de parkings payants</w:t>
            </w:r>
            <w:bookmarkEnd w:id="5486"/>
            <w:bookmarkEnd w:id="5487"/>
            <w:bookmarkEnd w:id="5488"/>
          </w:p>
        </w:tc>
        <w:tc>
          <w:tcPr>
            <w:tcW w:w="1275" w:type="dxa"/>
            <w:tcBorders>
              <w:top w:val="single" w:sz="4" w:space="0" w:color="auto"/>
              <w:left w:val="single" w:sz="4" w:space="0" w:color="auto"/>
              <w:bottom w:val="single" w:sz="4" w:space="0" w:color="auto"/>
              <w:right w:val="single" w:sz="4" w:space="0" w:color="auto"/>
            </w:tcBorders>
          </w:tcPr>
          <w:p w14:paraId="1ABF24E1"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71E26C8E" w14:textId="4FDDA521"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112 €/emplacement/an</w:t>
            </w:r>
          </w:p>
        </w:tc>
        <w:tc>
          <w:tcPr>
            <w:tcW w:w="2268" w:type="dxa"/>
            <w:tcBorders>
              <w:top w:val="single" w:sz="4" w:space="0" w:color="auto"/>
              <w:left w:val="single" w:sz="4" w:space="0" w:color="auto"/>
              <w:bottom w:val="single" w:sz="4" w:space="0" w:color="auto"/>
              <w:right w:val="single" w:sz="4" w:space="0" w:color="auto"/>
            </w:tcBorders>
          </w:tcPr>
          <w:p w14:paraId="01086481" w14:textId="748900A7"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139,76 €/emplacement/an</w:t>
            </w:r>
          </w:p>
        </w:tc>
        <w:tc>
          <w:tcPr>
            <w:tcW w:w="3261" w:type="dxa"/>
            <w:tcBorders>
              <w:top w:val="single" w:sz="4" w:space="0" w:color="auto"/>
              <w:left w:val="single" w:sz="4" w:space="0" w:color="auto"/>
              <w:bottom w:val="single" w:sz="4" w:space="0" w:color="auto"/>
              <w:right w:val="single" w:sz="4" w:space="0" w:color="auto"/>
            </w:tcBorders>
          </w:tcPr>
          <w:p w14:paraId="5B87ACBA" w14:textId="1E1188B8"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Par emplacement et par an</w:t>
            </w:r>
          </w:p>
        </w:tc>
      </w:tr>
      <w:tr w:rsidR="005E50DF" w:rsidRPr="00F91BDD" w14:paraId="48DCACDE" w14:textId="7EFA54E0"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7F8BA12F" w14:textId="66AEC8D6" w:rsidR="005E50DF" w:rsidRPr="00F768B6" w:rsidRDefault="005E50DF" w:rsidP="005E50DF">
            <w:pPr>
              <w:pStyle w:val="Titre3"/>
              <w:numPr>
                <w:ilvl w:val="0"/>
                <w:numId w:val="0"/>
              </w:numPr>
              <w:ind w:left="786"/>
            </w:pPr>
            <w:bookmarkStart w:id="5489" w:name="_Toc225504464"/>
            <w:bookmarkStart w:id="5490" w:name="_Toc225772553"/>
            <w:bookmarkStart w:id="5491" w:name="_Toc233626420"/>
            <w:r w:rsidRPr="21B2FD55">
              <w:t>04007/364-48 Cannabis shops (CBD)</w:t>
            </w:r>
            <w:bookmarkEnd w:id="5489"/>
            <w:bookmarkEnd w:id="5490"/>
            <w:bookmarkEnd w:id="5491"/>
          </w:p>
        </w:tc>
        <w:tc>
          <w:tcPr>
            <w:tcW w:w="1275" w:type="dxa"/>
            <w:tcBorders>
              <w:top w:val="single" w:sz="4" w:space="0" w:color="auto"/>
              <w:left w:val="single" w:sz="4" w:space="0" w:color="auto"/>
              <w:bottom w:val="single" w:sz="4" w:space="0" w:color="auto"/>
              <w:right w:val="single" w:sz="4" w:space="0" w:color="auto"/>
            </w:tcBorders>
          </w:tcPr>
          <w:p w14:paraId="2AB37DF0"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0514B3FD"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25 €/m²</w:t>
            </w:r>
          </w:p>
          <w:p w14:paraId="0649B1F4"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Plafond 3.350 €</w:t>
            </w:r>
          </w:p>
          <w:p w14:paraId="34417E6D" w14:textId="543C843A"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&lt;50 m² : forfait 1.000 €</w:t>
            </w:r>
          </w:p>
        </w:tc>
        <w:tc>
          <w:tcPr>
            <w:tcW w:w="2268" w:type="dxa"/>
            <w:tcBorders>
              <w:top w:val="single" w:sz="4" w:space="0" w:color="auto"/>
              <w:left w:val="single" w:sz="4" w:space="0" w:color="auto"/>
              <w:bottom w:val="single" w:sz="4" w:space="0" w:color="auto"/>
              <w:right w:val="single" w:sz="4" w:space="0" w:color="auto"/>
            </w:tcBorders>
          </w:tcPr>
          <w:p w14:paraId="7AAD1DDD" w14:textId="532EAAA3"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31,20€/m²</w:t>
            </w:r>
          </w:p>
          <w:p w14:paraId="45ACCC36" w14:textId="57EB7EFA"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Plafond 4.180,46 €</w:t>
            </w:r>
          </w:p>
          <w:p w14:paraId="2DE029D2" w14:textId="1B4AA803"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&lt;50 m² : forfait 1.247,9 €</w:t>
            </w:r>
          </w:p>
        </w:tc>
        <w:tc>
          <w:tcPr>
            <w:tcW w:w="3261" w:type="dxa"/>
            <w:tcBorders>
              <w:top w:val="single" w:sz="4" w:space="0" w:color="auto"/>
              <w:left w:val="single" w:sz="4" w:space="0" w:color="auto"/>
              <w:bottom w:val="single" w:sz="4" w:space="0" w:color="auto"/>
              <w:right w:val="single" w:sz="4" w:space="0" w:color="auto"/>
            </w:tcBorders>
          </w:tcPr>
          <w:p w14:paraId="6497187F" w14:textId="20B3A7B5"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Par m2 d’établissement et par an</w:t>
            </w:r>
          </w:p>
        </w:tc>
      </w:tr>
      <w:tr w:rsidR="005E50DF" w:rsidRPr="00F91BDD" w14:paraId="3500BB7E" w14:textId="1393BB8C"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54E097CA" w14:textId="27AB0D32" w:rsidR="005E50DF" w:rsidRPr="00F768B6" w:rsidRDefault="005E50DF" w:rsidP="005E50DF">
            <w:pPr>
              <w:pStyle w:val="Titre3"/>
              <w:numPr>
                <w:ilvl w:val="0"/>
                <w:numId w:val="0"/>
              </w:numPr>
              <w:ind w:left="786"/>
            </w:pPr>
            <w:bookmarkStart w:id="5492" w:name="_Toc225504465"/>
            <w:bookmarkStart w:id="5493" w:name="_Toc225772554"/>
            <w:bookmarkStart w:id="5494" w:name="_Toc233626421"/>
            <w:r w:rsidRPr="21B2FD55">
              <w:t>04008/364-48 Bars à chichas / pipes à eau</w:t>
            </w:r>
            <w:bookmarkEnd w:id="5492"/>
            <w:bookmarkEnd w:id="5493"/>
            <w:bookmarkEnd w:id="5494"/>
          </w:p>
          <w:p w14:paraId="472C03BD" w14:textId="77777777" w:rsidR="005E50DF" w:rsidRPr="00F768B6" w:rsidRDefault="005E50DF" w:rsidP="005E50DF">
            <w:pPr>
              <w:jc w:val="center"/>
              <w:rPr>
                <w:rFonts w:cstheme="majorHAnsi"/>
              </w:rPr>
            </w:pPr>
          </w:p>
        </w:tc>
        <w:tc>
          <w:tcPr>
            <w:tcW w:w="1275" w:type="dxa"/>
            <w:tcBorders>
              <w:top w:val="single" w:sz="4" w:space="0" w:color="auto"/>
              <w:left w:val="single" w:sz="4" w:space="0" w:color="auto"/>
              <w:bottom w:val="single" w:sz="4" w:space="0" w:color="auto"/>
              <w:right w:val="single" w:sz="4" w:space="0" w:color="auto"/>
            </w:tcBorders>
          </w:tcPr>
          <w:p w14:paraId="7E983DF3"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30A993D1"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25 €/m²</w:t>
            </w:r>
          </w:p>
          <w:p w14:paraId="74987E3B"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Plafond 3.350 €</w:t>
            </w:r>
          </w:p>
          <w:p w14:paraId="2B718EE4" w14:textId="192F9E50"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&lt;50 m² : forfait 1.000 €</w:t>
            </w:r>
          </w:p>
        </w:tc>
        <w:tc>
          <w:tcPr>
            <w:tcW w:w="2268" w:type="dxa"/>
            <w:tcBorders>
              <w:top w:val="single" w:sz="4" w:space="0" w:color="auto"/>
              <w:left w:val="single" w:sz="4" w:space="0" w:color="auto"/>
              <w:bottom w:val="single" w:sz="4" w:space="0" w:color="auto"/>
              <w:right w:val="single" w:sz="4" w:space="0" w:color="auto"/>
            </w:tcBorders>
          </w:tcPr>
          <w:p w14:paraId="752F67D7" w14:textId="2F32D8EF"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31,20€/m²</w:t>
            </w:r>
          </w:p>
          <w:p w14:paraId="0775FF97" w14:textId="36A58488"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Plafond 4.180,46 €</w:t>
            </w:r>
          </w:p>
          <w:p w14:paraId="29BCB945" w14:textId="0365C41D"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&lt;50 m² : forfait 1.247,9 €</w:t>
            </w:r>
          </w:p>
        </w:tc>
        <w:tc>
          <w:tcPr>
            <w:tcW w:w="3261" w:type="dxa"/>
            <w:tcBorders>
              <w:top w:val="single" w:sz="4" w:space="0" w:color="auto"/>
              <w:left w:val="single" w:sz="4" w:space="0" w:color="auto"/>
              <w:bottom w:val="single" w:sz="4" w:space="0" w:color="auto"/>
              <w:right w:val="single" w:sz="4" w:space="0" w:color="auto"/>
            </w:tcBorders>
          </w:tcPr>
          <w:p w14:paraId="258EA38E" w14:textId="739AB9C6"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Par m2 d’établissement et par an</w:t>
            </w:r>
          </w:p>
        </w:tc>
      </w:tr>
      <w:tr w:rsidR="005E50DF" w:rsidRPr="00F91BDD" w14:paraId="69672F5A" w14:textId="6C25532D"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78259362" w14:textId="0A836195" w:rsidR="005E50DF" w:rsidRPr="00F768B6" w:rsidRDefault="005E50DF" w:rsidP="005E50DF">
            <w:pPr>
              <w:pStyle w:val="Titre3"/>
            </w:pPr>
            <w:bookmarkStart w:id="5495" w:name="_Toc225504466"/>
            <w:bookmarkStart w:id="5496" w:name="_Toc225772555"/>
            <w:bookmarkStart w:id="5497" w:name="_Toc233626422"/>
            <w:r w:rsidRPr="21B2FD55">
              <w:t>040/365 Taxe sur les spectacles et divertissements</w:t>
            </w:r>
            <w:bookmarkEnd w:id="5495"/>
            <w:bookmarkEnd w:id="5496"/>
            <w:bookmarkEnd w:id="5497"/>
          </w:p>
          <w:p w14:paraId="549402CC" w14:textId="77777777" w:rsidR="005E50DF" w:rsidRPr="00F768B6" w:rsidRDefault="005E50DF" w:rsidP="005E50DF">
            <w:pPr>
              <w:jc w:val="center"/>
              <w:rPr>
                <w:rFonts w:cstheme="majorHAnsi"/>
              </w:rPr>
            </w:pPr>
          </w:p>
        </w:tc>
        <w:tc>
          <w:tcPr>
            <w:tcW w:w="1275" w:type="dxa"/>
            <w:tcBorders>
              <w:top w:val="single" w:sz="4" w:space="0" w:color="auto"/>
              <w:left w:val="single" w:sz="4" w:space="0" w:color="auto"/>
              <w:bottom w:val="single" w:sz="4" w:space="0" w:color="auto"/>
              <w:right w:val="single" w:sz="4" w:space="0" w:color="auto"/>
            </w:tcBorders>
          </w:tcPr>
          <w:p w14:paraId="4D3C310A" w14:textId="77777777" w:rsidR="005E50DF" w:rsidRPr="00F768B6" w:rsidRDefault="005E50DF" w:rsidP="005E50DF">
            <w:pPr>
              <w:tabs>
                <w:tab w:val="left" w:pos="360"/>
                <w:tab w:val="left" w:pos="504"/>
              </w:tabs>
              <w:spacing w:before="120"/>
              <w:jc w:val="center"/>
              <w:textAlignment w:val="baseline"/>
              <w:rPr>
                <w:rFonts w:cstheme="majorHAnsi"/>
                <w:iCs/>
              </w:rPr>
            </w:pPr>
          </w:p>
        </w:tc>
        <w:tc>
          <w:tcPr>
            <w:tcW w:w="2268" w:type="dxa"/>
            <w:tcBorders>
              <w:top w:val="single" w:sz="4" w:space="0" w:color="auto"/>
              <w:bottom w:val="single" w:sz="4" w:space="0" w:color="auto"/>
            </w:tcBorders>
          </w:tcPr>
          <w:p w14:paraId="5545382B" w14:textId="77777777" w:rsidR="005E50DF" w:rsidRPr="00F768B6" w:rsidRDefault="005E50DF" w:rsidP="005E50DF">
            <w:pPr>
              <w:tabs>
                <w:tab w:val="left" w:pos="360"/>
                <w:tab w:val="left" w:pos="504"/>
              </w:tabs>
              <w:spacing w:before="120"/>
              <w:jc w:val="center"/>
              <w:textAlignment w:val="baseline"/>
              <w:rPr>
                <w:rFonts w:cstheme="majorHAnsi"/>
                <w:iCs/>
              </w:rPr>
            </w:pPr>
          </w:p>
        </w:tc>
        <w:tc>
          <w:tcPr>
            <w:tcW w:w="2268" w:type="dxa"/>
            <w:tcBorders>
              <w:top w:val="single" w:sz="4" w:space="0" w:color="auto"/>
              <w:left w:val="single" w:sz="4" w:space="0" w:color="auto"/>
              <w:bottom w:val="single" w:sz="4" w:space="0" w:color="auto"/>
              <w:right w:val="single" w:sz="4" w:space="0" w:color="auto"/>
            </w:tcBorders>
          </w:tcPr>
          <w:p w14:paraId="05C7A1C7" w14:textId="21B6C28D" w:rsidR="005E50DF" w:rsidRPr="01C1E901" w:rsidRDefault="005E50DF" w:rsidP="005E50D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6EF4E852" w14:textId="77777777" w:rsidR="005E50DF" w:rsidRPr="00F768B6" w:rsidRDefault="005E50DF" w:rsidP="005E50DF">
            <w:pPr>
              <w:tabs>
                <w:tab w:val="left" w:pos="360"/>
                <w:tab w:val="left" w:pos="504"/>
              </w:tabs>
              <w:spacing w:before="120"/>
              <w:jc w:val="center"/>
              <w:textAlignment w:val="baseline"/>
              <w:rPr>
                <w:rFonts w:cstheme="majorHAnsi"/>
                <w:iCs/>
              </w:rPr>
            </w:pPr>
          </w:p>
        </w:tc>
      </w:tr>
      <w:tr w:rsidR="005E50DF" w:rsidRPr="00F91BDD" w14:paraId="75138453" w14:textId="44817F1C"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369091B2" w14:textId="004F65F6" w:rsidR="005E50DF" w:rsidRPr="00F768B6" w:rsidRDefault="005E50DF" w:rsidP="005E50DF">
            <w:pPr>
              <w:pStyle w:val="Titre3"/>
              <w:numPr>
                <w:ilvl w:val="0"/>
                <w:numId w:val="0"/>
              </w:numPr>
              <w:ind w:left="786"/>
            </w:pPr>
            <w:bookmarkStart w:id="5498" w:name="_Toc225504467"/>
            <w:bookmarkStart w:id="5499" w:name="_Toc225772556"/>
            <w:bookmarkStart w:id="5500" w:name="_Toc233626423"/>
            <w:r w:rsidRPr="21B2FD55">
              <w:t>040/365-01 Spectacles et divertissements</w:t>
            </w:r>
            <w:bookmarkEnd w:id="5498"/>
            <w:bookmarkEnd w:id="5499"/>
            <w:bookmarkEnd w:id="5500"/>
          </w:p>
        </w:tc>
        <w:tc>
          <w:tcPr>
            <w:tcW w:w="1275" w:type="dxa"/>
            <w:tcBorders>
              <w:top w:val="single" w:sz="4" w:space="0" w:color="auto"/>
              <w:left w:val="single" w:sz="4" w:space="0" w:color="auto"/>
              <w:bottom w:val="single" w:sz="4" w:space="0" w:color="auto"/>
              <w:right w:val="single" w:sz="4" w:space="0" w:color="auto"/>
            </w:tcBorders>
          </w:tcPr>
          <w:p w14:paraId="6332391F"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indirecte</w:t>
            </w:r>
          </w:p>
        </w:tc>
        <w:tc>
          <w:tcPr>
            <w:tcW w:w="2268" w:type="dxa"/>
            <w:tcBorders>
              <w:top w:val="single" w:sz="4" w:space="0" w:color="auto"/>
              <w:bottom w:val="single" w:sz="4" w:space="0" w:color="auto"/>
            </w:tcBorders>
          </w:tcPr>
          <w:p w14:paraId="26CAF6D2" w14:textId="74613436" w:rsidR="005E50DF" w:rsidRPr="00F768B6" w:rsidRDefault="005E50DF" w:rsidP="005E50DF">
            <w:pPr>
              <w:tabs>
                <w:tab w:val="left" w:pos="360"/>
                <w:tab w:val="left" w:pos="504"/>
              </w:tabs>
              <w:spacing w:before="120"/>
              <w:jc w:val="center"/>
              <w:textAlignment w:val="baseline"/>
              <w:rPr>
                <w:rFonts w:cstheme="majorHAnsi"/>
                <w:iCs/>
              </w:rPr>
            </w:pPr>
            <w:r w:rsidRPr="00F91BDD">
              <w:rPr>
                <w:rFonts w:cs="Calibri Light"/>
              </w:rPr>
              <w:t>10 % à 31 % sur les recettes diverses et de 8,5 à 33,75 % sur le produit des billets d'entrée</w:t>
            </w:r>
          </w:p>
        </w:tc>
        <w:tc>
          <w:tcPr>
            <w:tcW w:w="2268" w:type="dxa"/>
            <w:tcBorders>
              <w:top w:val="single" w:sz="4" w:space="0" w:color="auto"/>
              <w:left w:val="single" w:sz="4" w:space="0" w:color="auto"/>
              <w:bottom w:val="single" w:sz="4" w:space="0" w:color="auto"/>
              <w:right w:val="single" w:sz="4" w:space="0" w:color="auto"/>
            </w:tcBorders>
          </w:tcPr>
          <w:p w14:paraId="13552432" w14:textId="6216B577"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10 % à 31 % sur les recettes diverses et de 8,5 à 33,75 % sur le produit des billets d'entrée</w:t>
            </w:r>
          </w:p>
        </w:tc>
        <w:tc>
          <w:tcPr>
            <w:tcW w:w="3261" w:type="dxa"/>
            <w:tcBorders>
              <w:top w:val="single" w:sz="4" w:space="0" w:color="auto"/>
              <w:left w:val="single" w:sz="4" w:space="0" w:color="auto"/>
              <w:bottom w:val="single" w:sz="4" w:space="0" w:color="auto"/>
              <w:right w:val="single" w:sz="4" w:space="0" w:color="auto"/>
            </w:tcBorders>
          </w:tcPr>
          <w:p w14:paraId="75D29DA7" w14:textId="7B526E8A" w:rsidR="005E50DF" w:rsidRDefault="005E50DF" w:rsidP="005E50DF">
            <w:pPr>
              <w:tabs>
                <w:tab w:val="left" w:pos="360"/>
                <w:tab w:val="left" w:pos="504"/>
              </w:tabs>
              <w:spacing w:before="120"/>
              <w:jc w:val="center"/>
              <w:textAlignment w:val="baseline"/>
              <w:rPr>
                <w:rFonts w:cstheme="majorHAnsi"/>
                <w:iCs/>
              </w:rPr>
            </w:pPr>
            <w:r>
              <w:rPr>
                <w:rFonts w:cstheme="majorHAnsi"/>
                <w:iCs/>
              </w:rPr>
              <w:t>Par % de recettes des entrées du spectacle/ divertissement</w:t>
            </w:r>
          </w:p>
          <w:p w14:paraId="2C64F5B2" w14:textId="03492B46" w:rsidR="005E50DF" w:rsidRDefault="005E50DF" w:rsidP="005E50DF">
            <w:pPr>
              <w:tabs>
                <w:tab w:val="left" w:pos="360"/>
                <w:tab w:val="left" w:pos="504"/>
              </w:tabs>
              <w:spacing w:before="120"/>
              <w:jc w:val="center"/>
              <w:textAlignment w:val="baseline"/>
              <w:rPr>
                <w:rFonts w:cstheme="majorHAnsi"/>
                <w:iCs/>
              </w:rPr>
            </w:pPr>
            <w:r>
              <w:rPr>
                <w:rFonts w:cstheme="majorHAnsi"/>
                <w:iCs/>
              </w:rPr>
              <w:t>Ou</w:t>
            </w:r>
          </w:p>
          <w:p w14:paraId="36F62F9C" w14:textId="2467A3BD"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Par forfait fixe relatif au prix de l’entrée</w:t>
            </w:r>
          </w:p>
        </w:tc>
      </w:tr>
      <w:tr w:rsidR="005E50DF" w:rsidRPr="00F91BDD" w14:paraId="34D5AE7E" w14:textId="1D8D56BB"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08C85AB1" w14:textId="17646BAF" w:rsidR="005E50DF" w:rsidRPr="00F768B6" w:rsidRDefault="005E50DF" w:rsidP="005E50DF">
            <w:pPr>
              <w:pStyle w:val="Titre3"/>
              <w:numPr>
                <w:ilvl w:val="0"/>
                <w:numId w:val="0"/>
              </w:numPr>
              <w:ind w:left="786"/>
            </w:pPr>
            <w:bookmarkStart w:id="5501" w:name="_Toc225504468"/>
            <w:bookmarkStart w:id="5502" w:name="_Toc225772557"/>
            <w:bookmarkStart w:id="5503" w:name="_Toc233626424"/>
            <w:r w:rsidRPr="21B2FD55">
              <w:lastRenderedPageBreak/>
              <w:t>040/365-02 Dancings</w:t>
            </w:r>
            <w:bookmarkEnd w:id="5501"/>
            <w:bookmarkEnd w:id="5502"/>
            <w:bookmarkEnd w:id="5503"/>
          </w:p>
        </w:tc>
        <w:tc>
          <w:tcPr>
            <w:tcW w:w="1275" w:type="dxa"/>
            <w:tcBorders>
              <w:top w:val="single" w:sz="4" w:space="0" w:color="auto"/>
              <w:left w:val="single" w:sz="4" w:space="0" w:color="auto"/>
              <w:bottom w:val="single" w:sz="4" w:space="0" w:color="auto"/>
              <w:right w:val="single" w:sz="4" w:space="0" w:color="auto"/>
            </w:tcBorders>
          </w:tcPr>
          <w:p w14:paraId="094BF991"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52D926B9"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1.050 €/mois</w:t>
            </w:r>
          </w:p>
          <w:p w14:paraId="6FAF61DE"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méga</w:t>
            </w:r>
            <w:r w:rsidRPr="00F768B6">
              <w:rPr>
                <w:rFonts w:cs="Cambria Math"/>
                <w:iCs/>
              </w:rPr>
              <w:t>‑</w:t>
            </w:r>
            <w:r w:rsidRPr="00F768B6">
              <w:rPr>
                <w:rFonts w:cstheme="majorHAnsi"/>
                <w:iCs/>
              </w:rPr>
              <w:t>dancings modul</w:t>
            </w:r>
            <w:r w:rsidRPr="00F768B6">
              <w:rPr>
                <w:rFonts w:cs="Calibri"/>
                <w:iCs/>
              </w:rPr>
              <w:t>é</w:t>
            </w:r>
            <w:r w:rsidRPr="00F768B6">
              <w:rPr>
                <w:rFonts w:cstheme="majorHAnsi"/>
                <w:iCs/>
              </w:rPr>
              <w:t>s par capacit</w:t>
            </w:r>
            <w:r w:rsidRPr="00F768B6">
              <w:rPr>
                <w:rFonts w:cs="Calibri"/>
                <w:iCs/>
              </w:rPr>
              <w:t>é</w:t>
            </w:r>
            <w:r w:rsidRPr="00F768B6">
              <w:rPr>
                <w:rFonts w:cstheme="majorHAnsi"/>
                <w:iCs/>
              </w:rPr>
              <w:t> :</w:t>
            </w:r>
          </w:p>
          <w:p w14:paraId="364A799C" w14:textId="77777777" w:rsidR="005E50DF" w:rsidRPr="00F768B6" w:rsidRDefault="005E50DF">
            <w:pPr>
              <w:pStyle w:val="Paragraphedeliste"/>
              <w:numPr>
                <w:ilvl w:val="0"/>
                <w:numId w:val="9"/>
              </w:numPr>
              <w:tabs>
                <w:tab w:val="left" w:pos="360"/>
                <w:tab w:val="left" w:pos="504"/>
              </w:tabs>
              <w:spacing w:before="120"/>
              <w:jc w:val="center"/>
              <w:textAlignment w:val="baseline"/>
              <w:rPr>
                <w:rFonts w:cstheme="majorHAnsi"/>
                <w:iCs/>
              </w:rPr>
            </w:pPr>
            <w:r w:rsidRPr="00F768B6">
              <w:rPr>
                <w:rFonts w:cstheme="majorHAnsi"/>
                <w:iCs/>
              </w:rPr>
              <w:t>1.500–3.000 personnes : 4.000 €/mois</w:t>
            </w:r>
          </w:p>
          <w:p w14:paraId="6228282B" w14:textId="77777777" w:rsidR="005E50DF" w:rsidRPr="00F768B6" w:rsidRDefault="005E50DF">
            <w:pPr>
              <w:pStyle w:val="Paragraphedeliste"/>
              <w:numPr>
                <w:ilvl w:val="0"/>
                <w:numId w:val="9"/>
              </w:numPr>
              <w:tabs>
                <w:tab w:val="left" w:pos="360"/>
                <w:tab w:val="left" w:pos="504"/>
              </w:tabs>
              <w:spacing w:before="120"/>
              <w:jc w:val="center"/>
              <w:textAlignment w:val="baseline"/>
              <w:rPr>
                <w:rFonts w:cstheme="majorHAnsi"/>
                <w:iCs/>
              </w:rPr>
            </w:pPr>
            <w:r w:rsidRPr="00F768B6">
              <w:rPr>
                <w:rFonts w:cstheme="majorHAnsi"/>
                <w:iCs/>
              </w:rPr>
              <w:t>3.001–5.000 : 6.800 €/mois</w:t>
            </w:r>
          </w:p>
          <w:p w14:paraId="6439E034" w14:textId="3999D2F0"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 5.001 : 10.800 €/mois</w:t>
            </w:r>
          </w:p>
        </w:tc>
        <w:tc>
          <w:tcPr>
            <w:tcW w:w="2268" w:type="dxa"/>
            <w:tcBorders>
              <w:top w:val="single" w:sz="4" w:space="0" w:color="auto"/>
              <w:left w:val="single" w:sz="4" w:space="0" w:color="auto"/>
              <w:bottom w:val="single" w:sz="4" w:space="0" w:color="auto"/>
              <w:right w:val="single" w:sz="4" w:space="0" w:color="auto"/>
            </w:tcBorders>
          </w:tcPr>
          <w:p w14:paraId="0DD9F763" w14:textId="2CB8EF9F"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1.310,29 €/mois</w:t>
            </w:r>
          </w:p>
          <w:p w14:paraId="284E0F95" w14:textId="4EBA5C30"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méga‑dancings modulés par capacité :</w:t>
            </w:r>
          </w:p>
          <w:p w14:paraId="0D623829" w14:textId="1604806C" w:rsidR="005E50DF" w:rsidRDefault="005E50DF">
            <w:pPr>
              <w:pStyle w:val="Paragraphedeliste"/>
              <w:numPr>
                <w:ilvl w:val="0"/>
                <w:numId w:val="52"/>
              </w:numPr>
              <w:tabs>
                <w:tab w:val="num" w:pos="360"/>
              </w:tabs>
              <w:ind w:left="360"/>
              <w:jc w:val="center"/>
              <w:rPr>
                <w:rFonts w:ascii="Cambria" w:eastAsia="Cambria" w:hAnsi="Cambria" w:cs="Cambria"/>
              </w:rPr>
            </w:pPr>
            <w:r w:rsidRPr="42E2FCEB">
              <w:rPr>
                <w:rFonts w:ascii="Cambria" w:eastAsia="Cambria" w:hAnsi="Cambria" w:cs="Cambria"/>
              </w:rPr>
              <w:t>1.500–3.000 personnes : 4.991,6 €/mois</w:t>
            </w:r>
          </w:p>
          <w:p w14:paraId="15573CC1" w14:textId="26FACFFA" w:rsidR="005E50DF" w:rsidRDefault="005E50DF">
            <w:pPr>
              <w:pStyle w:val="Paragraphedeliste"/>
              <w:numPr>
                <w:ilvl w:val="0"/>
                <w:numId w:val="52"/>
              </w:numPr>
              <w:tabs>
                <w:tab w:val="num" w:pos="360"/>
              </w:tabs>
              <w:ind w:left="360"/>
              <w:jc w:val="center"/>
              <w:rPr>
                <w:rFonts w:ascii="Cambria" w:eastAsia="Cambria" w:hAnsi="Cambria" w:cs="Cambria"/>
              </w:rPr>
            </w:pPr>
            <w:r w:rsidRPr="42E2FCEB">
              <w:rPr>
                <w:rFonts w:ascii="Cambria" w:eastAsia="Cambria" w:hAnsi="Cambria" w:cs="Cambria"/>
              </w:rPr>
              <w:t>3.001–5.000 : 8.485,72 €/mois</w:t>
            </w:r>
          </w:p>
          <w:p w14:paraId="2A0D1FB4" w14:textId="4EFDDF27"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 à 5.001 : 13.477,32 €/mois</w:t>
            </w:r>
          </w:p>
        </w:tc>
        <w:tc>
          <w:tcPr>
            <w:tcW w:w="3261" w:type="dxa"/>
            <w:tcBorders>
              <w:top w:val="single" w:sz="4" w:space="0" w:color="auto"/>
              <w:left w:val="single" w:sz="4" w:space="0" w:color="auto"/>
              <w:bottom w:val="single" w:sz="4" w:space="0" w:color="auto"/>
              <w:right w:val="single" w:sz="4" w:space="0" w:color="auto"/>
            </w:tcBorders>
          </w:tcPr>
          <w:p w14:paraId="5244FC5B" w14:textId="534F9739"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Par dancing et par mois</w:t>
            </w:r>
          </w:p>
        </w:tc>
      </w:tr>
      <w:tr w:rsidR="005E50DF" w:rsidRPr="00F91BDD" w14:paraId="1C12486C" w14:textId="3B920048"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0493D9F0" w14:textId="4818FC27" w:rsidR="005E50DF" w:rsidRPr="00F768B6" w:rsidRDefault="005E50DF" w:rsidP="005E50DF">
            <w:pPr>
              <w:pStyle w:val="Titre3"/>
              <w:numPr>
                <w:ilvl w:val="0"/>
                <w:numId w:val="0"/>
              </w:numPr>
              <w:ind w:left="786"/>
            </w:pPr>
            <w:bookmarkStart w:id="5504" w:name="_Toc225504469"/>
            <w:bookmarkStart w:id="5505" w:name="_Toc225772558"/>
            <w:bookmarkStart w:id="5506" w:name="_Toc233626425"/>
            <w:r w:rsidRPr="21B2FD55">
              <w:t>040/365-08 Mise à l’eau d’embarcations (but commercial)</w:t>
            </w:r>
            <w:bookmarkEnd w:id="5504"/>
            <w:bookmarkEnd w:id="5505"/>
            <w:bookmarkEnd w:id="5506"/>
          </w:p>
          <w:p w14:paraId="371C8E93" w14:textId="77777777" w:rsidR="005E50DF" w:rsidRPr="00F768B6" w:rsidRDefault="005E50DF" w:rsidP="005E50DF">
            <w:pPr>
              <w:jc w:val="center"/>
              <w:rPr>
                <w:rFonts w:cstheme="majorHAnsi"/>
              </w:rPr>
            </w:pPr>
          </w:p>
        </w:tc>
        <w:tc>
          <w:tcPr>
            <w:tcW w:w="1275" w:type="dxa"/>
            <w:tcBorders>
              <w:top w:val="single" w:sz="4" w:space="0" w:color="auto"/>
              <w:left w:val="single" w:sz="4" w:space="0" w:color="auto"/>
              <w:bottom w:val="single" w:sz="4" w:space="0" w:color="auto"/>
              <w:right w:val="single" w:sz="4" w:space="0" w:color="auto"/>
            </w:tcBorders>
          </w:tcPr>
          <w:p w14:paraId="5D9674B1"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(à préciser par la commune)</w:t>
            </w:r>
          </w:p>
        </w:tc>
        <w:tc>
          <w:tcPr>
            <w:tcW w:w="2268" w:type="dxa"/>
            <w:tcBorders>
              <w:top w:val="single" w:sz="4" w:space="0" w:color="auto"/>
              <w:bottom w:val="single" w:sz="4" w:space="0" w:color="auto"/>
            </w:tcBorders>
          </w:tcPr>
          <w:p w14:paraId="5D3E0871"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130 €/an/embarcation</w:t>
            </w:r>
          </w:p>
          <w:p w14:paraId="102A1094" w14:textId="2FD6CD4A"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4,50 €/jour/embarcation</w:t>
            </w:r>
          </w:p>
        </w:tc>
        <w:tc>
          <w:tcPr>
            <w:tcW w:w="2268" w:type="dxa"/>
            <w:tcBorders>
              <w:top w:val="single" w:sz="4" w:space="0" w:color="auto"/>
              <w:left w:val="single" w:sz="4" w:space="0" w:color="auto"/>
              <w:bottom w:val="single" w:sz="4" w:space="0" w:color="auto"/>
              <w:right w:val="single" w:sz="4" w:space="0" w:color="auto"/>
            </w:tcBorders>
          </w:tcPr>
          <w:p w14:paraId="6FB73C5B" w14:textId="13B53F32"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162,23 €/an/embarcation</w:t>
            </w:r>
          </w:p>
          <w:p w14:paraId="66542179" w14:textId="1765ECA4"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5,62 €/jour/embarcation</w:t>
            </w:r>
          </w:p>
        </w:tc>
        <w:tc>
          <w:tcPr>
            <w:tcW w:w="3261" w:type="dxa"/>
            <w:tcBorders>
              <w:top w:val="single" w:sz="4" w:space="0" w:color="auto"/>
              <w:left w:val="single" w:sz="4" w:space="0" w:color="auto"/>
              <w:bottom w:val="single" w:sz="4" w:space="0" w:color="auto"/>
              <w:right w:val="single" w:sz="4" w:space="0" w:color="auto"/>
            </w:tcBorders>
          </w:tcPr>
          <w:p w14:paraId="10BFE65F" w14:textId="37014A06" w:rsidR="005E50DF" w:rsidRDefault="005E50DF" w:rsidP="005E50DF">
            <w:pPr>
              <w:tabs>
                <w:tab w:val="left" w:pos="360"/>
                <w:tab w:val="left" w:pos="504"/>
              </w:tabs>
              <w:spacing w:before="120"/>
              <w:jc w:val="center"/>
              <w:textAlignment w:val="baseline"/>
              <w:rPr>
                <w:rFonts w:cstheme="majorHAnsi"/>
                <w:iCs/>
              </w:rPr>
            </w:pPr>
            <w:r>
              <w:rPr>
                <w:rFonts w:cstheme="majorHAnsi"/>
                <w:iCs/>
              </w:rPr>
              <w:t>Par embarcation et par jour</w:t>
            </w:r>
          </w:p>
          <w:p w14:paraId="047C1EE7" w14:textId="08932A65" w:rsidR="005E50DF" w:rsidRDefault="005E50DF" w:rsidP="005E50DF">
            <w:pPr>
              <w:tabs>
                <w:tab w:val="left" w:pos="360"/>
                <w:tab w:val="left" w:pos="504"/>
              </w:tabs>
              <w:spacing w:before="120"/>
              <w:jc w:val="center"/>
              <w:textAlignment w:val="baseline"/>
              <w:rPr>
                <w:rFonts w:cstheme="majorHAnsi"/>
                <w:iCs/>
              </w:rPr>
            </w:pPr>
            <w:r>
              <w:rPr>
                <w:rFonts w:cstheme="majorHAnsi"/>
                <w:iCs/>
              </w:rPr>
              <w:t>Ou</w:t>
            </w:r>
          </w:p>
          <w:p w14:paraId="6B21A019" w14:textId="33BFB599"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Forfait annuel par embarcation</w:t>
            </w:r>
          </w:p>
        </w:tc>
      </w:tr>
      <w:tr w:rsidR="005E50DF" w:rsidRPr="00F91BDD" w14:paraId="0B13020C" w14:textId="0407C60A"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04712204" w14:textId="02B1CE7F" w:rsidR="005E50DF" w:rsidRPr="00F768B6" w:rsidRDefault="005E50DF" w:rsidP="005E50DF">
            <w:pPr>
              <w:pStyle w:val="Titre3"/>
              <w:jc w:val="center"/>
            </w:pPr>
            <w:bookmarkStart w:id="5507" w:name="_Toc225504470"/>
            <w:bookmarkStart w:id="5508" w:name="_Toc225772559"/>
            <w:bookmarkStart w:id="5509" w:name="_Toc233626426"/>
            <w:r w:rsidRPr="21B2FD55">
              <w:t>040/366 Occupation du domaine public</w:t>
            </w:r>
            <w:bookmarkEnd w:id="5507"/>
            <w:bookmarkEnd w:id="5508"/>
            <w:bookmarkEnd w:id="5509"/>
          </w:p>
        </w:tc>
        <w:tc>
          <w:tcPr>
            <w:tcW w:w="1275" w:type="dxa"/>
            <w:tcBorders>
              <w:top w:val="single" w:sz="4" w:space="0" w:color="auto"/>
              <w:left w:val="single" w:sz="4" w:space="0" w:color="auto"/>
              <w:bottom w:val="single" w:sz="4" w:space="0" w:color="auto"/>
              <w:right w:val="single" w:sz="4" w:space="0" w:color="auto"/>
            </w:tcBorders>
          </w:tcPr>
          <w:p w14:paraId="0332B193" w14:textId="77777777" w:rsidR="005E50DF" w:rsidRPr="00F768B6" w:rsidRDefault="005E50DF" w:rsidP="005E50DF">
            <w:pPr>
              <w:tabs>
                <w:tab w:val="left" w:pos="360"/>
                <w:tab w:val="left" w:pos="504"/>
              </w:tabs>
              <w:spacing w:before="120"/>
              <w:jc w:val="center"/>
              <w:textAlignment w:val="baseline"/>
              <w:rPr>
                <w:rFonts w:cstheme="majorHAnsi"/>
                <w:iCs/>
              </w:rPr>
            </w:pPr>
          </w:p>
        </w:tc>
        <w:tc>
          <w:tcPr>
            <w:tcW w:w="2268" w:type="dxa"/>
            <w:tcBorders>
              <w:top w:val="single" w:sz="4" w:space="0" w:color="auto"/>
              <w:bottom w:val="single" w:sz="4" w:space="0" w:color="auto"/>
            </w:tcBorders>
          </w:tcPr>
          <w:p w14:paraId="5614E5A1" w14:textId="77777777" w:rsidR="005E50DF" w:rsidRPr="00F768B6" w:rsidRDefault="005E50DF" w:rsidP="005E50DF">
            <w:pPr>
              <w:tabs>
                <w:tab w:val="left" w:pos="360"/>
                <w:tab w:val="left" w:pos="504"/>
              </w:tabs>
              <w:spacing w:before="120"/>
              <w:jc w:val="center"/>
              <w:textAlignment w:val="baseline"/>
              <w:rPr>
                <w:rFonts w:cstheme="majorHAnsi"/>
                <w:iCs/>
              </w:rPr>
            </w:pPr>
          </w:p>
        </w:tc>
        <w:tc>
          <w:tcPr>
            <w:tcW w:w="2268" w:type="dxa"/>
            <w:tcBorders>
              <w:top w:val="single" w:sz="4" w:space="0" w:color="auto"/>
              <w:left w:val="single" w:sz="4" w:space="0" w:color="auto"/>
              <w:bottom w:val="single" w:sz="4" w:space="0" w:color="auto"/>
              <w:right w:val="single" w:sz="4" w:space="0" w:color="auto"/>
            </w:tcBorders>
          </w:tcPr>
          <w:p w14:paraId="0795181C" w14:textId="4781A324" w:rsidR="005E50DF" w:rsidRPr="01C1E901" w:rsidRDefault="005E50DF" w:rsidP="005E50D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394510ED" w14:textId="77777777" w:rsidR="005E50DF" w:rsidRPr="00F768B6" w:rsidRDefault="005E50DF" w:rsidP="005E50DF">
            <w:pPr>
              <w:tabs>
                <w:tab w:val="left" w:pos="360"/>
                <w:tab w:val="left" w:pos="504"/>
              </w:tabs>
              <w:spacing w:before="120"/>
              <w:jc w:val="center"/>
              <w:textAlignment w:val="baseline"/>
              <w:rPr>
                <w:rFonts w:cstheme="majorHAnsi"/>
                <w:iCs/>
              </w:rPr>
            </w:pPr>
          </w:p>
        </w:tc>
      </w:tr>
      <w:tr w:rsidR="005E50DF" w:rsidRPr="00F91BDD" w14:paraId="4CECAD90" w14:textId="29A71CC8"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734247B2" w14:textId="24530052" w:rsidR="005E50DF" w:rsidRPr="00F768B6" w:rsidRDefault="005E50DF" w:rsidP="005E50DF">
            <w:pPr>
              <w:pStyle w:val="Titre3"/>
              <w:numPr>
                <w:ilvl w:val="0"/>
                <w:numId w:val="0"/>
              </w:numPr>
              <w:ind w:left="786"/>
            </w:pPr>
            <w:bookmarkStart w:id="5510" w:name="_Toc225504471"/>
            <w:bookmarkStart w:id="5511" w:name="_Toc225772560"/>
            <w:bookmarkStart w:id="5512" w:name="_Toc233626427"/>
            <w:r w:rsidRPr="21B2FD55">
              <w:t>040/366-01 Droits d’emplacement sur les marchés</w:t>
            </w:r>
            <w:bookmarkEnd w:id="5510"/>
            <w:bookmarkEnd w:id="5511"/>
            <w:bookmarkEnd w:id="5512"/>
          </w:p>
        </w:tc>
        <w:tc>
          <w:tcPr>
            <w:tcW w:w="1275" w:type="dxa"/>
            <w:tcBorders>
              <w:top w:val="single" w:sz="4" w:space="0" w:color="auto"/>
              <w:left w:val="single" w:sz="4" w:space="0" w:color="auto"/>
              <w:bottom w:val="single" w:sz="4" w:space="0" w:color="auto"/>
              <w:right w:val="single" w:sz="4" w:space="0" w:color="auto"/>
            </w:tcBorders>
          </w:tcPr>
          <w:p w14:paraId="50C5607D"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Redevance</w:t>
            </w:r>
          </w:p>
        </w:tc>
        <w:tc>
          <w:tcPr>
            <w:tcW w:w="2268" w:type="dxa"/>
            <w:tcBorders>
              <w:top w:val="single" w:sz="4" w:space="0" w:color="auto"/>
              <w:bottom w:val="single" w:sz="4" w:space="0" w:color="auto"/>
            </w:tcBorders>
          </w:tcPr>
          <w:p w14:paraId="55AF4992" w14:textId="5E8E5B7C"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Calcul au m²</w:t>
            </w:r>
          </w:p>
        </w:tc>
        <w:tc>
          <w:tcPr>
            <w:tcW w:w="2268" w:type="dxa"/>
            <w:tcBorders>
              <w:top w:val="single" w:sz="4" w:space="0" w:color="auto"/>
              <w:left w:val="single" w:sz="4" w:space="0" w:color="auto"/>
              <w:bottom w:val="single" w:sz="4" w:space="0" w:color="auto"/>
              <w:right w:val="single" w:sz="4" w:space="0" w:color="auto"/>
            </w:tcBorders>
          </w:tcPr>
          <w:p w14:paraId="49BAD674" w14:textId="535C898C" w:rsidR="005E50DF" w:rsidRPr="01C1E901" w:rsidRDefault="005E50DF" w:rsidP="005E50D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499B96FB" w14:textId="05DA7A27" w:rsidR="005E50DF" w:rsidRDefault="005E50DF" w:rsidP="005E50DF">
            <w:pPr>
              <w:tabs>
                <w:tab w:val="left" w:pos="360"/>
                <w:tab w:val="left" w:pos="504"/>
              </w:tabs>
              <w:spacing w:before="120"/>
              <w:jc w:val="center"/>
              <w:textAlignment w:val="baseline"/>
              <w:rPr>
                <w:rFonts w:cstheme="majorBidi"/>
              </w:rPr>
            </w:pPr>
            <w:r w:rsidRPr="1C6C0DED">
              <w:rPr>
                <w:rFonts w:cstheme="majorBidi"/>
              </w:rPr>
              <w:t>Par m2 d’emplacement et par marché</w:t>
            </w:r>
          </w:p>
          <w:p w14:paraId="48E887DA" w14:textId="5D59548C" w:rsidR="005E50DF" w:rsidRDefault="005E50DF" w:rsidP="005E50DF">
            <w:pPr>
              <w:tabs>
                <w:tab w:val="left" w:pos="360"/>
                <w:tab w:val="left" w:pos="504"/>
              </w:tabs>
              <w:spacing w:before="120"/>
              <w:jc w:val="center"/>
              <w:textAlignment w:val="baseline"/>
              <w:rPr>
                <w:rFonts w:cstheme="majorHAnsi"/>
                <w:iCs/>
              </w:rPr>
            </w:pPr>
            <w:r>
              <w:rPr>
                <w:rFonts w:cstheme="majorHAnsi"/>
                <w:iCs/>
              </w:rPr>
              <w:t>Ou</w:t>
            </w:r>
          </w:p>
          <w:p w14:paraId="0B07DF7B" w14:textId="62B8E3AA"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Par abonnement</w:t>
            </w:r>
          </w:p>
        </w:tc>
      </w:tr>
      <w:tr w:rsidR="005E50DF" w:rsidRPr="00F91BDD" w14:paraId="7F64131D" w14:textId="48151559"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ECB5204" w14:textId="0D938E06" w:rsidR="005E50DF" w:rsidRPr="00F768B6" w:rsidRDefault="005E50DF" w:rsidP="005E50DF">
            <w:pPr>
              <w:pStyle w:val="Titre3"/>
              <w:numPr>
                <w:ilvl w:val="0"/>
                <w:numId w:val="0"/>
              </w:numPr>
              <w:ind w:left="786"/>
            </w:pPr>
            <w:bookmarkStart w:id="5513" w:name="_Toc225504472"/>
            <w:bookmarkStart w:id="5514" w:name="_Toc225772561"/>
            <w:bookmarkStart w:id="5515" w:name="_Toc233626428"/>
            <w:r w:rsidRPr="21B2FD55">
              <w:t>040/366-03 Loges foraines/mobiles &amp; logement sur voirie</w:t>
            </w:r>
            <w:bookmarkEnd w:id="5513"/>
            <w:bookmarkEnd w:id="5514"/>
            <w:bookmarkEnd w:id="5515"/>
          </w:p>
        </w:tc>
        <w:tc>
          <w:tcPr>
            <w:tcW w:w="1275" w:type="dxa"/>
            <w:tcBorders>
              <w:top w:val="single" w:sz="4" w:space="0" w:color="auto"/>
              <w:left w:val="single" w:sz="4" w:space="0" w:color="auto"/>
              <w:bottom w:val="single" w:sz="4" w:space="0" w:color="auto"/>
              <w:right w:val="single" w:sz="4" w:space="0" w:color="auto"/>
            </w:tcBorders>
          </w:tcPr>
          <w:p w14:paraId="49164216"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Redevance</w:t>
            </w:r>
          </w:p>
        </w:tc>
        <w:tc>
          <w:tcPr>
            <w:tcW w:w="2268" w:type="dxa"/>
            <w:tcBorders>
              <w:top w:val="single" w:sz="4" w:space="0" w:color="auto"/>
              <w:bottom w:val="single" w:sz="4" w:space="0" w:color="auto"/>
            </w:tcBorders>
          </w:tcPr>
          <w:p w14:paraId="472C528B" w14:textId="16588874"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Calcul au m²/jour</w:t>
            </w:r>
          </w:p>
        </w:tc>
        <w:tc>
          <w:tcPr>
            <w:tcW w:w="2268" w:type="dxa"/>
            <w:tcBorders>
              <w:top w:val="single" w:sz="4" w:space="0" w:color="auto"/>
              <w:left w:val="single" w:sz="4" w:space="0" w:color="auto"/>
              <w:bottom w:val="single" w:sz="4" w:space="0" w:color="auto"/>
              <w:right w:val="single" w:sz="4" w:space="0" w:color="auto"/>
            </w:tcBorders>
          </w:tcPr>
          <w:p w14:paraId="05EAB4C1" w14:textId="2015A829" w:rsidR="005E50DF" w:rsidRPr="01C1E901" w:rsidRDefault="005E50DF" w:rsidP="005E50D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6BE0E2DA" w14:textId="599708F4" w:rsidR="005E50DF" w:rsidRPr="00F768B6" w:rsidRDefault="005E50DF" w:rsidP="005E50DF">
            <w:pPr>
              <w:tabs>
                <w:tab w:val="left" w:pos="360"/>
                <w:tab w:val="left" w:pos="504"/>
              </w:tabs>
              <w:spacing w:before="120"/>
              <w:jc w:val="center"/>
              <w:textAlignment w:val="baseline"/>
              <w:rPr>
                <w:rFonts w:cstheme="majorBidi"/>
              </w:rPr>
            </w:pPr>
            <w:r w:rsidRPr="1C6C0DED">
              <w:rPr>
                <w:rFonts w:cstheme="majorBidi"/>
              </w:rPr>
              <w:t>Par m2 de loge et par jour</w:t>
            </w:r>
          </w:p>
        </w:tc>
      </w:tr>
      <w:tr w:rsidR="005E50DF" w:rsidRPr="00F91BDD" w14:paraId="6C714E8F" w14:textId="2D6BB823"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3D3E3D6A" w14:textId="6545F276" w:rsidR="005E50DF" w:rsidRPr="00F768B6" w:rsidRDefault="005E50DF" w:rsidP="005E50DF">
            <w:pPr>
              <w:pStyle w:val="Titre3"/>
              <w:numPr>
                <w:ilvl w:val="0"/>
                <w:numId w:val="0"/>
              </w:numPr>
              <w:ind w:left="786"/>
            </w:pPr>
            <w:bookmarkStart w:id="5516" w:name="_Toc225504473"/>
            <w:bookmarkStart w:id="5517" w:name="_Toc225772562"/>
            <w:bookmarkStart w:id="5518" w:name="_Toc233626429"/>
            <w:r w:rsidRPr="21B2FD55">
              <w:t>040/366-05 Droit de quai</w:t>
            </w:r>
            <w:bookmarkEnd w:id="5516"/>
            <w:bookmarkEnd w:id="5517"/>
            <w:bookmarkEnd w:id="5518"/>
          </w:p>
        </w:tc>
        <w:tc>
          <w:tcPr>
            <w:tcW w:w="1275" w:type="dxa"/>
            <w:tcBorders>
              <w:top w:val="single" w:sz="4" w:space="0" w:color="auto"/>
              <w:left w:val="single" w:sz="4" w:space="0" w:color="auto"/>
              <w:bottom w:val="single" w:sz="4" w:space="0" w:color="auto"/>
              <w:right w:val="single" w:sz="4" w:space="0" w:color="auto"/>
            </w:tcBorders>
          </w:tcPr>
          <w:p w14:paraId="17C6EB58"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Redevance</w:t>
            </w:r>
          </w:p>
        </w:tc>
        <w:tc>
          <w:tcPr>
            <w:tcW w:w="2268" w:type="dxa"/>
            <w:tcBorders>
              <w:top w:val="single" w:sz="4" w:space="0" w:color="auto"/>
              <w:bottom w:val="single" w:sz="4" w:space="0" w:color="auto"/>
            </w:tcBorders>
          </w:tcPr>
          <w:p w14:paraId="4165EB8C" w14:textId="5D778CE6"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Calcul par mètre courant/jour</w:t>
            </w:r>
          </w:p>
        </w:tc>
        <w:tc>
          <w:tcPr>
            <w:tcW w:w="2268" w:type="dxa"/>
            <w:tcBorders>
              <w:top w:val="single" w:sz="4" w:space="0" w:color="auto"/>
              <w:left w:val="single" w:sz="4" w:space="0" w:color="auto"/>
              <w:bottom w:val="single" w:sz="4" w:space="0" w:color="auto"/>
              <w:right w:val="single" w:sz="4" w:space="0" w:color="auto"/>
            </w:tcBorders>
          </w:tcPr>
          <w:p w14:paraId="62F28DB9" w14:textId="79E100BC" w:rsidR="005E50DF" w:rsidRPr="01C1E901" w:rsidRDefault="005E50DF" w:rsidP="005E50D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1883E2C5" w14:textId="123F5EEC" w:rsidR="005E50DF" w:rsidRPr="00F768B6" w:rsidRDefault="005E50DF" w:rsidP="005E50DF">
            <w:pPr>
              <w:tabs>
                <w:tab w:val="left" w:pos="360"/>
                <w:tab w:val="left" w:pos="504"/>
              </w:tabs>
              <w:spacing w:before="120"/>
              <w:jc w:val="center"/>
              <w:textAlignment w:val="baseline"/>
              <w:rPr>
                <w:rFonts w:cstheme="majorBidi"/>
              </w:rPr>
            </w:pPr>
            <w:r w:rsidRPr="1C6C0DED">
              <w:rPr>
                <w:rFonts w:cstheme="majorBidi"/>
              </w:rPr>
              <w:t>Par mètre courant et par jour</w:t>
            </w:r>
          </w:p>
        </w:tc>
      </w:tr>
      <w:tr w:rsidR="005E50DF" w:rsidRPr="00F91BDD" w14:paraId="56E9396D" w14:textId="169F610E"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51DFA8E0" w14:textId="18E5C163" w:rsidR="005E50DF" w:rsidRPr="00F768B6" w:rsidRDefault="005E50DF" w:rsidP="005E50DF">
            <w:pPr>
              <w:pStyle w:val="Titre3"/>
              <w:numPr>
                <w:ilvl w:val="0"/>
                <w:numId w:val="0"/>
              </w:numPr>
              <w:ind w:left="786"/>
            </w:pPr>
            <w:bookmarkStart w:id="5519" w:name="_Toc225504474"/>
            <w:bookmarkStart w:id="5520" w:name="_Toc225772563"/>
            <w:bookmarkStart w:id="5521" w:name="_Toc233626430"/>
            <w:r w:rsidRPr="21B2FD55">
              <w:t>040/366-06 Terrasses, tables et chaises</w:t>
            </w:r>
            <w:bookmarkEnd w:id="5519"/>
            <w:bookmarkEnd w:id="5520"/>
            <w:bookmarkEnd w:id="5521"/>
          </w:p>
        </w:tc>
        <w:tc>
          <w:tcPr>
            <w:tcW w:w="1275" w:type="dxa"/>
            <w:tcBorders>
              <w:top w:val="single" w:sz="4" w:space="0" w:color="auto"/>
              <w:left w:val="single" w:sz="4" w:space="0" w:color="auto"/>
              <w:bottom w:val="single" w:sz="4" w:space="0" w:color="auto"/>
              <w:right w:val="single" w:sz="4" w:space="0" w:color="auto"/>
            </w:tcBorders>
          </w:tcPr>
          <w:p w14:paraId="0C5E8CFE"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Redevance</w:t>
            </w:r>
          </w:p>
        </w:tc>
        <w:tc>
          <w:tcPr>
            <w:tcW w:w="2268" w:type="dxa"/>
            <w:tcBorders>
              <w:top w:val="single" w:sz="4" w:space="0" w:color="auto"/>
              <w:bottom w:val="single" w:sz="4" w:space="0" w:color="auto"/>
            </w:tcBorders>
          </w:tcPr>
          <w:p w14:paraId="6A009997" w14:textId="4E654DB0"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Calcul au m²/jour</w:t>
            </w:r>
          </w:p>
        </w:tc>
        <w:tc>
          <w:tcPr>
            <w:tcW w:w="2268" w:type="dxa"/>
            <w:tcBorders>
              <w:top w:val="single" w:sz="4" w:space="0" w:color="auto"/>
              <w:left w:val="single" w:sz="4" w:space="0" w:color="auto"/>
              <w:bottom w:val="single" w:sz="4" w:space="0" w:color="auto"/>
              <w:right w:val="single" w:sz="4" w:space="0" w:color="auto"/>
            </w:tcBorders>
          </w:tcPr>
          <w:p w14:paraId="5985E3F8" w14:textId="47E63651" w:rsidR="005E50DF" w:rsidRPr="01C1E901" w:rsidRDefault="005E50DF" w:rsidP="005E50D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7B5B267B" w14:textId="16A49B9A" w:rsidR="005E50DF" w:rsidRPr="00F768B6" w:rsidRDefault="005E50DF" w:rsidP="005E50DF">
            <w:pPr>
              <w:tabs>
                <w:tab w:val="left" w:pos="360"/>
                <w:tab w:val="left" w:pos="504"/>
              </w:tabs>
              <w:spacing w:before="120"/>
              <w:jc w:val="center"/>
              <w:textAlignment w:val="baseline"/>
              <w:rPr>
                <w:rFonts w:cstheme="majorBidi"/>
              </w:rPr>
            </w:pPr>
            <w:r w:rsidRPr="1C6C0DED">
              <w:rPr>
                <w:rFonts w:cstheme="majorBidi"/>
              </w:rPr>
              <w:t>Par m2 et par jour</w:t>
            </w:r>
          </w:p>
        </w:tc>
      </w:tr>
      <w:tr w:rsidR="005E50DF" w:rsidRPr="00F91BDD" w14:paraId="5A9B6C77" w14:textId="72E03910"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4C4CE689" w14:textId="5E75DD1E" w:rsidR="005E50DF" w:rsidRPr="00F768B6" w:rsidRDefault="005E50DF" w:rsidP="005E50DF">
            <w:pPr>
              <w:pStyle w:val="Titre3"/>
              <w:numPr>
                <w:ilvl w:val="0"/>
                <w:numId w:val="0"/>
              </w:numPr>
              <w:ind w:left="786"/>
            </w:pPr>
            <w:bookmarkStart w:id="5522" w:name="_Toc225504475"/>
            <w:bookmarkStart w:id="5523" w:name="_Toc225772564"/>
            <w:bookmarkStart w:id="5524" w:name="_Toc233626431"/>
            <w:r w:rsidRPr="21B2FD55">
              <w:t>040/366-07 Parking (voirie publique)</w:t>
            </w:r>
            <w:bookmarkEnd w:id="5522"/>
            <w:bookmarkEnd w:id="5523"/>
            <w:bookmarkEnd w:id="5524"/>
          </w:p>
        </w:tc>
        <w:tc>
          <w:tcPr>
            <w:tcW w:w="1275" w:type="dxa"/>
            <w:tcBorders>
              <w:top w:val="single" w:sz="4" w:space="0" w:color="auto"/>
              <w:left w:val="single" w:sz="4" w:space="0" w:color="auto"/>
              <w:bottom w:val="single" w:sz="4" w:space="0" w:color="auto"/>
              <w:right w:val="single" w:sz="4" w:space="0" w:color="auto"/>
            </w:tcBorders>
          </w:tcPr>
          <w:p w14:paraId="3D34EABD"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indirecte ou redevance</w:t>
            </w:r>
          </w:p>
        </w:tc>
        <w:tc>
          <w:tcPr>
            <w:tcW w:w="2268" w:type="dxa"/>
            <w:tcBorders>
              <w:top w:val="single" w:sz="4" w:space="0" w:color="auto"/>
              <w:bottom w:val="single" w:sz="4" w:space="0" w:color="auto"/>
            </w:tcBorders>
          </w:tcPr>
          <w:p w14:paraId="130EB23A" w14:textId="1F6235A0"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En cas de non</w:t>
            </w:r>
            <w:r w:rsidRPr="00F768B6">
              <w:rPr>
                <w:rFonts w:cs="Cambria Math"/>
                <w:iCs/>
              </w:rPr>
              <w:t>‑</w:t>
            </w:r>
            <w:r w:rsidRPr="00F768B6">
              <w:rPr>
                <w:rFonts w:cstheme="majorHAnsi"/>
                <w:iCs/>
              </w:rPr>
              <w:t xml:space="preserve">respect : 20,00 </w:t>
            </w:r>
            <w:r w:rsidRPr="00F768B6">
              <w:rPr>
                <w:rFonts w:cs="Calibri"/>
                <w:iCs/>
              </w:rPr>
              <w:t>€</w:t>
            </w:r>
            <w:r w:rsidRPr="00F768B6">
              <w:rPr>
                <w:rFonts w:cstheme="majorHAnsi"/>
                <w:iCs/>
              </w:rPr>
              <w:t>/ demi</w:t>
            </w:r>
            <w:r w:rsidRPr="00F768B6">
              <w:rPr>
                <w:rFonts w:cs="Cambria Math"/>
                <w:iCs/>
              </w:rPr>
              <w:t>‑</w:t>
            </w:r>
            <w:r w:rsidRPr="00F768B6">
              <w:rPr>
                <w:rFonts w:cstheme="majorHAnsi"/>
                <w:iCs/>
              </w:rPr>
              <w:t>journ</w:t>
            </w:r>
            <w:r w:rsidRPr="00F768B6">
              <w:rPr>
                <w:rFonts w:cs="Calibri"/>
                <w:iCs/>
              </w:rPr>
              <w:t>é</w:t>
            </w:r>
            <w:r w:rsidRPr="00F768B6">
              <w:rPr>
                <w:rFonts w:cstheme="majorHAnsi"/>
                <w:iCs/>
              </w:rPr>
              <w:t>e admis par la jurisprudence ;</w:t>
            </w:r>
          </w:p>
        </w:tc>
        <w:tc>
          <w:tcPr>
            <w:tcW w:w="2268" w:type="dxa"/>
            <w:tcBorders>
              <w:top w:val="single" w:sz="4" w:space="0" w:color="auto"/>
              <w:left w:val="single" w:sz="4" w:space="0" w:color="auto"/>
              <w:bottom w:val="single" w:sz="4" w:space="0" w:color="auto"/>
              <w:right w:val="single" w:sz="4" w:space="0" w:color="auto"/>
            </w:tcBorders>
          </w:tcPr>
          <w:p w14:paraId="302388CC" w14:textId="558532F8"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24,96 €/ demi-journée</w:t>
            </w:r>
          </w:p>
        </w:tc>
        <w:tc>
          <w:tcPr>
            <w:tcW w:w="3261" w:type="dxa"/>
            <w:tcBorders>
              <w:top w:val="single" w:sz="4" w:space="0" w:color="auto"/>
              <w:left w:val="single" w:sz="4" w:space="0" w:color="auto"/>
              <w:bottom w:val="single" w:sz="4" w:space="0" w:color="auto"/>
              <w:right w:val="single" w:sz="4" w:space="0" w:color="auto"/>
            </w:tcBorders>
          </w:tcPr>
          <w:p w14:paraId="1EFA08BC" w14:textId="4B9BD953"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Par stationnement et par demi-journée/journée entière</w:t>
            </w:r>
          </w:p>
        </w:tc>
      </w:tr>
      <w:tr w:rsidR="005E50DF" w:rsidRPr="00F91BDD" w14:paraId="1826BCAD" w14:textId="792DD9C1"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179D0213" w14:textId="1DE1ED5E" w:rsidR="005E50DF" w:rsidRPr="00F768B6" w:rsidRDefault="005E50DF" w:rsidP="005E50DF">
            <w:pPr>
              <w:pStyle w:val="Titre3"/>
              <w:numPr>
                <w:ilvl w:val="0"/>
                <w:numId w:val="0"/>
              </w:numPr>
              <w:ind w:left="786"/>
            </w:pPr>
            <w:bookmarkStart w:id="5525" w:name="_Toc225504476"/>
            <w:bookmarkStart w:id="5526" w:name="_Toc225772565"/>
            <w:bookmarkStart w:id="5527" w:name="_Toc233626432"/>
            <w:r w:rsidRPr="21B2FD55">
              <w:lastRenderedPageBreak/>
              <w:t>040/366-08 Stationnement taxis/voitures de louage</w:t>
            </w:r>
            <w:bookmarkEnd w:id="5525"/>
            <w:bookmarkEnd w:id="5526"/>
            <w:bookmarkEnd w:id="5527"/>
          </w:p>
        </w:tc>
        <w:tc>
          <w:tcPr>
            <w:tcW w:w="1275" w:type="dxa"/>
            <w:tcBorders>
              <w:top w:val="single" w:sz="4" w:space="0" w:color="auto"/>
              <w:left w:val="single" w:sz="4" w:space="0" w:color="auto"/>
              <w:bottom w:val="single" w:sz="4" w:space="0" w:color="auto"/>
              <w:right w:val="single" w:sz="4" w:space="0" w:color="auto"/>
            </w:tcBorders>
          </w:tcPr>
          <w:p w14:paraId="7D655B81"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indirecte (non applicable)</w:t>
            </w:r>
          </w:p>
        </w:tc>
        <w:tc>
          <w:tcPr>
            <w:tcW w:w="2268" w:type="dxa"/>
            <w:tcBorders>
              <w:top w:val="single" w:sz="4" w:space="0" w:color="auto"/>
              <w:bottom w:val="single" w:sz="4" w:space="0" w:color="auto"/>
            </w:tcBorders>
          </w:tcPr>
          <w:p w14:paraId="3FF47D07" w14:textId="15B0090E"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Depuis 08/09/2009 : liberté de stationnement sur emplacements réservés → aucune taxe de stationnement taxi ; possible taxe sur exploitation de parkings (voir 04006/364</w:t>
            </w:r>
            <w:r w:rsidRPr="00F768B6">
              <w:rPr>
                <w:rFonts w:cs="Cambria Math"/>
                <w:iCs/>
              </w:rPr>
              <w:t>‑</w:t>
            </w:r>
            <w:r w:rsidRPr="00F768B6">
              <w:rPr>
                <w:rFonts w:cstheme="majorHAnsi"/>
                <w:iCs/>
              </w:rPr>
              <w:t>48)</w:t>
            </w:r>
          </w:p>
        </w:tc>
        <w:tc>
          <w:tcPr>
            <w:tcW w:w="2268" w:type="dxa"/>
            <w:tcBorders>
              <w:top w:val="single" w:sz="4" w:space="0" w:color="auto"/>
              <w:left w:val="single" w:sz="4" w:space="0" w:color="auto"/>
              <w:bottom w:val="single" w:sz="4" w:space="0" w:color="auto"/>
              <w:right w:val="single" w:sz="4" w:space="0" w:color="auto"/>
            </w:tcBorders>
          </w:tcPr>
          <w:p w14:paraId="5191A21D" w14:textId="65BE8B61" w:rsidR="005E50DF" w:rsidRPr="01C1E901" w:rsidRDefault="005E50DF" w:rsidP="005E50D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6F07A990" w14:textId="77777777" w:rsidR="005E50DF" w:rsidRPr="00F768B6" w:rsidRDefault="005E50DF" w:rsidP="005E50DF">
            <w:pPr>
              <w:tabs>
                <w:tab w:val="left" w:pos="360"/>
                <w:tab w:val="left" w:pos="504"/>
              </w:tabs>
              <w:spacing w:before="120"/>
              <w:jc w:val="center"/>
              <w:textAlignment w:val="baseline"/>
              <w:rPr>
                <w:rFonts w:cstheme="majorHAnsi"/>
                <w:iCs/>
              </w:rPr>
            </w:pPr>
          </w:p>
        </w:tc>
      </w:tr>
      <w:tr w:rsidR="005E50DF" w:rsidRPr="00F91BDD" w14:paraId="033224ED" w14:textId="1400DB3F"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1210919" w14:textId="38140170" w:rsidR="005E50DF" w:rsidRPr="00F768B6" w:rsidRDefault="005E50DF" w:rsidP="005E50DF">
            <w:pPr>
              <w:pStyle w:val="Titre3"/>
              <w:numPr>
                <w:ilvl w:val="0"/>
                <w:numId w:val="0"/>
              </w:numPr>
              <w:ind w:left="786"/>
            </w:pPr>
            <w:bookmarkStart w:id="5528" w:name="_Toc225504477"/>
            <w:bookmarkStart w:id="5529" w:name="_Toc225772566"/>
            <w:bookmarkStart w:id="5530" w:name="_Toc233626433"/>
            <w:r w:rsidRPr="21B2FD55">
              <w:t>040/366-09 Commerces de frites/kiosques à journaux sur la voie publique</w:t>
            </w:r>
            <w:bookmarkEnd w:id="5528"/>
            <w:bookmarkEnd w:id="5529"/>
            <w:bookmarkEnd w:id="5530"/>
          </w:p>
          <w:p w14:paraId="0B66CC2B" w14:textId="77777777" w:rsidR="005E50DF" w:rsidRPr="00F768B6" w:rsidRDefault="005E50DF" w:rsidP="005E50DF">
            <w:pPr>
              <w:jc w:val="center"/>
              <w:rPr>
                <w:rFonts w:cstheme="majorHAnsi"/>
              </w:rPr>
            </w:pPr>
          </w:p>
        </w:tc>
        <w:tc>
          <w:tcPr>
            <w:tcW w:w="1275" w:type="dxa"/>
            <w:tcBorders>
              <w:top w:val="single" w:sz="4" w:space="0" w:color="auto"/>
              <w:left w:val="single" w:sz="4" w:space="0" w:color="auto"/>
              <w:bottom w:val="single" w:sz="4" w:space="0" w:color="auto"/>
              <w:right w:val="single" w:sz="4" w:space="0" w:color="auto"/>
            </w:tcBorders>
          </w:tcPr>
          <w:p w14:paraId="01B33710"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Redevance</w:t>
            </w:r>
          </w:p>
        </w:tc>
        <w:tc>
          <w:tcPr>
            <w:tcW w:w="2268" w:type="dxa"/>
            <w:tcBorders>
              <w:top w:val="single" w:sz="4" w:space="0" w:color="auto"/>
              <w:bottom w:val="single" w:sz="4" w:space="0" w:color="auto"/>
            </w:tcBorders>
          </w:tcPr>
          <w:p w14:paraId="7899BF22" w14:textId="1D580DF8"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Calcul au m²/jour</w:t>
            </w:r>
          </w:p>
        </w:tc>
        <w:tc>
          <w:tcPr>
            <w:tcW w:w="2268" w:type="dxa"/>
            <w:tcBorders>
              <w:top w:val="single" w:sz="4" w:space="0" w:color="auto"/>
              <w:left w:val="single" w:sz="4" w:space="0" w:color="auto"/>
              <w:bottom w:val="single" w:sz="4" w:space="0" w:color="auto"/>
              <w:right w:val="single" w:sz="4" w:space="0" w:color="auto"/>
            </w:tcBorders>
          </w:tcPr>
          <w:p w14:paraId="6D5901C3" w14:textId="59F5ECCA" w:rsidR="005E50DF" w:rsidRPr="01C1E901" w:rsidRDefault="005E50DF" w:rsidP="005E50D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7FE7C2F2" w14:textId="251AAC7B" w:rsidR="005E50DF" w:rsidRPr="00F768B6" w:rsidRDefault="005E50DF" w:rsidP="005E50DF">
            <w:pPr>
              <w:tabs>
                <w:tab w:val="left" w:pos="360"/>
                <w:tab w:val="left" w:pos="504"/>
              </w:tabs>
              <w:spacing w:before="120"/>
              <w:jc w:val="center"/>
              <w:textAlignment w:val="baseline"/>
              <w:rPr>
                <w:rFonts w:cstheme="majorBidi"/>
              </w:rPr>
            </w:pPr>
            <w:r w:rsidRPr="1C6C0DED">
              <w:rPr>
                <w:rFonts w:cstheme="majorBidi"/>
              </w:rPr>
              <w:t>Par m2 de commerce/kiosque et par jour</w:t>
            </w:r>
          </w:p>
        </w:tc>
      </w:tr>
      <w:tr w:rsidR="005E50DF" w:rsidRPr="00F91BDD" w14:paraId="37D7BCF3" w14:textId="792EAD8E"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35BF3FF6" w14:textId="2F096132" w:rsidR="005E50DF" w:rsidRPr="00F768B6" w:rsidRDefault="005E50DF" w:rsidP="005E50DF">
            <w:pPr>
              <w:pStyle w:val="Titre3"/>
              <w:jc w:val="center"/>
            </w:pPr>
            <w:bookmarkStart w:id="5531" w:name="_Toc225504478"/>
            <w:bookmarkStart w:id="5532" w:name="_Toc225772567"/>
            <w:bookmarkStart w:id="5533" w:name="_Toc233626434"/>
            <w:r w:rsidRPr="21B2FD55">
              <w:t>040/367 Taxes sur le patrimoine</w:t>
            </w:r>
            <w:bookmarkEnd w:id="5531"/>
            <w:bookmarkEnd w:id="5532"/>
            <w:bookmarkEnd w:id="5533"/>
          </w:p>
        </w:tc>
        <w:tc>
          <w:tcPr>
            <w:tcW w:w="1275" w:type="dxa"/>
            <w:tcBorders>
              <w:top w:val="single" w:sz="4" w:space="0" w:color="auto"/>
              <w:left w:val="single" w:sz="4" w:space="0" w:color="auto"/>
              <w:bottom w:val="single" w:sz="4" w:space="0" w:color="auto"/>
              <w:right w:val="single" w:sz="4" w:space="0" w:color="auto"/>
            </w:tcBorders>
          </w:tcPr>
          <w:p w14:paraId="05058C20" w14:textId="77777777" w:rsidR="005E50DF" w:rsidRPr="00F768B6" w:rsidRDefault="005E50DF" w:rsidP="005E50DF">
            <w:pPr>
              <w:tabs>
                <w:tab w:val="left" w:pos="360"/>
                <w:tab w:val="left" w:pos="504"/>
              </w:tabs>
              <w:spacing w:before="120"/>
              <w:jc w:val="center"/>
              <w:textAlignment w:val="baseline"/>
              <w:rPr>
                <w:rFonts w:cstheme="majorHAnsi"/>
                <w:iCs/>
              </w:rPr>
            </w:pPr>
          </w:p>
        </w:tc>
        <w:tc>
          <w:tcPr>
            <w:tcW w:w="2268" w:type="dxa"/>
            <w:tcBorders>
              <w:top w:val="single" w:sz="4" w:space="0" w:color="auto"/>
              <w:bottom w:val="single" w:sz="4" w:space="0" w:color="auto"/>
            </w:tcBorders>
          </w:tcPr>
          <w:p w14:paraId="5410078E" w14:textId="77777777" w:rsidR="005E50DF" w:rsidRPr="00F768B6" w:rsidRDefault="005E50DF" w:rsidP="005E50DF">
            <w:pPr>
              <w:tabs>
                <w:tab w:val="left" w:pos="360"/>
                <w:tab w:val="left" w:pos="504"/>
              </w:tabs>
              <w:spacing w:before="120"/>
              <w:jc w:val="center"/>
              <w:textAlignment w:val="baseline"/>
              <w:rPr>
                <w:rFonts w:cstheme="majorHAnsi"/>
                <w:iCs/>
              </w:rPr>
            </w:pPr>
          </w:p>
        </w:tc>
        <w:tc>
          <w:tcPr>
            <w:tcW w:w="2268" w:type="dxa"/>
            <w:tcBorders>
              <w:top w:val="single" w:sz="4" w:space="0" w:color="auto"/>
              <w:left w:val="single" w:sz="4" w:space="0" w:color="auto"/>
              <w:bottom w:val="single" w:sz="4" w:space="0" w:color="auto"/>
              <w:right w:val="single" w:sz="4" w:space="0" w:color="auto"/>
            </w:tcBorders>
          </w:tcPr>
          <w:p w14:paraId="6649CA75" w14:textId="4A89F872" w:rsidR="005E50DF" w:rsidRPr="01C1E901" w:rsidRDefault="005E50DF" w:rsidP="005E50D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0EC5134E" w14:textId="77777777" w:rsidR="005E50DF" w:rsidRPr="00F768B6" w:rsidRDefault="005E50DF" w:rsidP="005E50DF">
            <w:pPr>
              <w:tabs>
                <w:tab w:val="left" w:pos="360"/>
                <w:tab w:val="left" w:pos="504"/>
              </w:tabs>
              <w:spacing w:before="120"/>
              <w:jc w:val="center"/>
              <w:textAlignment w:val="baseline"/>
              <w:rPr>
                <w:rFonts w:cstheme="majorHAnsi"/>
                <w:iCs/>
              </w:rPr>
            </w:pPr>
          </w:p>
        </w:tc>
      </w:tr>
      <w:tr w:rsidR="005E50DF" w:rsidRPr="00F91BDD" w14:paraId="54EF1C69" w14:textId="39824E69"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6A788BD8" w14:textId="133EA445" w:rsidR="005E50DF" w:rsidRPr="00F768B6" w:rsidRDefault="005E50DF" w:rsidP="005E50DF">
            <w:pPr>
              <w:pStyle w:val="Titre3"/>
              <w:numPr>
                <w:ilvl w:val="0"/>
                <w:numId w:val="0"/>
              </w:numPr>
              <w:ind w:left="786"/>
            </w:pPr>
            <w:bookmarkStart w:id="5534" w:name="_Toc225504479"/>
            <w:bookmarkStart w:id="5535" w:name="_Toc225772568"/>
            <w:bookmarkStart w:id="5536" w:name="_Toc233626435"/>
            <w:r w:rsidRPr="21B2FD55">
              <w:t>04001/367-09 : Parcelles non bâties dans le périmètre d’urbanisation non périmé</w:t>
            </w:r>
            <w:bookmarkEnd w:id="5534"/>
            <w:bookmarkEnd w:id="5535"/>
            <w:bookmarkEnd w:id="5536"/>
          </w:p>
        </w:tc>
        <w:tc>
          <w:tcPr>
            <w:tcW w:w="1275" w:type="dxa"/>
            <w:tcBorders>
              <w:top w:val="single" w:sz="4" w:space="0" w:color="auto"/>
              <w:left w:val="single" w:sz="4" w:space="0" w:color="auto"/>
              <w:bottom w:val="single" w:sz="4" w:space="0" w:color="auto"/>
              <w:right w:val="single" w:sz="4" w:space="0" w:color="auto"/>
            </w:tcBorders>
          </w:tcPr>
          <w:p w14:paraId="2D99C7F1"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561C9931" w14:textId="77777777" w:rsidR="005E50DF" w:rsidRPr="00F768B6" w:rsidRDefault="005E50DF" w:rsidP="005E50DF">
            <w:pPr>
              <w:tabs>
                <w:tab w:val="left" w:pos="360"/>
                <w:tab w:val="left" w:pos="504"/>
              </w:tabs>
              <w:spacing w:before="120"/>
              <w:jc w:val="center"/>
              <w:textAlignment w:val="baseline"/>
              <w:rPr>
                <w:rFonts w:cstheme="majorHAnsi"/>
              </w:rPr>
            </w:pPr>
            <w:r w:rsidRPr="00F768B6">
              <w:rPr>
                <w:rFonts w:cstheme="majorHAnsi"/>
              </w:rPr>
              <w:t>60,00 € / m courant</w:t>
            </w:r>
          </w:p>
          <w:p w14:paraId="192EE07C" w14:textId="222DCC30" w:rsidR="005E50DF" w:rsidRPr="00F768B6" w:rsidRDefault="005E50DF" w:rsidP="005E50DF">
            <w:pPr>
              <w:tabs>
                <w:tab w:val="left" w:pos="360"/>
                <w:tab w:val="left" w:pos="504"/>
              </w:tabs>
              <w:spacing w:before="120"/>
              <w:jc w:val="center"/>
              <w:textAlignment w:val="baseline"/>
              <w:rPr>
                <w:rFonts w:cstheme="majorHAnsi"/>
              </w:rPr>
            </w:pPr>
            <w:r w:rsidRPr="00F768B6">
              <w:rPr>
                <w:rFonts w:cstheme="majorHAnsi"/>
              </w:rPr>
              <w:t>Plafond de 900,00 €/parcelle</w:t>
            </w:r>
          </w:p>
        </w:tc>
        <w:tc>
          <w:tcPr>
            <w:tcW w:w="2268" w:type="dxa"/>
            <w:tcBorders>
              <w:top w:val="single" w:sz="4" w:space="0" w:color="auto"/>
              <w:left w:val="single" w:sz="4" w:space="0" w:color="auto"/>
              <w:bottom w:val="single" w:sz="4" w:space="0" w:color="auto"/>
              <w:right w:val="single" w:sz="4" w:space="0" w:color="auto"/>
            </w:tcBorders>
          </w:tcPr>
          <w:p w14:paraId="5BE247BA" w14:textId="68A8C34C"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74,87 €/m courant</w:t>
            </w:r>
          </w:p>
          <w:p w14:paraId="02D33A3F" w14:textId="2F27BB9D"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1.123,11 €/parcelle</w:t>
            </w:r>
          </w:p>
        </w:tc>
        <w:tc>
          <w:tcPr>
            <w:tcW w:w="3261" w:type="dxa"/>
            <w:tcBorders>
              <w:top w:val="single" w:sz="4" w:space="0" w:color="auto"/>
              <w:left w:val="single" w:sz="4" w:space="0" w:color="auto"/>
              <w:bottom w:val="single" w:sz="4" w:space="0" w:color="auto"/>
              <w:right w:val="single" w:sz="4" w:space="0" w:color="auto"/>
            </w:tcBorders>
          </w:tcPr>
          <w:p w14:paraId="5706D907" w14:textId="0B57A090" w:rsidR="005E50DF" w:rsidRPr="00F768B6" w:rsidRDefault="005E50DF" w:rsidP="005E50DF">
            <w:pPr>
              <w:tabs>
                <w:tab w:val="left" w:pos="360"/>
                <w:tab w:val="left" w:pos="504"/>
              </w:tabs>
              <w:spacing w:before="120"/>
              <w:jc w:val="center"/>
              <w:textAlignment w:val="baseline"/>
              <w:rPr>
                <w:rFonts w:cstheme="majorBidi"/>
              </w:rPr>
            </w:pPr>
            <w:r w:rsidRPr="1C6C0DED">
              <w:rPr>
                <w:rFonts w:cstheme="majorBidi"/>
              </w:rPr>
              <w:t>Par mètre courant de longueur de parcelle et par an</w:t>
            </w:r>
          </w:p>
        </w:tc>
      </w:tr>
      <w:tr w:rsidR="005E50DF" w:rsidRPr="00F91BDD" w14:paraId="06FF5BE3" w14:textId="3CC0B4F0"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7421D144" w14:textId="6E4BC866" w:rsidR="005E50DF" w:rsidRPr="00F768B6" w:rsidRDefault="005E50DF" w:rsidP="005E50DF">
            <w:pPr>
              <w:pStyle w:val="Titre3"/>
              <w:numPr>
                <w:ilvl w:val="0"/>
                <w:numId w:val="0"/>
              </w:numPr>
              <w:ind w:left="786"/>
            </w:pPr>
            <w:bookmarkStart w:id="5537" w:name="_Toc225504480"/>
            <w:bookmarkStart w:id="5538" w:name="_Toc225772569"/>
            <w:bookmarkStart w:id="5539" w:name="_Toc233626436"/>
            <w:r w:rsidRPr="21B2FD55">
              <w:t>04002/367-09 : Parcelles non bâties en bordure d’une voie publique suffisamment équipée</w:t>
            </w:r>
            <w:bookmarkEnd w:id="5537"/>
            <w:bookmarkEnd w:id="5538"/>
            <w:bookmarkEnd w:id="5539"/>
          </w:p>
        </w:tc>
        <w:tc>
          <w:tcPr>
            <w:tcW w:w="1275" w:type="dxa"/>
            <w:tcBorders>
              <w:top w:val="single" w:sz="4" w:space="0" w:color="auto"/>
              <w:left w:val="single" w:sz="4" w:space="0" w:color="auto"/>
              <w:bottom w:val="single" w:sz="4" w:space="0" w:color="auto"/>
              <w:right w:val="single" w:sz="4" w:space="0" w:color="auto"/>
            </w:tcBorders>
          </w:tcPr>
          <w:p w14:paraId="506617D6"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51FF09AE" w14:textId="77777777" w:rsidR="005E50DF" w:rsidRPr="00F768B6" w:rsidRDefault="005E50DF" w:rsidP="005E50DF">
            <w:pPr>
              <w:tabs>
                <w:tab w:val="left" w:pos="360"/>
                <w:tab w:val="left" w:pos="504"/>
              </w:tabs>
              <w:spacing w:before="120"/>
              <w:jc w:val="center"/>
              <w:textAlignment w:val="baseline"/>
              <w:rPr>
                <w:rFonts w:cstheme="majorHAnsi"/>
              </w:rPr>
            </w:pPr>
            <w:r w:rsidRPr="00F768B6">
              <w:rPr>
                <w:rFonts w:cstheme="majorHAnsi"/>
              </w:rPr>
              <w:t>120,00 € / m courant</w:t>
            </w:r>
          </w:p>
          <w:p w14:paraId="1BE30847" w14:textId="4023338D" w:rsidR="005E50DF" w:rsidRPr="00F768B6" w:rsidRDefault="005E50DF" w:rsidP="005E50DF">
            <w:pPr>
              <w:tabs>
                <w:tab w:val="left" w:pos="360"/>
                <w:tab w:val="left" w:pos="504"/>
              </w:tabs>
              <w:spacing w:before="120"/>
              <w:jc w:val="center"/>
              <w:textAlignment w:val="baseline"/>
              <w:rPr>
                <w:rFonts w:cstheme="majorHAnsi"/>
              </w:rPr>
            </w:pPr>
            <w:r w:rsidRPr="00F768B6">
              <w:rPr>
                <w:rFonts w:cstheme="majorHAnsi"/>
              </w:rPr>
              <w:t>Plafond de 1.800,00 € / terrain</w:t>
            </w:r>
          </w:p>
        </w:tc>
        <w:tc>
          <w:tcPr>
            <w:tcW w:w="2268" w:type="dxa"/>
            <w:tcBorders>
              <w:top w:val="single" w:sz="4" w:space="0" w:color="auto"/>
              <w:left w:val="single" w:sz="4" w:space="0" w:color="auto"/>
              <w:bottom w:val="single" w:sz="4" w:space="0" w:color="auto"/>
              <w:right w:val="single" w:sz="4" w:space="0" w:color="auto"/>
            </w:tcBorders>
          </w:tcPr>
          <w:p w14:paraId="62929D59" w14:textId="1BC790CA"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149,75 €/m courant</w:t>
            </w:r>
          </w:p>
          <w:p w14:paraId="021A6518" w14:textId="083325B2"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2246,22 €/ terrain</w:t>
            </w:r>
          </w:p>
        </w:tc>
        <w:tc>
          <w:tcPr>
            <w:tcW w:w="3261" w:type="dxa"/>
            <w:tcBorders>
              <w:top w:val="single" w:sz="4" w:space="0" w:color="auto"/>
              <w:left w:val="single" w:sz="4" w:space="0" w:color="auto"/>
              <w:bottom w:val="single" w:sz="4" w:space="0" w:color="auto"/>
              <w:right w:val="single" w:sz="4" w:space="0" w:color="auto"/>
            </w:tcBorders>
          </w:tcPr>
          <w:p w14:paraId="47EA3B65" w14:textId="3BB7586E" w:rsidR="005E50DF" w:rsidRPr="00F768B6" w:rsidRDefault="005E50DF" w:rsidP="005E50DF">
            <w:pPr>
              <w:tabs>
                <w:tab w:val="left" w:pos="360"/>
                <w:tab w:val="left" w:pos="504"/>
              </w:tabs>
              <w:spacing w:before="120"/>
              <w:jc w:val="center"/>
              <w:textAlignment w:val="baseline"/>
              <w:rPr>
                <w:rFonts w:cstheme="majorBidi"/>
              </w:rPr>
            </w:pPr>
            <w:r w:rsidRPr="1C6C0DED">
              <w:rPr>
                <w:rFonts w:cstheme="majorBidi"/>
              </w:rPr>
              <w:t>Par mètre courant de longueur de parcelle et par an</w:t>
            </w:r>
          </w:p>
        </w:tc>
      </w:tr>
      <w:tr w:rsidR="005E50DF" w:rsidRPr="00F91BDD" w14:paraId="0F4A1388" w14:textId="7FF57438"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0D74CD9D" w14:textId="60A85F53" w:rsidR="005E50DF" w:rsidRPr="00F768B6" w:rsidRDefault="005E50DF" w:rsidP="005E50DF">
            <w:pPr>
              <w:pStyle w:val="Titre3"/>
              <w:numPr>
                <w:ilvl w:val="0"/>
                <w:numId w:val="0"/>
              </w:numPr>
              <w:ind w:left="786"/>
            </w:pPr>
            <w:bookmarkStart w:id="5540" w:name="_Toc225504481"/>
            <w:bookmarkStart w:id="5541" w:name="_Toc225772570"/>
            <w:bookmarkStart w:id="5542" w:name="_Toc233626437"/>
            <w:r w:rsidRPr="21B2FD55">
              <w:t>04003/367-09 : Terrains non bâtis dans les centralités</w:t>
            </w:r>
            <w:bookmarkEnd w:id="5540"/>
            <w:bookmarkEnd w:id="5541"/>
            <w:bookmarkEnd w:id="5542"/>
          </w:p>
        </w:tc>
        <w:tc>
          <w:tcPr>
            <w:tcW w:w="1275" w:type="dxa"/>
            <w:tcBorders>
              <w:top w:val="single" w:sz="4" w:space="0" w:color="auto"/>
              <w:left w:val="single" w:sz="4" w:space="0" w:color="auto"/>
              <w:bottom w:val="single" w:sz="4" w:space="0" w:color="auto"/>
              <w:right w:val="single" w:sz="4" w:space="0" w:color="auto"/>
            </w:tcBorders>
          </w:tcPr>
          <w:p w14:paraId="5500B1B6"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217D6BCF" w14:textId="77777777" w:rsidR="005E50DF" w:rsidRPr="00F768B6" w:rsidRDefault="005E50DF" w:rsidP="005E50DF">
            <w:pPr>
              <w:tabs>
                <w:tab w:val="left" w:pos="360"/>
                <w:tab w:val="left" w:pos="504"/>
              </w:tabs>
              <w:spacing w:before="120"/>
              <w:jc w:val="center"/>
              <w:textAlignment w:val="baseline"/>
              <w:rPr>
                <w:rFonts w:cstheme="majorHAnsi"/>
              </w:rPr>
            </w:pPr>
            <w:r w:rsidRPr="00F768B6">
              <w:rPr>
                <w:rFonts w:cstheme="majorHAnsi"/>
              </w:rPr>
              <w:t>120,00 € / m courant</w:t>
            </w:r>
          </w:p>
          <w:p w14:paraId="634BEFBF" w14:textId="639DB7E4" w:rsidR="005E50DF" w:rsidRPr="00F768B6" w:rsidRDefault="005E50DF" w:rsidP="005E50DF">
            <w:pPr>
              <w:tabs>
                <w:tab w:val="left" w:pos="360"/>
                <w:tab w:val="left" w:pos="504"/>
              </w:tabs>
              <w:spacing w:before="120"/>
              <w:jc w:val="center"/>
              <w:textAlignment w:val="baseline"/>
              <w:rPr>
                <w:rFonts w:cstheme="majorHAnsi"/>
              </w:rPr>
            </w:pPr>
            <w:r w:rsidRPr="00F768B6">
              <w:rPr>
                <w:rFonts w:cstheme="majorHAnsi"/>
              </w:rPr>
              <w:t>Plafond de 1.800,00 € / terrain</w:t>
            </w:r>
          </w:p>
        </w:tc>
        <w:tc>
          <w:tcPr>
            <w:tcW w:w="2268" w:type="dxa"/>
            <w:tcBorders>
              <w:top w:val="single" w:sz="4" w:space="0" w:color="auto"/>
              <w:left w:val="single" w:sz="4" w:space="0" w:color="auto"/>
              <w:bottom w:val="single" w:sz="4" w:space="0" w:color="auto"/>
              <w:right w:val="single" w:sz="4" w:space="0" w:color="auto"/>
            </w:tcBorders>
          </w:tcPr>
          <w:p w14:paraId="1310855B" w14:textId="7189954D"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149,75 €/m courant</w:t>
            </w:r>
          </w:p>
          <w:p w14:paraId="74A36729" w14:textId="183C9C59"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2246,22 €/ terrain</w:t>
            </w:r>
          </w:p>
        </w:tc>
        <w:tc>
          <w:tcPr>
            <w:tcW w:w="3261" w:type="dxa"/>
            <w:tcBorders>
              <w:top w:val="single" w:sz="4" w:space="0" w:color="auto"/>
              <w:left w:val="single" w:sz="4" w:space="0" w:color="auto"/>
              <w:bottom w:val="single" w:sz="4" w:space="0" w:color="auto"/>
              <w:right w:val="single" w:sz="4" w:space="0" w:color="auto"/>
            </w:tcBorders>
          </w:tcPr>
          <w:p w14:paraId="06788315" w14:textId="142194FC" w:rsidR="005E50DF" w:rsidRPr="00F768B6" w:rsidRDefault="005E50DF" w:rsidP="005E50DF">
            <w:pPr>
              <w:tabs>
                <w:tab w:val="left" w:pos="360"/>
                <w:tab w:val="left" w:pos="504"/>
              </w:tabs>
              <w:spacing w:before="120"/>
              <w:jc w:val="center"/>
              <w:textAlignment w:val="baseline"/>
              <w:rPr>
                <w:rFonts w:cstheme="majorBidi"/>
              </w:rPr>
            </w:pPr>
            <w:r w:rsidRPr="1C6C0DED">
              <w:rPr>
                <w:rFonts w:cstheme="majorBidi"/>
              </w:rPr>
              <w:t>Par mètre courant de longueur de terrain et par an</w:t>
            </w:r>
          </w:p>
        </w:tc>
      </w:tr>
      <w:tr w:rsidR="005E50DF" w:rsidRPr="00F91BDD" w14:paraId="7249EC91" w14:textId="58495E1F"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7DBFC55" w14:textId="4CA2D061" w:rsidR="005E50DF" w:rsidRPr="00F768B6" w:rsidRDefault="005E50DF" w:rsidP="005E50DF">
            <w:pPr>
              <w:pStyle w:val="Titre3"/>
              <w:numPr>
                <w:ilvl w:val="0"/>
                <w:numId w:val="0"/>
              </w:numPr>
              <w:ind w:left="786"/>
            </w:pPr>
            <w:bookmarkStart w:id="5543" w:name="_Toc225504482"/>
            <w:bookmarkStart w:id="5544" w:name="_Toc225772571"/>
            <w:bookmarkStart w:id="5545" w:name="_Toc233626438"/>
            <w:r w:rsidRPr="21B2FD55">
              <w:t>040/367-11 : Absence d’emplacement de parcage</w:t>
            </w:r>
            <w:bookmarkEnd w:id="5543"/>
            <w:bookmarkEnd w:id="5544"/>
            <w:bookmarkEnd w:id="5545"/>
          </w:p>
        </w:tc>
        <w:tc>
          <w:tcPr>
            <w:tcW w:w="1275" w:type="dxa"/>
            <w:tcBorders>
              <w:top w:val="single" w:sz="4" w:space="0" w:color="auto"/>
              <w:left w:val="single" w:sz="4" w:space="0" w:color="auto"/>
              <w:bottom w:val="single" w:sz="4" w:space="0" w:color="auto"/>
              <w:right w:val="single" w:sz="4" w:space="0" w:color="auto"/>
            </w:tcBorders>
          </w:tcPr>
          <w:p w14:paraId="3D6C1DFF"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indirecte</w:t>
            </w:r>
          </w:p>
        </w:tc>
        <w:tc>
          <w:tcPr>
            <w:tcW w:w="2268" w:type="dxa"/>
            <w:tcBorders>
              <w:top w:val="single" w:sz="4" w:space="0" w:color="auto"/>
              <w:bottom w:val="single" w:sz="4" w:space="0" w:color="auto"/>
            </w:tcBorders>
          </w:tcPr>
          <w:p w14:paraId="7A058988" w14:textId="34A4A1E9"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6000€/emplacement manquant</w:t>
            </w:r>
          </w:p>
        </w:tc>
        <w:tc>
          <w:tcPr>
            <w:tcW w:w="2268" w:type="dxa"/>
            <w:tcBorders>
              <w:top w:val="single" w:sz="4" w:space="0" w:color="auto"/>
              <w:left w:val="single" w:sz="4" w:space="0" w:color="auto"/>
              <w:bottom w:val="single" w:sz="4" w:space="0" w:color="auto"/>
              <w:right w:val="single" w:sz="4" w:space="0" w:color="auto"/>
            </w:tcBorders>
          </w:tcPr>
          <w:p w14:paraId="084A8346" w14:textId="6921B1A0"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7487,4€/emplacement</w:t>
            </w:r>
          </w:p>
        </w:tc>
        <w:tc>
          <w:tcPr>
            <w:tcW w:w="3261" w:type="dxa"/>
            <w:tcBorders>
              <w:top w:val="single" w:sz="4" w:space="0" w:color="auto"/>
              <w:left w:val="single" w:sz="4" w:space="0" w:color="auto"/>
              <w:bottom w:val="single" w:sz="4" w:space="0" w:color="auto"/>
              <w:right w:val="single" w:sz="4" w:space="0" w:color="auto"/>
            </w:tcBorders>
          </w:tcPr>
          <w:p w14:paraId="11ACAC86" w14:textId="2A0CF8F2"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Par emplacement manquant</w:t>
            </w:r>
          </w:p>
        </w:tc>
      </w:tr>
      <w:tr w:rsidR="005E50DF" w:rsidRPr="00F91BDD" w14:paraId="2E61A8FD" w14:textId="28633B51"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19056E6A" w14:textId="48293628" w:rsidR="005E50DF" w:rsidRPr="00F768B6" w:rsidRDefault="005E50DF" w:rsidP="005E50DF">
            <w:pPr>
              <w:pStyle w:val="Titre3"/>
              <w:numPr>
                <w:ilvl w:val="0"/>
                <w:numId w:val="0"/>
              </w:numPr>
              <w:ind w:left="786"/>
            </w:pPr>
            <w:bookmarkStart w:id="5546" w:name="_Toc225504483"/>
            <w:bookmarkStart w:id="5547" w:name="_Toc225772572"/>
            <w:bookmarkStart w:id="5548" w:name="_Toc233626439"/>
            <w:r w:rsidRPr="21B2FD55">
              <w:lastRenderedPageBreak/>
              <w:t>040/367-13 : Secondes résidences</w:t>
            </w:r>
            <w:bookmarkEnd w:id="5546"/>
            <w:bookmarkEnd w:id="5547"/>
            <w:bookmarkEnd w:id="5548"/>
          </w:p>
        </w:tc>
        <w:tc>
          <w:tcPr>
            <w:tcW w:w="1275" w:type="dxa"/>
            <w:tcBorders>
              <w:top w:val="single" w:sz="4" w:space="0" w:color="auto"/>
              <w:left w:val="single" w:sz="4" w:space="0" w:color="auto"/>
              <w:bottom w:val="single" w:sz="4" w:space="0" w:color="auto"/>
              <w:right w:val="single" w:sz="4" w:space="0" w:color="auto"/>
            </w:tcBorders>
          </w:tcPr>
          <w:p w14:paraId="0069962E"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w:t>
            </w:r>
          </w:p>
        </w:tc>
        <w:tc>
          <w:tcPr>
            <w:tcW w:w="2268" w:type="dxa"/>
            <w:tcBorders>
              <w:top w:val="single" w:sz="4" w:space="0" w:color="auto"/>
              <w:bottom w:val="single" w:sz="4" w:space="0" w:color="auto"/>
            </w:tcBorders>
          </w:tcPr>
          <w:p w14:paraId="2AE439B1"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720€/logement</w:t>
            </w:r>
          </w:p>
          <w:p w14:paraId="1086112C"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250€/emplacement de camping certifié</w:t>
            </w:r>
          </w:p>
          <w:p w14:paraId="029029CF" w14:textId="024D7E9C"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125€/kot</w:t>
            </w:r>
          </w:p>
        </w:tc>
        <w:tc>
          <w:tcPr>
            <w:tcW w:w="2268" w:type="dxa"/>
            <w:tcBorders>
              <w:top w:val="single" w:sz="4" w:space="0" w:color="auto"/>
              <w:left w:val="single" w:sz="4" w:space="0" w:color="auto"/>
              <w:bottom w:val="single" w:sz="4" w:space="0" w:color="auto"/>
              <w:right w:val="single" w:sz="4" w:space="0" w:color="auto"/>
            </w:tcBorders>
          </w:tcPr>
          <w:p w14:paraId="2B71EF1F" w14:textId="52622AD0"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898,49€</w:t>
            </w:r>
          </w:p>
          <w:p w14:paraId="5600F438" w14:textId="382096DC"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311,97€</w:t>
            </w:r>
          </w:p>
          <w:p w14:paraId="5921FC35" w14:textId="39B3BE11"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155,99€</w:t>
            </w:r>
          </w:p>
        </w:tc>
        <w:tc>
          <w:tcPr>
            <w:tcW w:w="3261" w:type="dxa"/>
            <w:tcBorders>
              <w:top w:val="single" w:sz="4" w:space="0" w:color="auto"/>
              <w:left w:val="single" w:sz="4" w:space="0" w:color="auto"/>
              <w:bottom w:val="single" w:sz="4" w:space="0" w:color="auto"/>
              <w:right w:val="single" w:sz="4" w:space="0" w:color="auto"/>
            </w:tcBorders>
          </w:tcPr>
          <w:p w14:paraId="64341260" w14:textId="77777777" w:rsidR="005E50DF" w:rsidRDefault="005E50DF" w:rsidP="005E50DF">
            <w:pPr>
              <w:tabs>
                <w:tab w:val="left" w:pos="360"/>
                <w:tab w:val="left" w:pos="504"/>
              </w:tabs>
              <w:spacing w:before="120"/>
              <w:jc w:val="center"/>
              <w:textAlignment w:val="baseline"/>
              <w:rPr>
                <w:rFonts w:cstheme="majorHAnsi"/>
                <w:iCs/>
              </w:rPr>
            </w:pPr>
            <w:r>
              <w:rPr>
                <w:rFonts w:cstheme="majorHAnsi"/>
                <w:iCs/>
              </w:rPr>
              <w:t>Par logement et par an</w:t>
            </w:r>
          </w:p>
          <w:p w14:paraId="1D96DB96" w14:textId="50AB2971" w:rsidR="005E50DF" w:rsidRDefault="005E50DF" w:rsidP="005E50DF">
            <w:pPr>
              <w:tabs>
                <w:tab w:val="left" w:pos="360"/>
                <w:tab w:val="left" w:pos="504"/>
              </w:tabs>
              <w:spacing w:before="120"/>
              <w:jc w:val="center"/>
              <w:textAlignment w:val="baseline"/>
              <w:rPr>
                <w:rFonts w:cstheme="majorHAnsi"/>
                <w:iCs/>
              </w:rPr>
            </w:pPr>
            <w:r>
              <w:rPr>
                <w:rFonts w:cstheme="majorHAnsi"/>
                <w:iCs/>
              </w:rPr>
              <w:t>Par emplacement et par an</w:t>
            </w:r>
          </w:p>
          <w:p w14:paraId="01E75378" w14:textId="06A9E76F"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Par kot et par an</w:t>
            </w:r>
          </w:p>
        </w:tc>
      </w:tr>
      <w:tr w:rsidR="005E50DF" w:rsidRPr="00F91BDD" w14:paraId="5AE287F0" w14:textId="2279C92F"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739CB318" w14:textId="2B79A6FA" w:rsidR="005E50DF" w:rsidRPr="00F768B6" w:rsidRDefault="005E50DF" w:rsidP="005E50DF">
            <w:pPr>
              <w:pStyle w:val="Titre3"/>
              <w:numPr>
                <w:ilvl w:val="0"/>
                <w:numId w:val="0"/>
              </w:numPr>
              <w:ind w:left="786"/>
            </w:pPr>
            <w:bookmarkStart w:id="5549" w:name="_Toc225504484"/>
            <w:bookmarkStart w:id="5550" w:name="_Toc225772573"/>
            <w:bookmarkStart w:id="5551" w:name="_Toc233626440"/>
            <w:r w:rsidRPr="21B2FD55">
              <w:t>040/367-15 : Immeubles inoccupés et/ou délabrés</w:t>
            </w:r>
            <w:bookmarkEnd w:id="5549"/>
            <w:bookmarkEnd w:id="5550"/>
            <w:bookmarkEnd w:id="5551"/>
          </w:p>
        </w:tc>
        <w:tc>
          <w:tcPr>
            <w:tcW w:w="1275" w:type="dxa"/>
            <w:tcBorders>
              <w:top w:val="single" w:sz="4" w:space="0" w:color="auto"/>
              <w:left w:val="single" w:sz="4" w:space="0" w:color="auto"/>
              <w:bottom w:val="single" w:sz="4" w:space="0" w:color="auto"/>
              <w:right w:val="single" w:sz="4" w:space="0" w:color="auto"/>
            </w:tcBorders>
          </w:tcPr>
          <w:p w14:paraId="5D8FA0F8" w14:textId="5C0F680A"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w:t>
            </w:r>
          </w:p>
        </w:tc>
        <w:tc>
          <w:tcPr>
            <w:tcW w:w="2268" w:type="dxa"/>
            <w:tcBorders>
              <w:top w:val="single" w:sz="4" w:space="0" w:color="auto"/>
              <w:bottom w:val="single" w:sz="4" w:space="0" w:color="auto"/>
            </w:tcBorders>
          </w:tcPr>
          <w:p w14:paraId="71FECDEE" w14:textId="77777777" w:rsidR="005E50DF" w:rsidRPr="00F91BDD" w:rsidRDefault="005E50DF" w:rsidP="005E50DF">
            <w:pPr>
              <w:spacing w:before="120"/>
              <w:jc w:val="center"/>
              <w:textAlignment w:val="baseline"/>
            </w:pPr>
            <w:r w:rsidRPr="00F91BDD">
              <w:t>1</w:t>
            </w:r>
            <w:r w:rsidRPr="00F91BDD">
              <w:rPr>
                <w:vertAlign w:val="superscript"/>
              </w:rPr>
              <w:t>ère</w:t>
            </w:r>
            <w:r w:rsidRPr="00F91BDD">
              <w:t xml:space="preserve"> taxation</w:t>
            </w:r>
            <w:r>
              <w:t xml:space="preserve"> : </w:t>
            </w:r>
            <w:r w:rsidRPr="00F91BDD">
              <w:rPr>
                <w:rFonts w:cs="Calibri Light"/>
              </w:rPr>
              <w:t>minimum</w:t>
            </w:r>
            <w:r w:rsidRPr="00F91BDD">
              <w:t xml:space="preserve"> de 25,00 euros par</w:t>
            </w:r>
            <w:r>
              <w:t xml:space="preserve"> mètre</w:t>
            </w:r>
            <w:r w:rsidRPr="00F91BDD">
              <w:t xml:space="preserve"> courant de façade</w:t>
            </w:r>
          </w:p>
          <w:p w14:paraId="572F2A8F" w14:textId="77777777" w:rsidR="005E50DF" w:rsidRPr="00F91BDD" w:rsidRDefault="005E50DF" w:rsidP="005E50DF">
            <w:pPr>
              <w:spacing w:before="120"/>
              <w:jc w:val="center"/>
              <w:textAlignment w:val="baseline"/>
            </w:pPr>
            <w:r w:rsidRPr="00F91BDD">
              <w:t>2</w:t>
            </w:r>
            <w:r w:rsidRPr="00F91BDD">
              <w:rPr>
                <w:vertAlign w:val="superscript"/>
              </w:rPr>
              <w:t>ème</w:t>
            </w:r>
            <w:r w:rsidRPr="00F91BDD">
              <w:t xml:space="preserve"> taxation : </w:t>
            </w:r>
            <w:r w:rsidRPr="00F91BDD">
              <w:rPr>
                <w:rFonts w:cs="Calibri Light"/>
              </w:rPr>
              <w:t>minimum</w:t>
            </w:r>
            <w:r w:rsidRPr="00F91BDD">
              <w:t xml:space="preserve"> de 50,00 euros par mètre courant de façade</w:t>
            </w:r>
          </w:p>
          <w:p w14:paraId="47808D89" w14:textId="4EB712FC" w:rsidR="005E50DF" w:rsidRPr="00F91BDD" w:rsidRDefault="005E50DF" w:rsidP="005E50DF">
            <w:pPr>
              <w:spacing w:before="120"/>
              <w:jc w:val="center"/>
              <w:textAlignment w:val="baseline"/>
            </w:pPr>
            <w:r w:rsidRPr="00F91BDD">
              <w:t>A partir de la 3</w:t>
            </w:r>
            <w:r w:rsidRPr="00F91BDD">
              <w:rPr>
                <w:vertAlign w:val="superscript"/>
              </w:rPr>
              <w:t>ème</w:t>
            </w:r>
            <w:r w:rsidRPr="00F91BDD">
              <w:t xml:space="preserve"> taxation : </w:t>
            </w:r>
            <w:r w:rsidRPr="00F91BDD">
              <w:rPr>
                <w:rFonts w:cs="Calibri Light"/>
              </w:rPr>
              <w:t>minimum</w:t>
            </w:r>
            <w:r w:rsidRPr="00F91BDD">
              <w:t xml:space="preserve"> de 200,00 euros par mètre courant de façade</w:t>
            </w:r>
          </w:p>
          <w:p w14:paraId="29C29597" w14:textId="77777777" w:rsidR="005E50DF" w:rsidRPr="00F91BDD" w:rsidRDefault="005E50DF" w:rsidP="005E50DF">
            <w:pPr>
              <w:spacing w:before="120"/>
              <w:jc w:val="center"/>
              <w:textAlignment w:val="baseline"/>
            </w:pPr>
            <w:r>
              <w:t>Taux maximum de 270,00 euros par mètre courant de façade</w:t>
            </w:r>
          </w:p>
          <w:p w14:paraId="0F087153" w14:textId="59B4D2AF" w:rsidR="005E50DF" w:rsidRDefault="005E50DF" w:rsidP="005E50DF">
            <w:pPr>
              <w:spacing w:before="120"/>
              <w:jc w:val="center"/>
            </w:pPr>
            <w:r>
              <w:t>Ou</w:t>
            </w:r>
          </w:p>
          <w:p w14:paraId="1A3F2689" w14:textId="112AF0B4" w:rsidR="005E50DF" w:rsidRDefault="005E50DF" w:rsidP="005E50DF">
            <w:pPr>
              <w:spacing w:before="120"/>
              <w:jc w:val="center"/>
            </w:pPr>
            <w:r>
              <w:t>1</w:t>
            </w:r>
            <w:r w:rsidRPr="42E2FCEB">
              <w:rPr>
                <w:vertAlign w:val="superscript"/>
              </w:rPr>
              <w:t>ère</w:t>
            </w:r>
            <w:r>
              <w:t xml:space="preserve"> taxation : </w:t>
            </w:r>
            <w:r w:rsidRPr="42E2FCEB">
              <w:rPr>
                <w:rFonts w:cs="Calibri Light"/>
              </w:rPr>
              <w:t>minimum</w:t>
            </w:r>
            <w:r>
              <w:t xml:space="preserve"> de 5,00 euros par m2</w:t>
            </w:r>
          </w:p>
          <w:p w14:paraId="5D502829" w14:textId="21A4E536" w:rsidR="005E50DF" w:rsidRDefault="005E50DF" w:rsidP="005E50DF">
            <w:pPr>
              <w:spacing w:before="120"/>
              <w:jc w:val="center"/>
            </w:pPr>
            <w:r>
              <w:t>2</w:t>
            </w:r>
            <w:r w:rsidRPr="42E2FCEB">
              <w:rPr>
                <w:vertAlign w:val="superscript"/>
              </w:rPr>
              <w:t>ème</w:t>
            </w:r>
            <w:r>
              <w:t xml:space="preserve"> taxation : </w:t>
            </w:r>
            <w:r w:rsidRPr="42E2FCEB">
              <w:rPr>
                <w:rFonts w:cs="Calibri Light"/>
              </w:rPr>
              <w:t>minimum</w:t>
            </w:r>
            <w:r>
              <w:t xml:space="preserve"> de 10,00 euros par m2</w:t>
            </w:r>
          </w:p>
          <w:p w14:paraId="78FE1915" w14:textId="35F87F6D" w:rsidR="005E50DF" w:rsidRDefault="005E50DF" w:rsidP="005E50DF">
            <w:pPr>
              <w:spacing w:before="120"/>
              <w:jc w:val="center"/>
            </w:pPr>
            <w:r>
              <w:t>A partir de la 3</w:t>
            </w:r>
            <w:r w:rsidRPr="42E2FCEB">
              <w:rPr>
                <w:vertAlign w:val="superscript"/>
              </w:rPr>
              <w:t>ème</w:t>
            </w:r>
            <w:r>
              <w:t xml:space="preserve"> taxation : </w:t>
            </w:r>
            <w:r w:rsidRPr="42E2FCEB">
              <w:rPr>
                <w:rFonts w:cs="Calibri Light"/>
              </w:rPr>
              <w:t>minimum</w:t>
            </w:r>
            <w:r>
              <w:t xml:space="preserve"> de 40,00 euros par m2</w:t>
            </w:r>
          </w:p>
          <w:p w14:paraId="394D0864" w14:textId="24361305" w:rsidR="005E50DF" w:rsidRDefault="005E50DF" w:rsidP="005E50DF">
            <w:pPr>
              <w:spacing w:before="120"/>
              <w:jc w:val="center"/>
            </w:pPr>
            <w:r>
              <w:t>Taux maximum de 54,00 euros par m2</w:t>
            </w:r>
          </w:p>
          <w:p w14:paraId="727DB341" w14:textId="39F3677B" w:rsidR="005E50DF" w:rsidRDefault="005E50DF" w:rsidP="005E50DF">
            <w:pPr>
              <w:spacing w:before="120"/>
              <w:jc w:val="center"/>
            </w:pPr>
          </w:p>
          <w:p w14:paraId="030F751A" w14:textId="5E4EA653" w:rsidR="005E50DF" w:rsidRDefault="005E50DF" w:rsidP="005E50DF">
            <w:pPr>
              <w:spacing w:before="120"/>
              <w:jc w:val="center"/>
            </w:pPr>
          </w:p>
          <w:p w14:paraId="7D3005A7" w14:textId="77777777" w:rsidR="005E50DF" w:rsidRDefault="005E50DF" w:rsidP="005E50DF">
            <w:pPr>
              <w:spacing w:before="120"/>
              <w:jc w:val="center"/>
              <w:textAlignment w:val="baseline"/>
              <w:rPr>
                <w:rFonts w:cs="Calibri Light"/>
              </w:rPr>
            </w:pPr>
          </w:p>
        </w:tc>
        <w:tc>
          <w:tcPr>
            <w:tcW w:w="2268" w:type="dxa"/>
            <w:tcBorders>
              <w:top w:val="single" w:sz="4" w:space="0" w:color="auto"/>
              <w:left w:val="single" w:sz="4" w:space="0" w:color="auto"/>
              <w:bottom w:val="single" w:sz="4" w:space="0" w:color="auto"/>
              <w:right w:val="single" w:sz="4" w:space="0" w:color="auto"/>
            </w:tcBorders>
          </w:tcPr>
          <w:p w14:paraId="2B91A53C" w14:textId="279D6C64" w:rsidR="005E50DF" w:rsidRDefault="005E50DF" w:rsidP="005E50DF">
            <w:pPr>
              <w:spacing w:before="120"/>
              <w:jc w:val="center"/>
              <w:rPr>
                <w:rFonts w:ascii="Cambria" w:eastAsia="Cambria" w:hAnsi="Cambria" w:cs="Cambria"/>
              </w:rPr>
            </w:pPr>
          </w:p>
          <w:p w14:paraId="41540479" w14:textId="6C905AD6" w:rsidR="005E50DF" w:rsidRDefault="005E50DF" w:rsidP="005E50DF">
            <w:pPr>
              <w:spacing w:before="120"/>
              <w:jc w:val="center"/>
              <w:rPr>
                <w:rFonts w:ascii="Cambria" w:eastAsia="Cambria" w:hAnsi="Cambria" w:cs="Cambria"/>
              </w:rPr>
            </w:pPr>
            <w:r w:rsidRPr="42E2FCEB">
              <w:rPr>
                <w:rFonts w:ascii="Cambria" w:eastAsia="Cambria" w:hAnsi="Cambria" w:cs="Cambria"/>
              </w:rPr>
              <w:t>Min. 31,20€</w:t>
            </w:r>
          </w:p>
          <w:p w14:paraId="4A640B51" w14:textId="60603ACA" w:rsidR="005E50DF" w:rsidRDefault="005E50DF" w:rsidP="005E50DF">
            <w:pPr>
              <w:spacing w:before="120"/>
              <w:jc w:val="center"/>
              <w:rPr>
                <w:rFonts w:ascii="Cambria" w:eastAsia="Cambria" w:hAnsi="Cambria" w:cs="Cambria"/>
              </w:rPr>
            </w:pPr>
          </w:p>
          <w:p w14:paraId="44A81998" w14:textId="66BC5124" w:rsidR="005E50DF" w:rsidRDefault="005E50DF" w:rsidP="005E50DF">
            <w:pPr>
              <w:spacing w:before="120"/>
              <w:jc w:val="center"/>
              <w:rPr>
                <w:rFonts w:ascii="Cambria" w:eastAsia="Cambria" w:hAnsi="Cambria" w:cs="Cambria"/>
              </w:rPr>
            </w:pPr>
          </w:p>
          <w:p w14:paraId="283377AE" w14:textId="2936CB30" w:rsidR="005E50DF" w:rsidRDefault="005E50DF" w:rsidP="005E50DF">
            <w:pPr>
              <w:spacing w:before="120"/>
              <w:jc w:val="center"/>
              <w:rPr>
                <w:rFonts w:ascii="Cambria" w:eastAsia="Cambria" w:hAnsi="Cambria" w:cs="Cambria"/>
              </w:rPr>
            </w:pPr>
            <w:r w:rsidRPr="42E2FCEB">
              <w:rPr>
                <w:rFonts w:ascii="Cambria" w:eastAsia="Cambria" w:hAnsi="Cambria" w:cs="Cambria"/>
              </w:rPr>
              <w:t>Min. 62,</w:t>
            </w:r>
            <w:r w:rsidRPr="1C6C0DED">
              <w:rPr>
                <w:rFonts w:ascii="Cambria" w:eastAsia="Cambria" w:hAnsi="Cambria" w:cs="Cambria"/>
              </w:rPr>
              <w:t>40</w:t>
            </w:r>
            <w:r w:rsidRPr="42E2FCEB">
              <w:rPr>
                <w:rFonts w:ascii="Cambria" w:eastAsia="Cambria" w:hAnsi="Cambria" w:cs="Cambria"/>
              </w:rPr>
              <w:t>€</w:t>
            </w:r>
          </w:p>
          <w:p w14:paraId="24E59505" w14:textId="6181B249" w:rsidR="005E50DF" w:rsidRDefault="005E50DF" w:rsidP="005E50DF">
            <w:pPr>
              <w:spacing w:before="120"/>
              <w:jc w:val="center"/>
              <w:rPr>
                <w:rFonts w:ascii="Cambria" w:eastAsia="Cambria" w:hAnsi="Cambria" w:cs="Cambria"/>
              </w:rPr>
            </w:pPr>
          </w:p>
          <w:p w14:paraId="78733404" w14:textId="47A17D0D" w:rsidR="005E50DF" w:rsidRDefault="005E50DF" w:rsidP="005E50DF">
            <w:pPr>
              <w:spacing w:before="120"/>
              <w:jc w:val="center"/>
              <w:rPr>
                <w:rFonts w:ascii="Cambria" w:eastAsia="Cambria" w:hAnsi="Cambria" w:cs="Cambria"/>
              </w:rPr>
            </w:pPr>
          </w:p>
          <w:p w14:paraId="5989901C" w14:textId="38C80D4A" w:rsidR="005E50DF" w:rsidRDefault="005E50DF" w:rsidP="005E50DF">
            <w:pPr>
              <w:spacing w:before="120"/>
              <w:jc w:val="center"/>
              <w:rPr>
                <w:rFonts w:ascii="Cambria" w:eastAsia="Cambria" w:hAnsi="Cambria" w:cs="Cambria"/>
              </w:rPr>
            </w:pPr>
          </w:p>
          <w:p w14:paraId="3E41FBC7" w14:textId="382D3E38" w:rsidR="005E50DF" w:rsidRDefault="005E50DF" w:rsidP="005E50DF">
            <w:pPr>
              <w:spacing w:before="120"/>
              <w:jc w:val="center"/>
              <w:rPr>
                <w:rFonts w:ascii="Cambria" w:eastAsia="Cambria" w:hAnsi="Cambria" w:cs="Cambria"/>
              </w:rPr>
            </w:pPr>
            <w:r w:rsidRPr="42E2FCEB">
              <w:rPr>
                <w:rFonts w:ascii="Cambria" w:eastAsia="Cambria" w:hAnsi="Cambria" w:cs="Cambria"/>
              </w:rPr>
              <w:t>Min. 249,58€</w:t>
            </w:r>
          </w:p>
          <w:p w14:paraId="149B2AFB" w14:textId="19473018" w:rsidR="005E50DF" w:rsidRDefault="005E50DF" w:rsidP="005E50DF">
            <w:pPr>
              <w:spacing w:before="120"/>
              <w:jc w:val="center"/>
              <w:rPr>
                <w:rFonts w:ascii="Cambria" w:eastAsia="Cambria" w:hAnsi="Cambria" w:cs="Cambria"/>
              </w:rPr>
            </w:pPr>
          </w:p>
          <w:p w14:paraId="75AE40BA" w14:textId="3CCD935E" w:rsidR="005E50DF" w:rsidRDefault="005E50DF" w:rsidP="005E50DF">
            <w:pPr>
              <w:spacing w:before="120"/>
              <w:jc w:val="center"/>
              <w:rPr>
                <w:rFonts w:ascii="Cambria" w:eastAsia="Cambria" w:hAnsi="Cambria" w:cs="Cambria"/>
              </w:rPr>
            </w:pPr>
          </w:p>
          <w:p w14:paraId="4E2463F6" w14:textId="546A6E4B" w:rsidR="005E50DF" w:rsidRDefault="005E50DF" w:rsidP="005E50DF">
            <w:pPr>
              <w:spacing w:before="120"/>
              <w:jc w:val="center"/>
              <w:rPr>
                <w:rFonts w:ascii="Cambria" w:eastAsia="Cambria" w:hAnsi="Cambria" w:cs="Cambria"/>
              </w:rPr>
            </w:pPr>
          </w:p>
          <w:p w14:paraId="01301A2A" w14:textId="051258D9" w:rsidR="005E50DF" w:rsidRDefault="005E50DF" w:rsidP="005E50DF">
            <w:pPr>
              <w:spacing w:before="120"/>
              <w:jc w:val="center"/>
              <w:rPr>
                <w:rFonts w:ascii="Cambria" w:eastAsia="Cambria" w:hAnsi="Cambria" w:cs="Cambria"/>
              </w:rPr>
            </w:pPr>
          </w:p>
          <w:p w14:paraId="2497D990" w14:textId="7B51D4DE" w:rsidR="005E50DF" w:rsidRPr="01C1E901" w:rsidRDefault="005E50DF" w:rsidP="005E50DF">
            <w:pPr>
              <w:spacing w:before="120"/>
              <w:jc w:val="center"/>
              <w:rPr>
                <w:rFonts w:ascii="Cambria" w:eastAsia="Cambria" w:hAnsi="Cambria" w:cs="Cambria"/>
              </w:rPr>
            </w:pPr>
            <w:r w:rsidRPr="42E2FCEB">
              <w:rPr>
                <w:rFonts w:ascii="Cambria" w:eastAsia="Cambria" w:hAnsi="Cambria" w:cs="Cambria"/>
              </w:rPr>
              <w:t>Max. 336,93€</w:t>
            </w:r>
          </w:p>
          <w:p w14:paraId="5ED8C89A" w14:textId="55AB1561" w:rsidR="005E50DF" w:rsidRPr="01C1E901" w:rsidRDefault="005E50DF" w:rsidP="005E50DF">
            <w:pPr>
              <w:spacing w:before="120"/>
              <w:jc w:val="center"/>
              <w:rPr>
                <w:rFonts w:ascii="Cambria" w:eastAsia="Cambria" w:hAnsi="Cambria" w:cs="Cambria"/>
              </w:rPr>
            </w:pPr>
          </w:p>
          <w:p w14:paraId="3838A897" w14:textId="5D99786B" w:rsidR="005E50DF" w:rsidRPr="01C1E901" w:rsidRDefault="005E50DF" w:rsidP="005E50DF">
            <w:pPr>
              <w:spacing w:before="120"/>
              <w:jc w:val="center"/>
              <w:rPr>
                <w:rFonts w:ascii="Cambria" w:eastAsia="Cambria" w:hAnsi="Cambria" w:cs="Cambria"/>
              </w:rPr>
            </w:pPr>
          </w:p>
          <w:p w14:paraId="0BD28200" w14:textId="70A73EC5" w:rsidR="005E50DF" w:rsidRPr="01C1E901" w:rsidRDefault="005E50DF" w:rsidP="005E50DF">
            <w:pPr>
              <w:spacing w:before="120"/>
              <w:jc w:val="center"/>
              <w:rPr>
                <w:rFonts w:ascii="Cambria" w:eastAsia="Cambria" w:hAnsi="Cambria" w:cs="Cambria"/>
              </w:rPr>
            </w:pPr>
            <w:r w:rsidRPr="42E2FCEB">
              <w:rPr>
                <w:rFonts w:ascii="Cambria" w:eastAsia="Cambria" w:hAnsi="Cambria" w:cs="Cambria"/>
              </w:rPr>
              <w:t>Min. 6,24€</w:t>
            </w:r>
          </w:p>
          <w:p w14:paraId="36BDA91F" w14:textId="219516FC" w:rsidR="005E50DF" w:rsidRPr="01C1E901" w:rsidRDefault="005E50DF" w:rsidP="005E50DF">
            <w:pPr>
              <w:spacing w:before="120"/>
              <w:jc w:val="center"/>
              <w:rPr>
                <w:rFonts w:ascii="Cambria" w:eastAsia="Cambria" w:hAnsi="Cambria" w:cs="Cambria"/>
              </w:rPr>
            </w:pPr>
          </w:p>
          <w:p w14:paraId="210BB5C7" w14:textId="6787EF58" w:rsidR="005E50DF" w:rsidRPr="01C1E901" w:rsidRDefault="005E50DF" w:rsidP="005E50DF">
            <w:pPr>
              <w:spacing w:before="120"/>
              <w:jc w:val="center"/>
              <w:rPr>
                <w:rFonts w:ascii="Cambria" w:eastAsia="Cambria" w:hAnsi="Cambria" w:cs="Cambria"/>
              </w:rPr>
            </w:pPr>
            <w:r w:rsidRPr="42E2FCEB">
              <w:rPr>
                <w:rFonts w:ascii="Cambria" w:eastAsia="Cambria" w:hAnsi="Cambria" w:cs="Cambria"/>
              </w:rPr>
              <w:t>Min. 12,48€</w:t>
            </w:r>
          </w:p>
          <w:p w14:paraId="30797D5A" w14:textId="094815A4" w:rsidR="005E50DF" w:rsidRPr="01C1E901" w:rsidRDefault="005E50DF" w:rsidP="005E50DF">
            <w:pPr>
              <w:spacing w:before="120"/>
              <w:jc w:val="center"/>
              <w:rPr>
                <w:rFonts w:ascii="Cambria" w:eastAsia="Cambria" w:hAnsi="Cambria" w:cs="Cambria"/>
              </w:rPr>
            </w:pPr>
          </w:p>
          <w:p w14:paraId="11754199" w14:textId="1252B96C" w:rsidR="005E50DF" w:rsidRPr="01C1E901" w:rsidRDefault="005E50DF" w:rsidP="005E50DF">
            <w:pPr>
              <w:spacing w:before="120"/>
              <w:jc w:val="center"/>
              <w:rPr>
                <w:rFonts w:ascii="Cambria" w:eastAsia="Cambria" w:hAnsi="Cambria" w:cs="Cambria"/>
              </w:rPr>
            </w:pPr>
            <w:r w:rsidRPr="42E2FCEB">
              <w:rPr>
                <w:rFonts w:ascii="Cambria" w:eastAsia="Cambria" w:hAnsi="Cambria" w:cs="Cambria"/>
              </w:rPr>
              <w:t>Min. 49,92€</w:t>
            </w:r>
          </w:p>
          <w:p w14:paraId="572D873E" w14:textId="5044C259" w:rsidR="005E50DF" w:rsidRPr="01C1E901" w:rsidRDefault="005E50DF" w:rsidP="005E50DF">
            <w:pPr>
              <w:spacing w:before="120"/>
              <w:jc w:val="center"/>
              <w:rPr>
                <w:rFonts w:ascii="Cambria" w:eastAsia="Cambria" w:hAnsi="Cambria" w:cs="Cambria"/>
              </w:rPr>
            </w:pPr>
          </w:p>
          <w:p w14:paraId="591485B8" w14:textId="7581FD22" w:rsidR="005E50DF" w:rsidRPr="01C1E901" w:rsidRDefault="005E50DF" w:rsidP="005E50DF">
            <w:pPr>
              <w:spacing w:before="120"/>
              <w:jc w:val="center"/>
              <w:rPr>
                <w:rFonts w:ascii="Cambria" w:eastAsia="Cambria" w:hAnsi="Cambria" w:cs="Cambria"/>
              </w:rPr>
            </w:pPr>
          </w:p>
          <w:p w14:paraId="58452FC2" w14:textId="5B0CD06C" w:rsidR="005E50DF" w:rsidRPr="01C1E901" w:rsidRDefault="005E50DF" w:rsidP="005E50DF">
            <w:pPr>
              <w:spacing w:before="120"/>
              <w:jc w:val="center"/>
              <w:rPr>
                <w:rFonts w:ascii="Cambria" w:eastAsia="Cambria" w:hAnsi="Cambria" w:cs="Cambria"/>
              </w:rPr>
            </w:pPr>
            <w:r w:rsidRPr="42E2FCEB">
              <w:rPr>
                <w:rFonts w:ascii="Cambria" w:eastAsia="Cambria" w:hAnsi="Cambria" w:cs="Cambria"/>
              </w:rPr>
              <w:t>Max. 67,39€</w:t>
            </w:r>
          </w:p>
        </w:tc>
        <w:tc>
          <w:tcPr>
            <w:tcW w:w="3261" w:type="dxa"/>
            <w:tcBorders>
              <w:top w:val="single" w:sz="4" w:space="0" w:color="auto"/>
              <w:left w:val="single" w:sz="4" w:space="0" w:color="auto"/>
              <w:bottom w:val="single" w:sz="4" w:space="0" w:color="auto"/>
              <w:right w:val="single" w:sz="4" w:space="0" w:color="auto"/>
            </w:tcBorders>
          </w:tcPr>
          <w:p w14:paraId="383CE508" w14:textId="31CDB66B" w:rsidR="005E50DF" w:rsidRDefault="005E50DF" w:rsidP="005E50DF">
            <w:pPr>
              <w:tabs>
                <w:tab w:val="left" w:pos="360"/>
                <w:tab w:val="left" w:pos="504"/>
              </w:tabs>
              <w:spacing w:before="120"/>
              <w:jc w:val="center"/>
              <w:textAlignment w:val="baseline"/>
              <w:rPr>
                <w:rFonts w:cstheme="majorBidi"/>
              </w:rPr>
            </w:pPr>
            <w:r w:rsidRPr="1C6C0DED">
              <w:rPr>
                <w:rFonts w:cstheme="majorBidi"/>
              </w:rPr>
              <w:t>Par mètre courant de façade d’immeuble et par an</w:t>
            </w:r>
          </w:p>
          <w:p w14:paraId="7B0C8FA7" w14:textId="77777777" w:rsidR="005E50DF" w:rsidRDefault="005E50DF" w:rsidP="005E50DF">
            <w:pPr>
              <w:tabs>
                <w:tab w:val="left" w:pos="360"/>
                <w:tab w:val="left" w:pos="504"/>
              </w:tabs>
              <w:spacing w:before="120"/>
              <w:jc w:val="center"/>
              <w:textAlignment w:val="baseline"/>
              <w:rPr>
                <w:rFonts w:cstheme="majorBidi"/>
              </w:rPr>
            </w:pPr>
          </w:p>
          <w:p w14:paraId="42B895C1" w14:textId="5FA59D2B" w:rsidR="005E50DF" w:rsidRDefault="005E50DF" w:rsidP="005E50DF">
            <w:pPr>
              <w:tabs>
                <w:tab w:val="left" w:pos="360"/>
                <w:tab w:val="left" w:pos="504"/>
              </w:tabs>
              <w:spacing w:before="120"/>
              <w:jc w:val="center"/>
              <w:rPr>
                <w:rFonts w:cstheme="majorBidi"/>
              </w:rPr>
            </w:pPr>
          </w:p>
          <w:p w14:paraId="72BCA4E5" w14:textId="41F19E4F" w:rsidR="005E50DF" w:rsidRDefault="005E50DF" w:rsidP="005E50DF">
            <w:pPr>
              <w:tabs>
                <w:tab w:val="left" w:pos="360"/>
                <w:tab w:val="left" w:pos="504"/>
              </w:tabs>
              <w:spacing w:before="120"/>
              <w:jc w:val="center"/>
              <w:rPr>
                <w:rFonts w:cstheme="majorBidi"/>
              </w:rPr>
            </w:pPr>
          </w:p>
          <w:p w14:paraId="4974BEEB" w14:textId="04233B55" w:rsidR="005E50DF" w:rsidRDefault="005E50DF" w:rsidP="005E50DF">
            <w:pPr>
              <w:tabs>
                <w:tab w:val="left" w:pos="360"/>
                <w:tab w:val="left" w:pos="504"/>
              </w:tabs>
              <w:spacing w:before="120"/>
              <w:jc w:val="center"/>
              <w:rPr>
                <w:rFonts w:cstheme="majorBidi"/>
              </w:rPr>
            </w:pPr>
          </w:p>
          <w:p w14:paraId="718EC6AC" w14:textId="6EA8EAB9" w:rsidR="005E50DF" w:rsidRDefault="005E50DF" w:rsidP="005E50DF">
            <w:pPr>
              <w:tabs>
                <w:tab w:val="left" w:pos="360"/>
                <w:tab w:val="left" w:pos="504"/>
              </w:tabs>
              <w:spacing w:before="120"/>
              <w:jc w:val="center"/>
              <w:rPr>
                <w:rFonts w:cstheme="majorBidi"/>
              </w:rPr>
            </w:pPr>
          </w:p>
          <w:p w14:paraId="1D90B3DA" w14:textId="44C7CCCF" w:rsidR="005E50DF" w:rsidRDefault="005E50DF" w:rsidP="005E50DF">
            <w:pPr>
              <w:tabs>
                <w:tab w:val="left" w:pos="360"/>
                <w:tab w:val="left" w:pos="504"/>
              </w:tabs>
              <w:spacing w:before="120"/>
              <w:jc w:val="center"/>
              <w:rPr>
                <w:rFonts w:cstheme="majorBidi"/>
              </w:rPr>
            </w:pPr>
          </w:p>
          <w:p w14:paraId="2909EE1C" w14:textId="3AD26C4E" w:rsidR="005E50DF" w:rsidRDefault="005E50DF" w:rsidP="005E50DF">
            <w:pPr>
              <w:tabs>
                <w:tab w:val="left" w:pos="360"/>
                <w:tab w:val="left" w:pos="504"/>
              </w:tabs>
              <w:spacing w:before="120"/>
              <w:jc w:val="center"/>
              <w:rPr>
                <w:rFonts w:cstheme="majorBidi"/>
              </w:rPr>
            </w:pPr>
          </w:p>
          <w:p w14:paraId="273C0717" w14:textId="152F4B28" w:rsidR="005E50DF" w:rsidRDefault="005E50DF" w:rsidP="005E50DF">
            <w:pPr>
              <w:tabs>
                <w:tab w:val="left" w:pos="360"/>
                <w:tab w:val="left" w:pos="504"/>
              </w:tabs>
              <w:spacing w:before="120"/>
              <w:jc w:val="center"/>
              <w:rPr>
                <w:rFonts w:cstheme="majorBidi"/>
              </w:rPr>
            </w:pPr>
          </w:p>
          <w:p w14:paraId="04D4861A" w14:textId="2F055CA6" w:rsidR="005E50DF" w:rsidRDefault="005E50DF" w:rsidP="005E50DF">
            <w:pPr>
              <w:tabs>
                <w:tab w:val="left" w:pos="360"/>
                <w:tab w:val="left" w:pos="504"/>
              </w:tabs>
              <w:spacing w:before="120"/>
              <w:jc w:val="center"/>
              <w:rPr>
                <w:rFonts w:cstheme="majorBidi"/>
              </w:rPr>
            </w:pPr>
          </w:p>
          <w:p w14:paraId="7FAF2CCF" w14:textId="7265DCE0" w:rsidR="005E50DF" w:rsidRDefault="005E50DF" w:rsidP="005E50DF">
            <w:pPr>
              <w:tabs>
                <w:tab w:val="left" w:pos="360"/>
                <w:tab w:val="left" w:pos="504"/>
              </w:tabs>
              <w:spacing w:before="120"/>
              <w:jc w:val="center"/>
              <w:rPr>
                <w:rFonts w:cstheme="majorBidi"/>
              </w:rPr>
            </w:pPr>
          </w:p>
          <w:p w14:paraId="2F5E3334" w14:textId="760D3BE6" w:rsidR="005E50DF" w:rsidRDefault="005E50DF" w:rsidP="005E50DF">
            <w:pPr>
              <w:tabs>
                <w:tab w:val="left" w:pos="360"/>
                <w:tab w:val="left" w:pos="504"/>
              </w:tabs>
              <w:spacing w:before="120"/>
              <w:jc w:val="center"/>
              <w:rPr>
                <w:rFonts w:cstheme="majorBidi"/>
              </w:rPr>
            </w:pPr>
          </w:p>
          <w:p w14:paraId="1F5E3C7F" w14:textId="1F02B8F5" w:rsidR="005E50DF" w:rsidRDefault="005E50DF" w:rsidP="005E50DF">
            <w:pPr>
              <w:tabs>
                <w:tab w:val="left" w:pos="360"/>
                <w:tab w:val="left" w:pos="504"/>
              </w:tabs>
              <w:spacing w:before="120"/>
              <w:jc w:val="center"/>
              <w:rPr>
                <w:rFonts w:cstheme="majorBidi"/>
              </w:rPr>
            </w:pPr>
          </w:p>
          <w:p w14:paraId="4A354662" w14:textId="5ACE948D" w:rsidR="005E50DF" w:rsidRDefault="005E50DF" w:rsidP="005E50DF">
            <w:pPr>
              <w:tabs>
                <w:tab w:val="left" w:pos="360"/>
                <w:tab w:val="left" w:pos="504"/>
              </w:tabs>
              <w:spacing w:before="120"/>
              <w:jc w:val="center"/>
              <w:textAlignment w:val="baseline"/>
              <w:rPr>
                <w:rFonts w:cstheme="majorHAnsi"/>
                <w:iCs/>
              </w:rPr>
            </w:pPr>
            <w:r>
              <w:rPr>
                <w:rFonts w:cstheme="majorHAnsi"/>
                <w:iCs/>
              </w:rPr>
              <w:t>Ou</w:t>
            </w:r>
          </w:p>
          <w:p w14:paraId="40ABF19E" w14:textId="77777777" w:rsidR="005E50DF" w:rsidRDefault="005E50DF" w:rsidP="005E50DF">
            <w:pPr>
              <w:tabs>
                <w:tab w:val="left" w:pos="360"/>
                <w:tab w:val="left" w:pos="504"/>
              </w:tabs>
              <w:spacing w:before="120"/>
              <w:jc w:val="center"/>
              <w:textAlignment w:val="baseline"/>
              <w:rPr>
                <w:rFonts w:cstheme="majorHAnsi"/>
                <w:iCs/>
              </w:rPr>
            </w:pPr>
          </w:p>
          <w:p w14:paraId="7ED5856A" w14:textId="74127FE1" w:rsidR="005E50DF" w:rsidRDefault="005E50DF" w:rsidP="005E50DF">
            <w:pPr>
              <w:tabs>
                <w:tab w:val="left" w:pos="360"/>
                <w:tab w:val="left" w:pos="504"/>
              </w:tabs>
              <w:spacing w:before="120"/>
              <w:jc w:val="center"/>
              <w:rPr>
                <w:rFonts w:cstheme="majorBidi"/>
              </w:rPr>
            </w:pPr>
          </w:p>
          <w:p w14:paraId="58DB33E4" w14:textId="4F7DAD84" w:rsidR="005E50DF" w:rsidRDefault="005E50DF" w:rsidP="005E50DF">
            <w:pPr>
              <w:tabs>
                <w:tab w:val="left" w:pos="360"/>
                <w:tab w:val="left" w:pos="504"/>
              </w:tabs>
              <w:spacing w:before="120"/>
              <w:jc w:val="center"/>
              <w:rPr>
                <w:rFonts w:cstheme="majorBidi"/>
              </w:rPr>
            </w:pPr>
          </w:p>
          <w:p w14:paraId="72C8944F" w14:textId="2672F61B" w:rsidR="005E50DF" w:rsidRDefault="005E50DF" w:rsidP="005E50DF">
            <w:pPr>
              <w:tabs>
                <w:tab w:val="left" w:pos="360"/>
                <w:tab w:val="left" w:pos="504"/>
              </w:tabs>
              <w:spacing w:before="120"/>
              <w:jc w:val="center"/>
              <w:rPr>
                <w:rFonts w:cstheme="majorBidi"/>
              </w:rPr>
            </w:pPr>
          </w:p>
          <w:p w14:paraId="275B1A25" w14:textId="66DFE37B" w:rsidR="005E50DF" w:rsidRDefault="005E50DF" w:rsidP="005E50DF">
            <w:pPr>
              <w:tabs>
                <w:tab w:val="left" w:pos="360"/>
                <w:tab w:val="left" w:pos="504"/>
              </w:tabs>
              <w:spacing w:before="120"/>
              <w:jc w:val="center"/>
              <w:rPr>
                <w:rFonts w:cstheme="majorBidi"/>
              </w:rPr>
            </w:pPr>
          </w:p>
          <w:p w14:paraId="3527D875" w14:textId="5C90C799" w:rsidR="005E50DF" w:rsidRPr="00F768B6" w:rsidRDefault="005E50DF" w:rsidP="005E50DF">
            <w:pPr>
              <w:tabs>
                <w:tab w:val="left" w:pos="360"/>
                <w:tab w:val="left" w:pos="504"/>
              </w:tabs>
              <w:spacing w:before="120"/>
              <w:jc w:val="center"/>
              <w:textAlignment w:val="baseline"/>
              <w:rPr>
                <w:rFonts w:cstheme="majorBidi"/>
              </w:rPr>
            </w:pPr>
            <w:r w:rsidRPr="1C6C0DED">
              <w:rPr>
                <w:rFonts w:cstheme="majorBidi"/>
              </w:rPr>
              <w:t>Par m2</w:t>
            </w:r>
          </w:p>
        </w:tc>
      </w:tr>
      <w:tr w:rsidR="005E50DF" w:rsidRPr="00F91BDD" w14:paraId="02239133" w14:textId="54A7DCD1"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3F85E9BD" w14:textId="5C228DDB" w:rsidR="005E50DF" w:rsidRPr="00F768B6" w:rsidRDefault="005E50DF" w:rsidP="005E50DF">
            <w:pPr>
              <w:pStyle w:val="Titre3"/>
              <w:numPr>
                <w:ilvl w:val="0"/>
                <w:numId w:val="0"/>
              </w:numPr>
              <w:ind w:left="786"/>
            </w:pPr>
            <w:bookmarkStart w:id="5552" w:name="_Toc225504485"/>
            <w:bookmarkStart w:id="5553" w:name="_Toc225772574"/>
            <w:bookmarkStart w:id="5554" w:name="_Toc233626441"/>
            <w:r w:rsidRPr="21B2FD55">
              <w:lastRenderedPageBreak/>
              <w:t>040/367-18 : Piscines privées</w:t>
            </w:r>
            <w:bookmarkEnd w:id="5552"/>
            <w:bookmarkEnd w:id="5553"/>
            <w:bookmarkEnd w:id="5554"/>
          </w:p>
        </w:tc>
        <w:tc>
          <w:tcPr>
            <w:tcW w:w="1275" w:type="dxa"/>
            <w:tcBorders>
              <w:top w:val="single" w:sz="4" w:space="0" w:color="auto"/>
              <w:left w:val="single" w:sz="4" w:space="0" w:color="auto"/>
              <w:bottom w:val="single" w:sz="4" w:space="0" w:color="auto"/>
              <w:right w:val="single" w:sz="4" w:space="0" w:color="auto"/>
            </w:tcBorders>
          </w:tcPr>
          <w:p w14:paraId="0F64D28D"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6ED6C3AD" w14:textId="774B1C54" w:rsidR="005E50DF" w:rsidRPr="00F768B6" w:rsidRDefault="005E50DF" w:rsidP="005E50DF">
            <w:pPr>
              <w:tabs>
                <w:tab w:val="left" w:pos="360"/>
                <w:tab w:val="left" w:pos="504"/>
              </w:tabs>
              <w:spacing w:before="120"/>
              <w:jc w:val="center"/>
              <w:textAlignment w:val="baseline"/>
              <w:rPr>
                <w:rFonts w:cstheme="majorHAnsi"/>
              </w:rPr>
            </w:pPr>
            <w:r w:rsidRPr="00F768B6">
              <w:rPr>
                <w:rFonts w:cstheme="majorHAnsi"/>
              </w:rPr>
              <w:t>&lt; 100 m² : 450,00 €/an</w:t>
            </w:r>
          </w:p>
          <w:p w14:paraId="1413F11C" w14:textId="55BB66AF" w:rsidR="005E50DF" w:rsidRPr="00F768B6" w:rsidRDefault="005E50DF" w:rsidP="005E50DF">
            <w:pPr>
              <w:tabs>
                <w:tab w:val="left" w:pos="360"/>
                <w:tab w:val="left" w:pos="504"/>
              </w:tabs>
              <w:spacing w:before="120"/>
              <w:jc w:val="center"/>
              <w:textAlignment w:val="baseline"/>
              <w:rPr>
                <w:rFonts w:cstheme="majorHAnsi"/>
              </w:rPr>
            </w:pPr>
            <w:r w:rsidRPr="00F768B6">
              <w:rPr>
                <w:rFonts w:cstheme="majorHAnsi"/>
              </w:rPr>
              <w:t>≥ 100 m² : 900,00 €/an</w:t>
            </w:r>
          </w:p>
        </w:tc>
        <w:tc>
          <w:tcPr>
            <w:tcW w:w="2268" w:type="dxa"/>
            <w:tcBorders>
              <w:top w:val="single" w:sz="4" w:space="0" w:color="auto"/>
              <w:left w:val="single" w:sz="4" w:space="0" w:color="auto"/>
              <w:bottom w:val="single" w:sz="4" w:space="0" w:color="auto"/>
              <w:right w:val="single" w:sz="4" w:space="0" w:color="auto"/>
            </w:tcBorders>
          </w:tcPr>
          <w:p w14:paraId="71BE02CC" w14:textId="0AD35246"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561,55 €</w:t>
            </w:r>
          </w:p>
          <w:p w14:paraId="524E2E07" w14:textId="6B56E89C" w:rsidR="005E50DF" w:rsidRDefault="005E50DF" w:rsidP="005E50DF">
            <w:pPr>
              <w:tabs>
                <w:tab w:val="left" w:pos="360"/>
                <w:tab w:val="left" w:pos="504"/>
              </w:tabs>
              <w:spacing w:before="120"/>
              <w:jc w:val="center"/>
              <w:rPr>
                <w:rFonts w:ascii="Cambria" w:eastAsia="Cambria" w:hAnsi="Cambria" w:cs="Cambria"/>
              </w:rPr>
            </w:pPr>
          </w:p>
          <w:p w14:paraId="388979C6" w14:textId="6D44B9AB"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1.123,11 €</w:t>
            </w:r>
          </w:p>
        </w:tc>
        <w:tc>
          <w:tcPr>
            <w:tcW w:w="3261" w:type="dxa"/>
            <w:tcBorders>
              <w:top w:val="single" w:sz="4" w:space="0" w:color="auto"/>
              <w:left w:val="single" w:sz="4" w:space="0" w:color="auto"/>
              <w:bottom w:val="single" w:sz="4" w:space="0" w:color="auto"/>
              <w:right w:val="single" w:sz="4" w:space="0" w:color="auto"/>
            </w:tcBorders>
          </w:tcPr>
          <w:p w14:paraId="58472D3B" w14:textId="03457449" w:rsidR="005E50DF" w:rsidRDefault="005E50DF" w:rsidP="005E50DF">
            <w:pPr>
              <w:tabs>
                <w:tab w:val="left" w:pos="360"/>
                <w:tab w:val="left" w:pos="504"/>
              </w:tabs>
              <w:spacing w:before="120"/>
              <w:jc w:val="center"/>
              <w:textAlignment w:val="baseline"/>
              <w:rPr>
                <w:rFonts w:cstheme="majorBidi"/>
              </w:rPr>
            </w:pPr>
            <w:r w:rsidRPr="0EC0A3FC">
              <w:rPr>
                <w:rFonts w:cstheme="majorBidi"/>
              </w:rPr>
              <w:t xml:space="preserve">Par piscine </w:t>
            </w:r>
            <w:r w:rsidRPr="31F37948">
              <w:rPr>
                <w:rFonts w:cstheme="majorBidi"/>
              </w:rPr>
              <w:t xml:space="preserve">ayant une surface inférieure </w:t>
            </w:r>
            <w:r w:rsidRPr="0EC0A3FC">
              <w:rPr>
                <w:rFonts w:cstheme="majorBidi"/>
              </w:rPr>
              <w:t xml:space="preserve">de 100m2 et </w:t>
            </w:r>
            <w:r w:rsidRPr="1C6C0DED">
              <w:rPr>
                <w:rFonts w:cstheme="majorBidi"/>
              </w:rPr>
              <w:t>supérieur</w:t>
            </w:r>
            <w:r w:rsidR="00BB1000">
              <w:rPr>
                <w:rFonts w:cstheme="majorBidi"/>
              </w:rPr>
              <w:t>e</w:t>
            </w:r>
            <w:r w:rsidRPr="1C6C0DED">
              <w:rPr>
                <w:rFonts w:cstheme="majorBidi"/>
              </w:rPr>
              <w:t xml:space="preserve"> à 10 m² et </w:t>
            </w:r>
            <w:r w:rsidRPr="0EC0A3FC">
              <w:rPr>
                <w:rFonts w:cstheme="majorBidi"/>
              </w:rPr>
              <w:t>par an</w:t>
            </w:r>
          </w:p>
          <w:p w14:paraId="19798FAE" w14:textId="77777777" w:rsidR="005E50DF" w:rsidRDefault="005E50DF" w:rsidP="005E50DF">
            <w:pPr>
              <w:tabs>
                <w:tab w:val="left" w:pos="360"/>
                <w:tab w:val="left" w:pos="504"/>
              </w:tabs>
              <w:spacing w:before="120"/>
              <w:jc w:val="center"/>
              <w:textAlignment w:val="baseline"/>
              <w:rPr>
                <w:rFonts w:cstheme="majorHAnsi"/>
              </w:rPr>
            </w:pPr>
          </w:p>
          <w:p w14:paraId="46CF0F5F" w14:textId="175009FA" w:rsidR="005E50DF" w:rsidRPr="00F768B6" w:rsidRDefault="005E50DF" w:rsidP="005E50DF">
            <w:pPr>
              <w:tabs>
                <w:tab w:val="left" w:pos="360"/>
                <w:tab w:val="left" w:pos="504"/>
              </w:tabs>
              <w:spacing w:before="120"/>
              <w:jc w:val="center"/>
              <w:textAlignment w:val="baseline"/>
              <w:rPr>
                <w:rFonts w:cstheme="majorBidi"/>
              </w:rPr>
            </w:pPr>
            <w:r w:rsidRPr="7BBAE1E1">
              <w:rPr>
                <w:rFonts w:cstheme="majorBidi"/>
              </w:rPr>
              <w:t xml:space="preserve">Par </w:t>
            </w:r>
            <w:r w:rsidR="00BB1000" w:rsidRPr="7BBAE1E1">
              <w:rPr>
                <w:rFonts w:cstheme="majorBidi"/>
              </w:rPr>
              <w:t>piscine ayant</w:t>
            </w:r>
            <w:r w:rsidRPr="4A725F11">
              <w:rPr>
                <w:rFonts w:cstheme="majorBidi"/>
              </w:rPr>
              <w:t xml:space="preserve"> une surface </w:t>
            </w:r>
            <w:r w:rsidRPr="7BBAE1E1">
              <w:rPr>
                <w:rFonts w:cstheme="majorBidi"/>
              </w:rPr>
              <w:t>supérieure ou égale à 100 m</w:t>
            </w:r>
            <w:r w:rsidR="00BB1000" w:rsidRPr="7BBAE1E1">
              <w:rPr>
                <w:rFonts w:cstheme="majorBidi"/>
              </w:rPr>
              <w:t>2 et</w:t>
            </w:r>
            <w:r w:rsidRPr="7BBAE1E1">
              <w:rPr>
                <w:rFonts w:cstheme="majorBidi"/>
              </w:rPr>
              <w:t xml:space="preserve"> par an</w:t>
            </w:r>
          </w:p>
        </w:tc>
      </w:tr>
      <w:tr w:rsidR="005E50DF" w:rsidRPr="00F91BDD" w14:paraId="44DE911F" w14:textId="108D9A5D"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985FFE9" w14:textId="11E8746A" w:rsidR="005E50DF" w:rsidRPr="00F768B6" w:rsidRDefault="005E50DF" w:rsidP="005E50DF">
            <w:pPr>
              <w:pStyle w:val="Titre3"/>
              <w:numPr>
                <w:ilvl w:val="0"/>
                <w:numId w:val="0"/>
              </w:numPr>
              <w:ind w:left="786"/>
            </w:pPr>
            <w:bookmarkStart w:id="5555" w:name="_Toc225504486"/>
            <w:bookmarkStart w:id="5556" w:name="_Toc225772575"/>
            <w:bookmarkStart w:id="5557" w:name="_Toc233626442"/>
            <w:r w:rsidRPr="21B2FD55">
              <w:t>040/367-19 : Surfaces de bureau et locaux de professions libérales</w:t>
            </w:r>
            <w:bookmarkEnd w:id="5555"/>
            <w:bookmarkEnd w:id="5556"/>
            <w:bookmarkEnd w:id="5557"/>
          </w:p>
        </w:tc>
        <w:tc>
          <w:tcPr>
            <w:tcW w:w="1275" w:type="dxa"/>
            <w:tcBorders>
              <w:top w:val="single" w:sz="4" w:space="0" w:color="auto"/>
              <w:left w:val="single" w:sz="4" w:space="0" w:color="auto"/>
              <w:bottom w:val="single" w:sz="4" w:space="0" w:color="auto"/>
              <w:right w:val="single" w:sz="4" w:space="0" w:color="auto"/>
            </w:tcBorders>
          </w:tcPr>
          <w:p w14:paraId="14B751D6"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115F2311" w14:textId="77777777" w:rsidR="005E50DF" w:rsidRPr="00F768B6" w:rsidRDefault="005E50DF" w:rsidP="005E50DF">
            <w:pPr>
              <w:tabs>
                <w:tab w:val="left" w:pos="360"/>
                <w:tab w:val="left" w:pos="504"/>
              </w:tabs>
              <w:spacing w:before="120"/>
              <w:jc w:val="center"/>
              <w:textAlignment w:val="baseline"/>
              <w:rPr>
                <w:rFonts w:cstheme="majorHAnsi"/>
              </w:rPr>
            </w:pPr>
            <w:r w:rsidRPr="00F768B6">
              <w:rPr>
                <w:rFonts w:cstheme="majorHAnsi"/>
              </w:rPr>
              <w:t>9,00 €/m²/an</w:t>
            </w:r>
          </w:p>
          <w:p w14:paraId="3F26AD1B" w14:textId="09D0EE57" w:rsidR="005E50DF" w:rsidRPr="00325268" w:rsidRDefault="005E50DF" w:rsidP="005E50DF">
            <w:pPr>
              <w:tabs>
                <w:tab w:val="left" w:pos="360"/>
                <w:tab w:val="left" w:pos="504"/>
              </w:tabs>
              <w:spacing w:before="120"/>
              <w:jc w:val="center"/>
              <w:textAlignment w:val="baseline"/>
              <w:rPr>
                <w:rFonts w:cstheme="majorHAnsi"/>
              </w:rPr>
            </w:pPr>
            <w:r w:rsidRPr="00F768B6">
              <w:rPr>
                <w:rFonts w:cstheme="majorHAnsi"/>
              </w:rPr>
              <w:t>Pour &lt; 50 m², un forfait jusqu’à 400,00 €</w:t>
            </w:r>
          </w:p>
        </w:tc>
        <w:tc>
          <w:tcPr>
            <w:tcW w:w="2268" w:type="dxa"/>
            <w:tcBorders>
              <w:top w:val="single" w:sz="4" w:space="0" w:color="auto"/>
              <w:left w:val="single" w:sz="4" w:space="0" w:color="auto"/>
              <w:bottom w:val="single" w:sz="4" w:space="0" w:color="auto"/>
              <w:right w:val="single" w:sz="4" w:space="0" w:color="auto"/>
            </w:tcBorders>
          </w:tcPr>
          <w:p w14:paraId="403C477C" w14:textId="2A395525"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11,23 €</w:t>
            </w:r>
          </w:p>
          <w:p w14:paraId="52D8F237" w14:textId="4513966D"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499,16 €</w:t>
            </w:r>
          </w:p>
        </w:tc>
        <w:tc>
          <w:tcPr>
            <w:tcW w:w="3261" w:type="dxa"/>
            <w:tcBorders>
              <w:top w:val="single" w:sz="4" w:space="0" w:color="auto"/>
              <w:left w:val="single" w:sz="4" w:space="0" w:color="auto"/>
              <w:bottom w:val="single" w:sz="4" w:space="0" w:color="auto"/>
              <w:right w:val="single" w:sz="4" w:space="0" w:color="auto"/>
            </w:tcBorders>
          </w:tcPr>
          <w:p w14:paraId="23679603" w14:textId="652C381C" w:rsidR="005E50DF" w:rsidRPr="00F768B6" w:rsidRDefault="005E50DF" w:rsidP="005E50DF">
            <w:pPr>
              <w:tabs>
                <w:tab w:val="left" w:pos="360"/>
                <w:tab w:val="left" w:pos="504"/>
              </w:tabs>
              <w:spacing w:before="120"/>
              <w:jc w:val="center"/>
              <w:textAlignment w:val="baseline"/>
              <w:rPr>
                <w:rFonts w:cstheme="majorBidi"/>
              </w:rPr>
            </w:pPr>
            <w:r w:rsidRPr="1C6C0DED">
              <w:rPr>
                <w:rFonts w:cstheme="majorBidi"/>
              </w:rPr>
              <w:t>Par m2 de bureau/locaux et par an</w:t>
            </w:r>
          </w:p>
        </w:tc>
      </w:tr>
      <w:tr w:rsidR="005E50DF" w:rsidRPr="00F91BDD" w14:paraId="48562BDF" w14:textId="57F2BBB8"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97232FF" w14:textId="34147B4D" w:rsidR="005E50DF" w:rsidRPr="00F768B6" w:rsidRDefault="005E50DF" w:rsidP="005E50DF">
            <w:pPr>
              <w:pStyle w:val="Titre3"/>
              <w:numPr>
                <w:ilvl w:val="0"/>
                <w:numId w:val="0"/>
              </w:numPr>
              <w:ind w:left="786"/>
            </w:pPr>
            <w:bookmarkStart w:id="5558" w:name="_Toc225504487"/>
            <w:bookmarkStart w:id="5559" w:name="_Toc225772576"/>
            <w:bookmarkStart w:id="5560" w:name="_Toc233626443"/>
            <w:r w:rsidRPr="21B2FD55">
              <w:t>040/367-20 : Surfaces commerciales</w:t>
            </w:r>
            <w:bookmarkEnd w:id="5558"/>
            <w:bookmarkEnd w:id="5559"/>
            <w:bookmarkEnd w:id="5560"/>
          </w:p>
        </w:tc>
        <w:tc>
          <w:tcPr>
            <w:tcW w:w="1275" w:type="dxa"/>
            <w:tcBorders>
              <w:top w:val="single" w:sz="4" w:space="0" w:color="auto"/>
              <w:left w:val="single" w:sz="4" w:space="0" w:color="auto"/>
              <w:bottom w:val="single" w:sz="4" w:space="0" w:color="auto"/>
              <w:right w:val="single" w:sz="4" w:space="0" w:color="auto"/>
            </w:tcBorders>
          </w:tcPr>
          <w:p w14:paraId="1D1B2739"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2644302A" w14:textId="2F5424B2" w:rsidR="005E50DF" w:rsidRPr="00325268" w:rsidRDefault="005E50DF" w:rsidP="005E50DF">
            <w:pPr>
              <w:tabs>
                <w:tab w:val="left" w:pos="360"/>
                <w:tab w:val="left" w:pos="504"/>
              </w:tabs>
              <w:spacing w:before="120"/>
              <w:jc w:val="center"/>
              <w:textAlignment w:val="baseline"/>
              <w:rPr>
                <w:rFonts w:cstheme="majorHAnsi"/>
                <w:iCs/>
              </w:rPr>
            </w:pPr>
            <w:r w:rsidRPr="00F768B6">
              <w:rPr>
                <w:rFonts w:cstheme="majorHAnsi"/>
                <w:iCs/>
              </w:rPr>
              <w:t>5€/m2/an</w:t>
            </w:r>
          </w:p>
        </w:tc>
        <w:tc>
          <w:tcPr>
            <w:tcW w:w="2268" w:type="dxa"/>
            <w:tcBorders>
              <w:top w:val="single" w:sz="4" w:space="0" w:color="auto"/>
              <w:left w:val="single" w:sz="4" w:space="0" w:color="auto"/>
              <w:bottom w:val="single" w:sz="4" w:space="0" w:color="auto"/>
              <w:right w:val="single" w:sz="4" w:space="0" w:color="auto"/>
            </w:tcBorders>
          </w:tcPr>
          <w:p w14:paraId="20BB13E5" w14:textId="3AA05E4E"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6,24€/m2/an</w:t>
            </w:r>
          </w:p>
        </w:tc>
        <w:tc>
          <w:tcPr>
            <w:tcW w:w="3261" w:type="dxa"/>
            <w:tcBorders>
              <w:top w:val="single" w:sz="4" w:space="0" w:color="auto"/>
              <w:left w:val="single" w:sz="4" w:space="0" w:color="auto"/>
              <w:bottom w:val="single" w:sz="4" w:space="0" w:color="auto"/>
              <w:right w:val="single" w:sz="4" w:space="0" w:color="auto"/>
            </w:tcBorders>
          </w:tcPr>
          <w:p w14:paraId="16185864" w14:textId="52AE9E68" w:rsidR="005E50DF" w:rsidRPr="00F768B6" w:rsidRDefault="005E50DF" w:rsidP="005E50DF">
            <w:pPr>
              <w:tabs>
                <w:tab w:val="left" w:pos="360"/>
                <w:tab w:val="left" w:pos="504"/>
              </w:tabs>
              <w:spacing w:before="120"/>
              <w:jc w:val="center"/>
              <w:textAlignment w:val="baseline"/>
              <w:rPr>
                <w:rFonts w:cstheme="majorBidi"/>
              </w:rPr>
            </w:pPr>
            <w:r w:rsidRPr="1C6C0DED">
              <w:rPr>
                <w:rFonts w:cstheme="majorBidi"/>
              </w:rPr>
              <w:t>Par m2 de surface commerciale et par an</w:t>
            </w:r>
          </w:p>
        </w:tc>
      </w:tr>
      <w:tr w:rsidR="005E50DF" w:rsidRPr="00F91BDD" w14:paraId="3933BA4C" w14:textId="3F039FF0"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CDDEC78" w14:textId="4371178B" w:rsidR="005E50DF" w:rsidRPr="00F768B6" w:rsidRDefault="005E50DF" w:rsidP="005E50DF">
            <w:pPr>
              <w:pStyle w:val="Titre3"/>
              <w:numPr>
                <w:ilvl w:val="0"/>
                <w:numId w:val="0"/>
              </w:numPr>
              <w:ind w:left="786"/>
            </w:pPr>
            <w:bookmarkStart w:id="5561" w:name="_Toc225504488"/>
            <w:bookmarkStart w:id="5562" w:name="_Toc225772577"/>
            <w:bookmarkStart w:id="5563" w:name="_Toc233626444"/>
            <w:r w:rsidRPr="21B2FD55">
              <w:t>040/367-48 : Éoliennes destinées à la production industrielle d’électricité</w:t>
            </w:r>
            <w:bookmarkEnd w:id="5561"/>
            <w:bookmarkEnd w:id="5562"/>
            <w:bookmarkEnd w:id="5563"/>
          </w:p>
        </w:tc>
        <w:tc>
          <w:tcPr>
            <w:tcW w:w="1275" w:type="dxa"/>
            <w:tcBorders>
              <w:top w:val="single" w:sz="4" w:space="0" w:color="auto"/>
              <w:left w:val="single" w:sz="4" w:space="0" w:color="auto"/>
              <w:bottom w:val="single" w:sz="4" w:space="0" w:color="auto"/>
              <w:right w:val="single" w:sz="4" w:space="0" w:color="auto"/>
            </w:tcBorders>
          </w:tcPr>
          <w:p w14:paraId="58C584FE"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4A109722" w14:textId="77777777" w:rsidR="005E50DF" w:rsidRPr="00F768B6" w:rsidRDefault="005E50DF" w:rsidP="005E50DF">
            <w:pPr>
              <w:tabs>
                <w:tab w:val="left" w:pos="360"/>
                <w:tab w:val="left" w:pos="504"/>
              </w:tabs>
              <w:spacing w:before="120"/>
              <w:jc w:val="center"/>
              <w:textAlignment w:val="baseline"/>
              <w:rPr>
                <w:rFonts w:cstheme="majorHAnsi"/>
              </w:rPr>
            </w:pPr>
            <w:r w:rsidRPr="00F768B6">
              <w:rPr>
                <w:rFonts w:cstheme="majorHAnsi"/>
              </w:rPr>
              <w:t xml:space="preserve">≤ 0,5 </w:t>
            </w:r>
            <w:r>
              <w:rPr>
                <w:rFonts w:cstheme="majorHAnsi"/>
              </w:rPr>
              <w:t>M</w:t>
            </w:r>
            <w:r w:rsidRPr="00F768B6">
              <w:rPr>
                <w:rFonts w:cstheme="majorHAnsi"/>
              </w:rPr>
              <w:t>W : 0 €</w:t>
            </w:r>
          </w:p>
          <w:p w14:paraId="762D0EEC" w14:textId="7982BE5A"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rPr>
              <w:t xml:space="preserve">&gt; 0,5 </w:t>
            </w:r>
            <w:r>
              <w:rPr>
                <w:rFonts w:cstheme="majorHAnsi"/>
              </w:rPr>
              <w:t>M</w:t>
            </w:r>
            <w:r w:rsidRPr="00F768B6">
              <w:rPr>
                <w:rFonts w:cstheme="majorHAnsi"/>
              </w:rPr>
              <w:t xml:space="preserve">W : 500 €/0,1 </w:t>
            </w:r>
            <w:r>
              <w:rPr>
                <w:rFonts w:cstheme="majorHAnsi"/>
              </w:rPr>
              <w:t>M</w:t>
            </w:r>
            <w:r w:rsidRPr="00F768B6">
              <w:rPr>
                <w:rFonts w:cstheme="majorHAnsi"/>
              </w:rPr>
              <w:t>W</w:t>
            </w:r>
          </w:p>
        </w:tc>
        <w:tc>
          <w:tcPr>
            <w:tcW w:w="2268" w:type="dxa"/>
            <w:tcBorders>
              <w:top w:val="single" w:sz="4" w:space="0" w:color="auto"/>
              <w:left w:val="single" w:sz="4" w:space="0" w:color="auto"/>
              <w:bottom w:val="single" w:sz="4" w:space="0" w:color="auto"/>
              <w:right w:val="single" w:sz="4" w:space="0" w:color="auto"/>
            </w:tcBorders>
          </w:tcPr>
          <w:p w14:paraId="6B0071E9" w14:textId="00268F54" w:rsidR="005E50DF" w:rsidRDefault="005E50DF" w:rsidP="005E50DF">
            <w:pPr>
              <w:tabs>
                <w:tab w:val="left" w:pos="360"/>
                <w:tab w:val="left" w:pos="504"/>
              </w:tabs>
              <w:spacing w:before="120"/>
              <w:jc w:val="center"/>
              <w:rPr>
                <w:rFonts w:ascii="Cambria" w:eastAsia="Cambria" w:hAnsi="Cambria" w:cs="Cambria"/>
              </w:rPr>
            </w:pPr>
          </w:p>
          <w:p w14:paraId="4767C866" w14:textId="593D7A98"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623,95 €</w:t>
            </w:r>
          </w:p>
        </w:tc>
        <w:tc>
          <w:tcPr>
            <w:tcW w:w="3261" w:type="dxa"/>
            <w:tcBorders>
              <w:top w:val="single" w:sz="4" w:space="0" w:color="auto"/>
              <w:left w:val="single" w:sz="4" w:space="0" w:color="auto"/>
              <w:bottom w:val="single" w:sz="4" w:space="0" w:color="auto"/>
              <w:right w:val="single" w:sz="4" w:space="0" w:color="auto"/>
            </w:tcBorders>
          </w:tcPr>
          <w:p w14:paraId="091B8917" w14:textId="273AAD91" w:rsidR="005E50DF" w:rsidRPr="00F768B6" w:rsidRDefault="005E50DF" w:rsidP="005E50DF">
            <w:pPr>
              <w:tabs>
                <w:tab w:val="left" w:pos="360"/>
                <w:tab w:val="left" w:pos="504"/>
              </w:tabs>
              <w:spacing w:before="120"/>
              <w:jc w:val="center"/>
              <w:textAlignment w:val="baseline"/>
              <w:rPr>
                <w:rFonts w:cstheme="majorHAnsi"/>
              </w:rPr>
            </w:pPr>
            <w:r>
              <w:rPr>
                <w:rFonts w:cstheme="majorHAnsi"/>
              </w:rPr>
              <w:t>Par MW produit par éolienne et par an</w:t>
            </w:r>
          </w:p>
        </w:tc>
      </w:tr>
      <w:tr w:rsidR="005E50DF" w:rsidRPr="00F91BDD" w14:paraId="7A0C10DB" w14:textId="0066F51A"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107ED273" w14:textId="4A835555" w:rsidR="005E50DF" w:rsidRPr="00F768B6" w:rsidRDefault="005E50DF" w:rsidP="005E50DF">
            <w:pPr>
              <w:pStyle w:val="Titre3"/>
              <w:numPr>
                <w:ilvl w:val="0"/>
                <w:numId w:val="0"/>
              </w:numPr>
              <w:ind w:left="786"/>
            </w:pPr>
            <w:bookmarkStart w:id="5564" w:name="_Toc225504489"/>
            <w:bookmarkStart w:id="5565" w:name="_Toc225772578"/>
            <w:bookmarkStart w:id="5566" w:name="_Toc233626445"/>
            <w:r w:rsidRPr="21B2FD55">
              <w:t>04002/367-48 : Emplacements de parkings gratuits</w:t>
            </w:r>
            <w:bookmarkEnd w:id="5564"/>
            <w:bookmarkEnd w:id="5565"/>
            <w:bookmarkEnd w:id="5566"/>
          </w:p>
        </w:tc>
        <w:tc>
          <w:tcPr>
            <w:tcW w:w="1275" w:type="dxa"/>
            <w:tcBorders>
              <w:top w:val="single" w:sz="4" w:space="0" w:color="auto"/>
              <w:left w:val="single" w:sz="4" w:space="0" w:color="auto"/>
              <w:bottom w:val="single" w:sz="4" w:space="0" w:color="auto"/>
              <w:right w:val="single" w:sz="4" w:space="0" w:color="auto"/>
            </w:tcBorders>
          </w:tcPr>
          <w:p w14:paraId="6C5C3B46"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27CD7C15"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112€/emplacement</w:t>
            </w:r>
          </w:p>
          <w:p w14:paraId="271E7D2F" w14:textId="111DEF00"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150€/emplacement si motivation spéciale</w:t>
            </w:r>
          </w:p>
        </w:tc>
        <w:tc>
          <w:tcPr>
            <w:tcW w:w="2268" w:type="dxa"/>
            <w:tcBorders>
              <w:top w:val="single" w:sz="4" w:space="0" w:color="auto"/>
              <w:left w:val="single" w:sz="4" w:space="0" w:color="auto"/>
              <w:bottom w:val="single" w:sz="4" w:space="0" w:color="auto"/>
              <w:right w:val="single" w:sz="4" w:space="0" w:color="auto"/>
            </w:tcBorders>
          </w:tcPr>
          <w:p w14:paraId="6B261A96" w14:textId="52C02EBA"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139,76€</w:t>
            </w:r>
          </w:p>
          <w:p w14:paraId="0F5DF7A2" w14:textId="210747C4"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187,19€</w:t>
            </w:r>
          </w:p>
        </w:tc>
        <w:tc>
          <w:tcPr>
            <w:tcW w:w="3261" w:type="dxa"/>
            <w:tcBorders>
              <w:top w:val="single" w:sz="4" w:space="0" w:color="auto"/>
              <w:left w:val="single" w:sz="4" w:space="0" w:color="auto"/>
              <w:bottom w:val="single" w:sz="4" w:space="0" w:color="auto"/>
              <w:right w:val="single" w:sz="4" w:space="0" w:color="auto"/>
            </w:tcBorders>
          </w:tcPr>
          <w:p w14:paraId="08D58D56" w14:textId="122C107D"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Par emplacement et par an</w:t>
            </w:r>
          </w:p>
        </w:tc>
      </w:tr>
      <w:tr w:rsidR="005E50DF" w:rsidRPr="00F91BDD" w14:paraId="377F9E0A" w14:textId="039BDA23"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3BEF8B22" w14:textId="2F684BED" w:rsidR="005E50DF" w:rsidRPr="00F768B6" w:rsidRDefault="005E50DF" w:rsidP="005E50DF">
            <w:pPr>
              <w:pStyle w:val="Titre3"/>
              <w:numPr>
                <w:ilvl w:val="0"/>
                <w:numId w:val="0"/>
              </w:numPr>
              <w:ind w:left="786"/>
            </w:pPr>
            <w:bookmarkStart w:id="5567" w:name="_Toc225504490"/>
            <w:bookmarkStart w:id="5568" w:name="_Toc225772579"/>
            <w:bookmarkStart w:id="5569" w:name="_Toc233626446"/>
            <w:r w:rsidRPr="21B2FD55">
              <w:t>040/368-02 : Chevaux d’agrément, poneys et haras</w:t>
            </w:r>
            <w:bookmarkEnd w:id="5567"/>
            <w:bookmarkEnd w:id="5568"/>
            <w:bookmarkEnd w:id="5569"/>
          </w:p>
        </w:tc>
        <w:tc>
          <w:tcPr>
            <w:tcW w:w="1275" w:type="dxa"/>
            <w:tcBorders>
              <w:top w:val="single" w:sz="4" w:space="0" w:color="auto"/>
              <w:left w:val="single" w:sz="4" w:space="0" w:color="auto"/>
              <w:bottom w:val="single" w:sz="4" w:space="0" w:color="auto"/>
              <w:right w:val="single" w:sz="4" w:space="0" w:color="auto"/>
            </w:tcBorders>
          </w:tcPr>
          <w:p w14:paraId="6FB96EA4"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44667D69"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110€/cheval</w:t>
            </w:r>
          </w:p>
          <w:p w14:paraId="2AE5F7A4"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30€/poney</w:t>
            </w:r>
          </w:p>
          <w:p w14:paraId="5C08BA67" w14:textId="535A27E4" w:rsidR="005E50DF" w:rsidRPr="00F768B6" w:rsidRDefault="005E50DF" w:rsidP="005E50DF">
            <w:pPr>
              <w:tabs>
                <w:tab w:val="left" w:pos="360"/>
                <w:tab w:val="left" w:pos="504"/>
              </w:tabs>
              <w:spacing w:before="120"/>
              <w:jc w:val="center"/>
              <w:textAlignment w:val="baseline"/>
              <w:rPr>
                <w:rFonts w:cstheme="majorHAnsi"/>
              </w:rPr>
            </w:pPr>
            <w:r w:rsidRPr="00F768B6">
              <w:rPr>
                <w:rFonts w:cstheme="majorHAnsi"/>
                <w:iCs/>
              </w:rPr>
              <w:t>OU Forfait de 80€</w:t>
            </w:r>
          </w:p>
        </w:tc>
        <w:tc>
          <w:tcPr>
            <w:tcW w:w="2268" w:type="dxa"/>
            <w:tcBorders>
              <w:top w:val="single" w:sz="4" w:space="0" w:color="auto"/>
              <w:left w:val="single" w:sz="4" w:space="0" w:color="auto"/>
              <w:bottom w:val="single" w:sz="4" w:space="0" w:color="auto"/>
              <w:right w:val="single" w:sz="4" w:space="0" w:color="auto"/>
            </w:tcBorders>
          </w:tcPr>
          <w:p w14:paraId="058B37F1" w14:textId="13331F30"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137,27 €</w:t>
            </w:r>
          </w:p>
          <w:p w14:paraId="04CE2C2B" w14:textId="5441BF91"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37,44€</w:t>
            </w:r>
          </w:p>
          <w:p w14:paraId="142060D2" w14:textId="4D72573C"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99,83€</w:t>
            </w:r>
          </w:p>
        </w:tc>
        <w:tc>
          <w:tcPr>
            <w:tcW w:w="3261" w:type="dxa"/>
            <w:tcBorders>
              <w:top w:val="single" w:sz="4" w:space="0" w:color="auto"/>
              <w:left w:val="single" w:sz="4" w:space="0" w:color="auto"/>
              <w:bottom w:val="single" w:sz="4" w:space="0" w:color="auto"/>
              <w:right w:val="single" w:sz="4" w:space="0" w:color="auto"/>
            </w:tcBorders>
          </w:tcPr>
          <w:p w14:paraId="7A873CCA" w14:textId="77777777" w:rsidR="005E50DF" w:rsidRDefault="005E50DF" w:rsidP="005E50DF">
            <w:pPr>
              <w:tabs>
                <w:tab w:val="left" w:pos="360"/>
                <w:tab w:val="left" w:pos="504"/>
              </w:tabs>
              <w:spacing w:before="120"/>
              <w:jc w:val="center"/>
              <w:textAlignment w:val="baseline"/>
              <w:rPr>
                <w:rFonts w:cstheme="majorHAnsi"/>
                <w:iCs/>
              </w:rPr>
            </w:pPr>
            <w:r>
              <w:rPr>
                <w:rFonts w:cstheme="majorHAnsi"/>
                <w:iCs/>
              </w:rPr>
              <w:t>Par cheval/poney et par an</w:t>
            </w:r>
          </w:p>
          <w:p w14:paraId="138F342E" w14:textId="39BE78CF" w:rsidR="005E50DF" w:rsidRDefault="005E50DF" w:rsidP="005E50DF">
            <w:pPr>
              <w:tabs>
                <w:tab w:val="left" w:pos="360"/>
                <w:tab w:val="left" w:pos="504"/>
              </w:tabs>
              <w:spacing w:before="120"/>
              <w:jc w:val="center"/>
              <w:textAlignment w:val="baseline"/>
              <w:rPr>
                <w:rFonts w:cstheme="majorHAnsi"/>
                <w:iCs/>
              </w:rPr>
            </w:pPr>
            <w:r>
              <w:rPr>
                <w:rFonts w:cstheme="majorHAnsi"/>
                <w:iCs/>
              </w:rPr>
              <w:t>Ou</w:t>
            </w:r>
          </w:p>
          <w:p w14:paraId="0D0C33EB" w14:textId="1083C64C" w:rsidR="005E50DF" w:rsidRPr="00F768B6" w:rsidRDefault="005E50DF" w:rsidP="005E50DF">
            <w:pPr>
              <w:tabs>
                <w:tab w:val="left" w:pos="360"/>
                <w:tab w:val="left" w:pos="504"/>
              </w:tabs>
              <w:spacing w:before="120"/>
              <w:jc w:val="center"/>
              <w:textAlignment w:val="baseline"/>
              <w:rPr>
                <w:rFonts w:cstheme="majorHAnsi"/>
                <w:iCs/>
              </w:rPr>
            </w:pPr>
            <w:r>
              <w:rPr>
                <w:rFonts w:cstheme="majorHAnsi"/>
                <w:iCs/>
              </w:rPr>
              <w:t>Forfait par animal et par an</w:t>
            </w:r>
          </w:p>
        </w:tc>
      </w:tr>
      <w:tr w:rsidR="005E50DF" w:rsidRPr="00F91BDD" w14:paraId="61EE1F1E" w14:textId="28308655"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35DEC71E" w14:textId="274A56C8" w:rsidR="005E50DF" w:rsidRPr="00F768B6" w:rsidRDefault="005E50DF" w:rsidP="005E50DF">
            <w:pPr>
              <w:pStyle w:val="Titre3"/>
              <w:numPr>
                <w:ilvl w:val="0"/>
                <w:numId w:val="0"/>
              </w:numPr>
              <w:ind w:left="786"/>
            </w:pPr>
            <w:bookmarkStart w:id="5570" w:name="_Toc225504491"/>
            <w:bookmarkStart w:id="5571" w:name="_Toc225772580"/>
            <w:bookmarkStart w:id="5572" w:name="_Toc233626447"/>
            <w:r w:rsidRPr="21B2FD55">
              <w:t>040/368-05 : Port d’armes (ristournes provinciales)</w:t>
            </w:r>
            <w:bookmarkEnd w:id="5570"/>
            <w:bookmarkEnd w:id="5571"/>
            <w:bookmarkEnd w:id="5572"/>
          </w:p>
        </w:tc>
        <w:tc>
          <w:tcPr>
            <w:tcW w:w="1275" w:type="dxa"/>
            <w:tcBorders>
              <w:top w:val="single" w:sz="4" w:space="0" w:color="auto"/>
              <w:left w:val="single" w:sz="4" w:space="0" w:color="auto"/>
              <w:bottom w:val="single" w:sz="4" w:space="0" w:color="auto"/>
              <w:right w:val="single" w:sz="4" w:space="0" w:color="auto"/>
            </w:tcBorders>
          </w:tcPr>
          <w:p w14:paraId="3E898970" w14:textId="77777777" w:rsidR="005E50DF" w:rsidRPr="00F768B6" w:rsidRDefault="005E50DF" w:rsidP="005E50DF">
            <w:pPr>
              <w:tabs>
                <w:tab w:val="left" w:pos="360"/>
                <w:tab w:val="left" w:pos="504"/>
              </w:tabs>
              <w:spacing w:before="120"/>
              <w:jc w:val="center"/>
              <w:textAlignment w:val="baseline"/>
              <w:rPr>
                <w:rFonts w:cstheme="majorHAnsi"/>
                <w:iCs/>
              </w:rPr>
            </w:pPr>
          </w:p>
        </w:tc>
        <w:tc>
          <w:tcPr>
            <w:tcW w:w="2268" w:type="dxa"/>
            <w:tcBorders>
              <w:top w:val="single" w:sz="4" w:space="0" w:color="auto"/>
              <w:bottom w:val="single" w:sz="4" w:space="0" w:color="auto"/>
            </w:tcBorders>
          </w:tcPr>
          <w:p w14:paraId="21E09ED5" w14:textId="44B94373"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x</w:t>
            </w:r>
          </w:p>
        </w:tc>
        <w:tc>
          <w:tcPr>
            <w:tcW w:w="2268" w:type="dxa"/>
            <w:tcBorders>
              <w:top w:val="single" w:sz="4" w:space="0" w:color="auto"/>
              <w:left w:val="single" w:sz="4" w:space="0" w:color="auto"/>
              <w:bottom w:val="single" w:sz="4" w:space="0" w:color="auto"/>
              <w:right w:val="single" w:sz="4" w:space="0" w:color="auto"/>
            </w:tcBorders>
          </w:tcPr>
          <w:p w14:paraId="62676F4D" w14:textId="5D198505"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x</w:t>
            </w:r>
          </w:p>
        </w:tc>
        <w:tc>
          <w:tcPr>
            <w:tcW w:w="3261" w:type="dxa"/>
            <w:tcBorders>
              <w:top w:val="single" w:sz="4" w:space="0" w:color="auto"/>
              <w:left w:val="single" w:sz="4" w:space="0" w:color="auto"/>
              <w:bottom w:val="single" w:sz="4" w:space="0" w:color="auto"/>
              <w:right w:val="single" w:sz="4" w:space="0" w:color="auto"/>
            </w:tcBorders>
          </w:tcPr>
          <w:p w14:paraId="689E3426" w14:textId="77777777" w:rsidR="005E50DF" w:rsidRPr="00F768B6" w:rsidRDefault="005E50DF" w:rsidP="005E50DF">
            <w:pPr>
              <w:tabs>
                <w:tab w:val="left" w:pos="360"/>
                <w:tab w:val="left" w:pos="504"/>
              </w:tabs>
              <w:spacing w:before="120"/>
              <w:jc w:val="center"/>
              <w:textAlignment w:val="baseline"/>
              <w:rPr>
                <w:rFonts w:cstheme="majorHAnsi"/>
                <w:iCs/>
              </w:rPr>
            </w:pPr>
          </w:p>
        </w:tc>
      </w:tr>
      <w:tr w:rsidR="005E50DF" w:rsidRPr="00F91BDD" w14:paraId="4D182340" w14:textId="18437920"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072CBC7C" w14:textId="21E660EF" w:rsidR="005E50DF" w:rsidRPr="00F768B6" w:rsidRDefault="005E50DF" w:rsidP="005E50DF">
            <w:pPr>
              <w:pStyle w:val="Titre3"/>
              <w:numPr>
                <w:ilvl w:val="0"/>
                <w:numId w:val="0"/>
              </w:numPr>
              <w:ind w:left="786"/>
            </w:pPr>
            <w:bookmarkStart w:id="5573" w:name="_Toc225504492"/>
            <w:bookmarkStart w:id="5574" w:name="_Toc225772581"/>
            <w:bookmarkStart w:id="5575" w:name="_Toc233626448"/>
            <w:r w:rsidRPr="21B2FD55">
              <w:t>040/368-08 : Redevance pour enlèvement de véhicule de cyclopartage gênant</w:t>
            </w:r>
            <w:bookmarkEnd w:id="5573"/>
            <w:bookmarkEnd w:id="5574"/>
            <w:bookmarkEnd w:id="5575"/>
          </w:p>
        </w:tc>
        <w:tc>
          <w:tcPr>
            <w:tcW w:w="1275" w:type="dxa"/>
            <w:tcBorders>
              <w:top w:val="single" w:sz="4" w:space="0" w:color="auto"/>
              <w:left w:val="single" w:sz="4" w:space="0" w:color="auto"/>
              <w:bottom w:val="single" w:sz="4" w:space="0" w:color="auto"/>
              <w:right w:val="single" w:sz="4" w:space="0" w:color="auto"/>
            </w:tcBorders>
          </w:tcPr>
          <w:p w14:paraId="5A479AD1"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Redevance</w:t>
            </w:r>
          </w:p>
        </w:tc>
        <w:tc>
          <w:tcPr>
            <w:tcW w:w="2268" w:type="dxa"/>
            <w:tcBorders>
              <w:top w:val="single" w:sz="4" w:space="0" w:color="auto"/>
              <w:bottom w:val="single" w:sz="4" w:space="0" w:color="auto"/>
            </w:tcBorders>
          </w:tcPr>
          <w:p w14:paraId="7A2C37F4" w14:textId="6255374C" w:rsidR="005E50DF" w:rsidRDefault="005E50DF" w:rsidP="005E50DF">
            <w:pPr>
              <w:tabs>
                <w:tab w:val="left" w:pos="360"/>
                <w:tab w:val="left" w:pos="504"/>
              </w:tabs>
              <w:spacing w:before="120"/>
              <w:jc w:val="center"/>
              <w:textAlignment w:val="baseline"/>
              <w:rPr>
                <w:rFonts w:cstheme="majorHAnsi"/>
              </w:rPr>
            </w:pPr>
            <w:r w:rsidRPr="00F768B6">
              <w:rPr>
                <w:rFonts w:cstheme="majorHAnsi"/>
              </w:rPr>
              <w:t>75 € par enlèvement,</w:t>
            </w:r>
          </w:p>
          <w:p w14:paraId="6ABC2D03" w14:textId="6B71EEFA"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rPr>
              <w:t>majoré de 5 € par jour de garde</w:t>
            </w:r>
          </w:p>
        </w:tc>
        <w:tc>
          <w:tcPr>
            <w:tcW w:w="2268" w:type="dxa"/>
            <w:tcBorders>
              <w:top w:val="single" w:sz="4" w:space="0" w:color="auto"/>
              <w:left w:val="single" w:sz="4" w:space="0" w:color="auto"/>
              <w:bottom w:val="single" w:sz="4" w:space="0" w:color="auto"/>
              <w:right w:val="single" w:sz="4" w:space="0" w:color="auto"/>
            </w:tcBorders>
          </w:tcPr>
          <w:p w14:paraId="50EC58A5" w14:textId="7A3737C6" w:rsidR="005E50DF"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93,59 € par enlèvement,</w:t>
            </w:r>
          </w:p>
          <w:p w14:paraId="16B75065" w14:textId="0B91CEF9"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majoré de 6,24 € par jour de garde</w:t>
            </w:r>
          </w:p>
        </w:tc>
        <w:tc>
          <w:tcPr>
            <w:tcW w:w="3261" w:type="dxa"/>
            <w:tcBorders>
              <w:top w:val="single" w:sz="4" w:space="0" w:color="auto"/>
              <w:left w:val="single" w:sz="4" w:space="0" w:color="auto"/>
              <w:bottom w:val="single" w:sz="4" w:space="0" w:color="auto"/>
              <w:right w:val="single" w:sz="4" w:space="0" w:color="auto"/>
            </w:tcBorders>
          </w:tcPr>
          <w:p w14:paraId="1557817F" w14:textId="33639500" w:rsidR="005E50DF" w:rsidRDefault="005E50DF" w:rsidP="005E50DF">
            <w:pPr>
              <w:tabs>
                <w:tab w:val="left" w:pos="360"/>
                <w:tab w:val="left" w:pos="504"/>
              </w:tabs>
              <w:spacing w:before="120"/>
              <w:jc w:val="center"/>
              <w:textAlignment w:val="baseline"/>
              <w:rPr>
                <w:rFonts w:cstheme="majorHAnsi"/>
              </w:rPr>
            </w:pPr>
            <w:r>
              <w:rPr>
                <w:rFonts w:cstheme="majorHAnsi"/>
              </w:rPr>
              <w:t>Par enlèvement de véhicule</w:t>
            </w:r>
          </w:p>
          <w:p w14:paraId="6F8A7E37" w14:textId="54D5AD25" w:rsidR="005E50DF" w:rsidRPr="00F768B6" w:rsidRDefault="005E50DF" w:rsidP="005E50DF">
            <w:pPr>
              <w:tabs>
                <w:tab w:val="left" w:pos="360"/>
                <w:tab w:val="left" w:pos="504"/>
              </w:tabs>
              <w:spacing w:before="120"/>
              <w:jc w:val="center"/>
              <w:textAlignment w:val="baseline"/>
              <w:rPr>
                <w:rFonts w:cstheme="majorHAnsi"/>
              </w:rPr>
            </w:pPr>
            <w:r>
              <w:rPr>
                <w:rFonts w:cstheme="majorHAnsi"/>
              </w:rPr>
              <w:t>Par jour de garde</w:t>
            </w:r>
          </w:p>
        </w:tc>
      </w:tr>
      <w:tr w:rsidR="005E50DF" w:rsidRPr="00F91BDD" w14:paraId="7571A3B6" w14:textId="2F18E9A9"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320D2518" w14:textId="59569201" w:rsidR="005E50DF" w:rsidRPr="00F768B6" w:rsidRDefault="005E50DF" w:rsidP="005E50DF">
            <w:pPr>
              <w:pStyle w:val="Titre3"/>
              <w:numPr>
                <w:ilvl w:val="0"/>
                <w:numId w:val="0"/>
              </w:numPr>
              <w:ind w:left="786"/>
            </w:pPr>
            <w:bookmarkStart w:id="5576" w:name="_Toc225504493"/>
            <w:bookmarkStart w:id="5577" w:name="_Toc225772582"/>
            <w:bookmarkStart w:id="5578" w:name="_Toc233626449"/>
            <w:r w:rsidRPr="21B2FD55">
              <w:t>040/368-12 : Terrains de tennis privés</w:t>
            </w:r>
            <w:bookmarkEnd w:id="5576"/>
            <w:bookmarkEnd w:id="5577"/>
            <w:bookmarkEnd w:id="5578"/>
          </w:p>
        </w:tc>
        <w:tc>
          <w:tcPr>
            <w:tcW w:w="1275" w:type="dxa"/>
            <w:tcBorders>
              <w:top w:val="single" w:sz="4" w:space="0" w:color="auto"/>
              <w:left w:val="single" w:sz="4" w:space="0" w:color="auto"/>
              <w:bottom w:val="single" w:sz="4" w:space="0" w:color="auto"/>
              <w:right w:val="single" w:sz="4" w:space="0" w:color="auto"/>
            </w:tcBorders>
          </w:tcPr>
          <w:p w14:paraId="3D54D133"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39282BE6" w14:textId="239E6C46"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rPr>
              <w:t>900,00 €/an</w:t>
            </w:r>
          </w:p>
        </w:tc>
        <w:tc>
          <w:tcPr>
            <w:tcW w:w="2268" w:type="dxa"/>
            <w:tcBorders>
              <w:top w:val="single" w:sz="4" w:space="0" w:color="auto"/>
              <w:left w:val="single" w:sz="4" w:space="0" w:color="auto"/>
              <w:bottom w:val="single" w:sz="4" w:space="0" w:color="auto"/>
              <w:right w:val="single" w:sz="4" w:space="0" w:color="auto"/>
            </w:tcBorders>
          </w:tcPr>
          <w:p w14:paraId="123EF5A6" w14:textId="60B2398B"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1123,11€</w:t>
            </w:r>
          </w:p>
        </w:tc>
        <w:tc>
          <w:tcPr>
            <w:tcW w:w="3261" w:type="dxa"/>
            <w:tcBorders>
              <w:top w:val="single" w:sz="4" w:space="0" w:color="auto"/>
              <w:left w:val="single" w:sz="4" w:space="0" w:color="auto"/>
              <w:bottom w:val="single" w:sz="4" w:space="0" w:color="auto"/>
              <w:right w:val="single" w:sz="4" w:space="0" w:color="auto"/>
            </w:tcBorders>
          </w:tcPr>
          <w:p w14:paraId="69C8BE9A" w14:textId="6CFA7638" w:rsidR="005E50DF" w:rsidRPr="00F768B6" w:rsidRDefault="005E50DF" w:rsidP="005E50DF">
            <w:pPr>
              <w:tabs>
                <w:tab w:val="left" w:pos="360"/>
                <w:tab w:val="left" w:pos="504"/>
              </w:tabs>
              <w:spacing w:before="120"/>
              <w:jc w:val="center"/>
              <w:textAlignment w:val="baseline"/>
              <w:rPr>
                <w:rFonts w:cstheme="majorHAnsi"/>
              </w:rPr>
            </w:pPr>
            <w:r>
              <w:rPr>
                <w:rFonts w:cstheme="majorHAnsi"/>
              </w:rPr>
              <w:t>Par terrain et par an</w:t>
            </w:r>
          </w:p>
        </w:tc>
      </w:tr>
      <w:tr w:rsidR="005E50DF" w:rsidRPr="00F91BDD" w14:paraId="43D63D4C" w14:textId="5544FB5A"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3A2820B" w14:textId="185855E1" w:rsidR="005E50DF" w:rsidRPr="00F768B6" w:rsidRDefault="005E50DF" w:rsidP="005E50DF">
            <w:pPr>
              <w:pStyle w:val="Titre3"/>
              <w:numPr>
                <w:ilvl w:val="0"/>
                <w:numId w:val="0"/>
              </w:numPr>
              <w:ind w:left="786"/>
            </w:pPr>
            <w:bookmarkStart w:id="5579" w:name="_Toc225504494"/>
            <w:bookmarkStart w:id="5580" w:name="_Toc225772583"/>
            <w:bookmarkStart w:id="5581" w:name="_Toc233626450"/>
            <w:r w:rsidRPr="21B2FD55">
              <w:lastRenderedPageBreak/>
              <w:t>040/368-15 : Golfs</w:t>
            </w:r>
            <w:bookmarkEnd w:id="5579"/>
            <w:bookmarkEnd w:id="5580"/>
            <w:bookmarkEnd w:id="5581"/>
          </w:p>
        </w:tc>
        <w:tc>
          <w:tcPr>
            <w:tcW w:w="1275" w:type="dxa"/>
            <w:tcBorders>
              <w:top w:val="single" w:sz="4" w:space="0" w:color="auto"/>
              <w:left w:val="single" w:sz="4" w:space="0" w:color="auto"/>
              <w:bottom w:val="single" w:sz="4" w:space="0" w:color="auto"/>
              <w:right w:val="single" w:sz="4" w:space="0" w:color="auto"/>
            </w:tcBorders>
          </w:tcPr>
          <w:p w14:paraId="2C639C77" w14:textId="77777777" w:rsidR="005E50DF" w:rsidRPr="00F768B6" w:rsidRDefault="005E50DF" w:rsidP="005E50DF">
            <w:pPr>
              <w:tabs>
                <w:tab w:val="left" w:pos="360"/>
                <w:tab w:val="left" w:pos="504"/>
              </w:tabs>
              <w:spacing w:before="120"/>
              <w:jc w:val="center"/>
              <w:textAlignment w:val="baseline"/>
              <w:rPr>
                <w:rFonts w:cstheme="majorHAnsi"/>
                <w:iCs/>
              </w:rPr>
            </w:pPr>
            <w:r w:rsidRPr="00F768B6">
              <w:rPr>
                <w:rFonts w:cstheme="majorHAnsi"/>
                <w:iCs/>
              </w:rPr>
              <w:t>Taxe directe</w:t>
            </w:r>
          </w:p>
        </w:tc>
        <w:tc>
          <w:tcPr>
            <w:tcW w:w="2268" w:type="dxa"/>
            <w:tcBorders>
              <w:top w:val="single" w:sz="4" w:space="0" w:color="auto"/>
              <w:bottom w:val="single" w:sz="4" w:space="0" w:color="auto"/>
            </w:tcBorders>
          </w:tcPr>
          <w:p w14:paraId="1B0BED5D" w14:textId="0FAC7779" w:rsidR="005E50DF" w:rsidRPr="00F768B6" w:rsidRDefault="005E50DF" w:rsidP="005E50DF">
            <w:pPr>
              <w:tabs>
                <w:tab w:val="left" w:pos="360"/>
                <w:tab w:val="left" w:pos="504"/>
              </w:tabs>
              <w:spacing w:before="120"/>
              <w:jc w:val="center"/>
              <w:textAlignment w:val="baseline"/>
              <w:rPr>
                <w:rFonts w:cstheme="majorHAnsi"/>
              </w:rPr>
            </w:pPr>
            <w:r w:rsidRPr="00F768B6">
              <w:rPr>
                <w:rFonts w:cstheme="majorHAnsi"/>
              </w:rPr>
              <w:t>11.000,00 €/an/terrain</w:t>
            </w:r>
          </w:p>
        </w:tc>
        <w:tc>
          <w:tcPr>
            <w:tcW w:w="2268" w:type="dxa"/>
            <w:tcBorders>
              <w:top w:val="single" w:sz="4" w:space="0" w:color="auto"/>
              <w:left w:val="single" w:sz="4" w:space="0" w:color="auto"/>
              <w:bottom w:val="single" w:sz="4" w:space="0" w:color="auto"/>
              <w:right w:val="single" w:sz="4" w:space="0" w:color="auto"/>
            </w:tcBorders>
          </w:tcPr>
          <w:p w14:paraId="02125129" w14:textId="287EA0C5" w:rsidR="005E50DF" w:rsidRPr="01C1E901" w:rsidRDefault="005E50DF" w:rsidP="005E50DF">
            <w:pPr>
              <w:tabs>
                <w:tab w:val="left" w:pos="360"/>
                <w:tab w:val="left" w:pos="504"/>
              </w:tabs>
              <w:spacing w:before="120"/>
              <w:jc w:val="center"/>
              <w:rPr>
                <w:rFonts w:ascii="Cambria" w:eastAsia="Cambria" w:hAnsi="Cambria" w:cs="Cambria"/>
              </w:rPr>
            </w:pPr>
            <w:r w:rsidRPr="42E2FCEB">
              <w:rPr>
                <w:rFonts w:ascii="Cambria" w:eastAsia="Cambria" w:hAnsi="Cambria" w:cs="Cambria"/>
              </w:rPr>
              <w:t>13726,9 €/an/terrain</w:t>
            </w:r>
          </w:p>
        </w:tc>
        <w:tc>
          <w:tcPr>
            <w:tcW w:w="3261" w:type="dxa"/>
            <w:tcBorders>
              <w:top w:val="single" w:sz="4" w:space="0" w:color="auto"/>
              <w:left w:val="single" w:sz="4" w:space="0" w:color="auto"/>
              <w:bottom w:val="single" w:sz="4" w:space="0" w:color="auto"/>
              <w:right w:val="single" w:sz="4" w:space="0" w:color="auto"/>
            </w:tcBorders>
          </w:tcPr>
          <w:p w14:paraId="526B8AA1" w14:textId="1843A2D8" w:rsidR="005E50DF" w:rsidRPr="00F768B6" w:rsidRDefault="005E50DF" w:rsidP="005E50DF">
            <w:pPr>
              <w:tabs>
                <w:tab w:val="left" w:pos="360"/>
                <w:tab w:val="left" w:pos="504"/>
              </w:tabs>
              <w:spacing w:before="120"/>
              <w:jc w:val="center"/>
              <w:textAlignment w:val="baseline"/>
              <w:rPr>
                <w:rFonts w:cstheme="majorHAnsi"/>
              </w:rPr>
            </w:pPr>
            <w:r>
              <w:rPr>
                <w:rFonts w:cstheme="majorHAnsi"/>
              </w:rPr>
              <w:t>Par terrain et par an</w:t>
            </w:r>
          </w:p>
        </w:tc>
      </w:tr>
      <w:tr w:rsidR="005E50DF" w:rsidRPr="00F91BDD" w14:paraId="34B83322" w14:textId="02B221A7"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0CFA57C4" w14:textId="7FD099B4" w:rsidR="005E50DF" w:rsidRPr="00F768B6" w:rsidRDefault="005E50DF" w:rsidP="005E50DF">
            <w:pPr>
              <w:pStyle w:val="Titre3"/>
            </w:pPr>
            <w:bookmarkStart w:id="5582" w:name="_Toc225504495"/>
            <w:bookmarkStart w:id="5583" w:name="_Toc225772584"/>
            <w:bookmarkStart w:id="5584" w:name="_Toc233626451"/>
            <w:r w:rsidRPr="21B2FD55">
              <w:t>Taxes et redevances spécialement motivées par une situation particulière</w:t>
            </w:r>
            <w:bookmarkEnd w:id="5582"/>
            <w:bookmarkEnd w:id="5583"/>
            <w:bookmarkEnd w:id="5584"/>
          </w:p>
        </w:tc>
        <w:tc>
          <w:tcPr>
            <w:tcW w:w="1275" w:type="dxa"/>
            <w:tcBorders>
              <w:top w:val="single" w:sz="4" w:space="0" w:color="auto"/>
              <w:left w:val="single" w:sz="4" w:space="0" w:color="auto"/>
              <w:bottom w:val="single" w:sz="4" w:space="0" w:color="auto"/>
              <w:right w:val="single" w:sz="4" w:space="0" w:color="auto"/>
            </w:tcBorders>
          </w:tcPr>
          <w:p w14:paraId="7B05B4CB" w14:textId="77777777" w:rsidR="005E50DF" w:rsidRPr="00F768B6" w:rsidRDefault="005E50DF" w:rsidP="005E50DF">
            <w:pPr>
              <w:tabs>
                <w:tab w:val="left" w:pos="360"/>
                <w:tab w:val="left" w:pos="504"/>
              </w:tabs>
              <w:spacing w:before="120"/>
              <w:jc w:val="center"/>
              <w:textAlignment w:val="baseline"/>
              <w:rPr>
                <w:rFonts w:cstheme="majorHAnsi"/>
                <w:iCs/>
              </w:rPr>
            </w:pPr>
          </w:p>
        </w:tc>
        <w:tc>
          <w:tcPr>
            <w:tcW w:w="2268" w:type="dxa"/>
            <w:tcBorders>
              <w:top w:val="single" w:sz="4" w:space="0" w:color="auto"/>
              <w:bottom w:val="single" w:sz="4" w:space="0" w:color="auto"/>
            </w:tcBorders>
          </w:tcPr>
          <w:p w14:paraId="4588854C" w14:textId="77777777" w:rsidR="005E50DF" w:rsidRPr="00F768B6" w:rsidRDefault="005E50DF" w:rsidP="005E50DF">
            <w:pPr>
              <w:tabs>
                <w:tab w:val="left" w:pos="360"/>
                <w:tab w:val="left" w:pos="504"/>
              </w:tabs>
              <w:spacing w:before="120"/>
              <w:jc w:val="center"/>
              <w:textAlignment w:val="baseline"/>
              <w:rPr>
                <w:rFonts w:cstheme="majorHAnsi"/>
                <w:iCs/>
              </w:rPr>
            </w:pPr>
          </w:p>
        </w:tc>
        <w:tc>
          <w:tcPr>
            <w:tcW w:w="2268" w:type="dxa"/>
            <w:tcBorders>
              <w:top w:val="single" w:sz="4" w:space="0" w:color="auto"/>
              <w:left w:val="single" w:sz="4" w:space="0" w:color="auto"/>
              <w:bottom w:val="single" w:sz="4" w:space="0" w:color="auto"/>
              <w:right w:val="single" w:sz="4" w:space="0" w:color="auto"/>
            </w:tcBorders>
          </w:tcPr>
          <w:p w14:paraId="59D655A5" w14:textId="0E57F466" w:rsidR="005E50DF" w:rsidRPr="01C1E901" w:rsidRDefault="005E50DF" w:rsidP="005E50D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06C1AB02" w14:textId="77777777" w:rsidR="005E50DF" w:rsidRPr="00F768B6" w:rsidRDefault="005E50DF" w:rsidP="005E50DF">
            <w:pPr>
              <w:tabs>
                <w:tab w:val="left" w:pos="360"/>
                <w:tab w:val="left" w:pos="504"/>
              </w:tabs>
              <w:spacing w:before="120"/>
              <w:jc w:val="center"/>
              <w:textAlignment w:val="baseline"/>
              <w:rPr>
                <w:rFonts w:cstheme="majorHAnsi"/>
                <w:iCs/>
              </w:rPr>
            </w:pPr>
          </w:p>
        </w:tc>
      </w:tr>
      <w:tr w:rsidR="005E50DF" w:rsidRPr="00F91BDD" w14:paraId="1033D5CE" w14:textId="4ECA2D11"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198E71B3" w14:textId="4287D0A2" w:rsidR="005E50DF" w:rsidRPr="00F768B6" w:rsidRDefault="005E50DF" w:rsidP="005E50DF">
            <w:pPr>
              <w:pStyle w:val="Titre3"/>
              <w:numPr>
                <w:ilvl w:val="0"/>
                <w:numId w:val="0"/>
              </w:numPr>
              <w:ind w:left="786"/>
            </w:pPr>
            <w:bookmarkStart w:id="5585" w:name="_Toc225504496"/>
            <w:bookmarkStart w:id="5586" w:name="_Toc225772585"/>
            <w:bookmarkStart w:id="5587" w:name="_Toc233626452"/>
            <w:r w:rsidRPr="21B2FD55">
              <w:t>040/371-01 : Précompte immobilier – Centimes additionnels</w:t>
            </w:r>
            <w:bookmarkEnd w:id="5585"/>
            <w:bookmarkEnd w:id="5586"/>
            <w:bookmarkEnd w:id="5587"/>
          </w:p>
        </w:tc>
        <w:tc>
          <w:tcPr>
            <w:tcW w:w="1275" w:type="dxa"/>
            <w:tcBorders>
              <w:top w:val="single" w:sz="4" w:space="0" w:color="auto"/>
              <w:left w:val="single" w:sz="4" w:space="0" w:color="auto"/>
              <w:bottom w:val="single" w:sz="4" w:space="0" w:color="auto"/>
              <w:right w:val="single" w:sz="4" w:space="0" w:color="auto"/>
            </w:tcBorders>
          </w:tcPr>
          <w:p w14:paraId="08ACAB69" w14:textId="3F00D237" w:rsidR="005E50DF" w:rsidRPr="00F768B6" w:rsidRDefault="005E50DF" w:rsidP="005E50DF">
            <w:pPr>
              <w:tabs>
                <w:tab w:val="left" w:pos="360"/>
                <w:tab w:val="left" w:pos="504"/>
              </w:tabs>
              <w:spacing w:before="120"/>
              <w:jc w:val="center"/>
              <w:textAlignment w:val="baseline"/>
              <w:rPr>
                <w:rFonts w:cstheme="majorBidi"/>
              </w:rPr>
            </w:pPr>
            <w:r w:rsidRPr="7BBAE1E1">
              <w:rPr>
                <w:rFonts w:cstheme="majorBidi"/>
              </w:rPr>
              <w:t>Taxe additionnelle</w:t>
            </w:r>
          </w:p>
        </w:tc>
        <w:tc>
          <w:tcPr>
            <w:tcW w:w="2268" w:type="dxa"/>
            <w:tcBorders>
              <w:top w:val="single" w:sz="4" w:space="0" w:color="auto"/>
              <w:bottom w:val="single" w:sz="4" w:space="0" w:color="auto"/>
            </w:tcBorders>
          </w:tcPr>
          <w:p w14:paraId="27D1D52B" w14:textId="758FC672" w:rsidR="005E50DF" w:rsidRPr="00F768B6" w:rsidRDefault="005E50DF" w:rsidP="005E50DF">
            <w:pPr>
              <w:tabs>
                <w:tab w:val="left" w:pos="360"/>
                <w:tab w:val="left" w:pos="504"/>
              </w:tabs>
              <w:spacing w:before="120"/>
              <w:jc w:val="center"/>
              <w:textAlignment w:val="baseline"/>
              <w:rPr>
                <w:rFonts w:cstheme="majorBidi"/>
              </w:rPr>
            </w:pPr>
            <w:r w:rsidRPr="42E2FCEB">
              <w:rPr>
                <w:rFonts w:cstheme="majorBidi"/>
              </w:rPr>
              <w:t>2600Ca</w:t>
            </w:r>
          </w:p>
        </w:tc>
        <w:tc>
          <w:tcPr>
            <w:tcW w:w="2268" w:type="dxa"/>
            <w:tcBorders>
              <w:top w:val="single" w:sz="4" w:space="0" w:color="auto"/>
              <w:left w:val="single" w:sz="4" w:space="0" w:color="auto"/>
              <w:bottom w:val="single" w:sz="4" w:space="0" w:color="auto"/>
              <w:right w:val="single" w:sz="4" w:space="0" w:color="auto"/>
            </w:tcBorders>
          </w:tcPr>
          <w:p w14:paraId="1056C5B9" w14:textId="5F47A6E6" w:rsidR="005E50DF" w:rsidRPr="01C1E901" w:rsidRDefault="005E50DF" w:rsidP="005E50D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3D2FBEA2" w14:textId="77777777" w:rsidR="005E50DF" w:rsidRPr="00F768B6" w:rsidRDefault="005E50DF" w:rsidP="005E50DF">
            <w:pPr>
              <w:tabs>
                <w:tab w:val="left" w:pos="360"/>
                <w:tab w:val="left" w:pos="504"/>
              </w:tabs>
              <w:spacing w:before="120"/>
              <w:jc w:val="center"/>
              <w:textAlignment w:val="baseline"/>
              <w:rPr>
                <w:rFonts w:cstheme="majorHAnsi"/>
                <w:iCs/>
              </w:rPr>
            </w:pPr>
          </w:p>
        </w:tc>
      </w:tr>
      <w:tr w:rsidR="005E50DF" w:rsidRPr="00F91BDD" w14:paraId="41A3BA10" w14:textId="6BB112C2"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2F9E00BA" w14:textId="276F899C" w:rsidR="005E50DF" w:rsidRPr="00F768B6" w:rsidRDefault="005E50DF" w:rsidP="005E50DF">
            <w:pPr>
              <w:pStyle w:val="Titre3"/>
              <w:numPr>
                <w:ilvl w:val="0"/>
                <w:numId w:val="0"/>
              </w:numPr>
              <w:ind w:left="786"/>
            </w:pPr>
            <w:bookmarkStart w:id="5588" w:name="_Toc225504497"/>
            <w:bookmarkStart w:id="5589" w:name="_Toc225772586"/>
            <w:bookmarkStart w:id="5590" w:name="_Toc233626453"/>
            <w:r w:rsidRPr="21B2FD55">
              <w:t>040/372-01 : Impôt des personnes physiques (additionnels)</w:t>
            </w:r>
            <w:bookmarkEnd w:id="5588"/>
            <w:bookmarkEnd w:id="5589"/>
            <w:bookmarkEnd w:id="5590"/>
          </w:p>
        </w:tc>
        <w:tc>
          <w:tcPr>
            <w:tcW w:w="1275" w:type="dxa"/>
            <w:tcBorders>
              <w:top w:val="single" w:sz="4" w:space="0" w:color="auto"/>
              <w:left w:val="single" w:sz="4" w:space="0" w:color="auto"/>
              <w:bottom w:val="single" w:sz="4" w:space="0" w:color="auto"/>
              <w:right w:val="single" w:sz="4" w:space="0" w:color="auto"/>
            </w:tcBorders>
          </w:tcPr>
          <w:p w14:paraId="5B8E9E95" w14:textId="1C5967AD" w:rsidR="005E50DF" w:rsidRPr="00F768B6" w:rsidRDefault="005E50DF" w:rsidP="005E50DF">
            <w:pPr>
              <w:tabs>
                <w:tab w:val="left" w:pos="360"/>
                <w:tab w:val="left" w:pos="504"/>
              </w:tabs>
              <w:spacing w:before="120"/>
              <w:jc w:val="center"/>
              <w:textAlignment w:val="baseline"/>
              <w:rPr>
                <w:rFonts w:cstheme="majorBidi"/>
              </w:rPr>
            </w:pPr>
            <w:r w:rsidRPr="7BBAE1E1">
              <w:rPr>
                <w:rFonts w:cstheme="majorBidi"/>
              </w:rPr>
              <w:t>Taxe additionnelle</w:t>
            </w:r>
          </w:p>
        </w:tc>
        <w:tc>
          <w:tcPr>
            <w:tcW w:w="2268" w:type="dxa"/>
            <w:tcBorders>
              <w:top w:val="single" w:sz="4" w:space="0" w:color="auto"/>
              <w:bottom w:val="single" w:sz="4" w:space="0" w:color="auto"/>
            </w:tcBorders>
          </w:tcPr>
          <w:p w14:paraId="6591F011" w14:textId="13968332" w:rsidR="005E50DF" w:rsidRPr="00F768B6" w:rsidRDefault="005E50DF" w:rsidP="005E50DF">
            <w:pPr>
              <w:tabs>
                <w:tab w:val="left" w:pos="360"/>
                <w:tab w:val="left" w:pos="504"/>
              </w:tabs>
              <w:spacing w:before="120"/>
              <w:jc w:val="center"/>
              <w:textAlignment w:val="baseline"/>
              <w:rPr>
                <w:rFonts w:cstheme="majorBidi"/>
              </w:rPr>
            </w:pPr>
            <w:r w:rsidRPr="42E2FCEB">
              <w:rPr>
                <w:rFonts w:cstheme="majorBidi"/>
              </w:rPr>
              <w:t>8,8%</w:t>
            </w:r>
          </w:p>
        </w:tc>
        <w:tc>
          <w:tcPr>
            <w:tcW w:w="2268" w:type="dxa"/>
            <w:tcBorders>
              <w:top w:val="single" w:sz="4" w:space="0" w:color="auto"/>
              <w:left w:val="single" w:sz="4" w:space="0" w:color="auto"/>
              <w:bottom w:val="single" w:sz="4" w:space="0" w:color="auto"/>
              <w:right w:val="single" w:sz="4" w:space="0" w:color="auto"/>
            </w:tcBorders>
          </w:tcPr>
          <w:p w14:paraId="57327D33" w14:textId="5ADAA816" w:rsidR="005E50DF" w:rsidRPr="01C1E901" w:rsidRDefault="005E50DF" w:rsidP="005E50D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03298861" w14:textId="77777777" w:rsidR="005E50DF" w:rsidRPr="00F768B6" w:rsidRDefault="005E50DF" w:rsidP="005E50DF">
            <w:pPr>
              <w:tabs>
                <w:tab w:val="left" w:pos="360"/>
                <w:tab w:val="left" w:pos="504"/>
              </w:tabs>
              <w:spacing w:before="120"/>
              <w:jc w:val="center"/>
              <w:textAlignment w:val="baseline"/>
              <w:rPr>
                <w:rFonts w:cstheme="majorHAnsi"/>
                <w:iCs/>
              </w:rPr>
            </w:pPr>
          </w:p>
        </w:tc>
      </w:tr>
      <w:tr w:rsidR="005E50DF" w:rsidRPr="00F91BDD" w14:paraId="09D59BFE" w14:textId="6B6193EE"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4125BE52" w14:textId="44EDBB43" w:rsidR="005E50DF" w:rsidRPr="00F768B6" w:rsidRDefault="005E50DF" w:rsidP="005E50DF">
            <w:pPr>
              <w:pStyle w:val="Titre3"/>
              <w:numPr>
                <w:ilvl w:val="0"/>
                <w:numId w:val="0"/>
              </w:numPr>
              <w:ind w:left="786"/>
            </w:pPr>
            <w:bookmarkStart w:id="5591" w:name="_Toc225504498"/>
            <w:bookmarkStart w:id="5592" w:name="_Toc225772587"/>
            <w:bookmarkStart w:id="5593" w:name="_Toc233626454"/>
            <w:r w:rsidRPr="21B2FD55">
              <w:t>040/373-01 : Véhicules automobiles (décime additionnel)</w:t>
            </w:r>
            <w:bookmarkEnd w:id="5591"/>
            <w:bookmarkEnd w:id="5592"/>
            <w:bookmarkEnd w:id="5593"/>
          </w:p>
        </w:tc>
        <w:tc>
          <w:tcPr>
            <w:tcW w:w="1275" w:type="dxa"/>
            <w:tcBorders>
              <w:top w:val="single" w:sz="4" w:space="0" w:color="auto"/>
              <w:left w:val="single" w:sz="4" w:space="0" w:color="auto"/>
              <w:bottom w:val="single" w:sz="4" w:space="0" w:color="auto"/>
              <w:right w:val="single" w:sz="4" w:space="0" w:color="auto"/>
            </w:tcBorders>
          </w:tcPr>
          <w:p w14:paraId="600326B4" w14:textId="6AE399A0" w:rsidR="005E50DF" w:rsidRPr="00F768B6" w:rsidRDefault="005E50DF" w:rsidP="005E50DF">
            <w:pPr>
              <w:tabs>
                <w:tab w:val="left" w:pos="360"/>
                <w:tab w:val="left" w:pos="504"/>
              </w:tabs>
              <w:spacing w:before="120"/>
              <w:jc w:val="center"/>
              <w:textAlignment w:val="baseline"/>
              <w:rPr>
                <w:rFonts w:cstheme="majorBidi"/>
              </w:rPr>
            </w:pPr>
            <w:r w:rsidRPr="01B503CD">
              <w:rPr>
                <w:rFonts w:cstheme="majorBidi"/>
              </w:rPr>
              <w:t>Taxe additionnelle</w:t>
            </w:r>
          </w:p>
        </w:tc>
        <w:tc>
          <w:tcPr>
            <w:tcW w:w="2268" w:type="dxa"/>
            <w:tcBorders>
              <w:top w:val="single" w:sz="4" w:space="0" w:color="auto"/>
              <w:bottom w:val="single" w:sz="4" w:space="0" w:color="auto"/>
            </w:tcBorders>
          </w:tcPr>
          <w:p w14:paraId="47C27B49" w14:textId="77777777" w:rsidR="005E50DF" w:rsidRPr="00F768B6" w:rsidRDefault="005E50DF" w:rsidP="005E50DF">
            <w:pPr>
              <w:tabs>
                <w:tab w:val="left" w:pos="360"/>
                <w:tab w:val="left" w:pos="504"/>
              </w:tabs>
              <w:spacing w:before="120"/>
              <w:jc w:val="center"/>
              <w:textAlignment w:val="baseline"/>
              <w:rPr>
                <w:rFonts w:cstheme="majorHAnsi"/>
                <w:iCs/>
              </w:rPr>
            </w:pPr>
          </w:p>
        </w:tc>
        <w:tc>
          <w:tcPr>
            <w:tcW w:w="2268" w:type="dxa"/>
            <w:tcBorders>
              <w:top w:val="single" w:sz="4" w:space="0" w:color="auto"/>
              <w:left w:val="single" w:sz="4" w:space="0" w:color="auto"/>
              <w:bottom w:val="single" w:sz="4" w:space="0" w:color="auto"/>
              <w:right w:val="single" w:sz="4" w:space="0" w:color="auto"/>
            </w:tcBorders>
          </w:tcPr>
          <w:p w14:paraId="69B9B06B" w14:textId="116F285D" w:rsidR="005E50DF" w:rsidRPr="01C1E901" w:rsidRDefault="005E50DF" w:rsidP="005E50D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1974EF20" w14:textId="77777777" w:rsidR="005E50DF" w:rsidRPr="00F768B6" w:rsidRDefault="005E50DF" w:rsidP="005E50DF">
            <w:pPr>
              <w:tabs>
                <w:tab w:val="left" w:pos="360"/>
                <w:tab w:val="left" w:pos="504"/>
              </w:tabs>
              <w:spacing w:before="120"/>
              <w:jc w:val="center"/>
              <w:textAlignment w:val="baseline"/>
              <w:rPr>
                <w:rFonts w:cstheme="majorHAnsi"/>
                <w:iCs/>
              </w:rPr>
            </w:pPr>
          </w:p>
        </w:tc>
      </w:tr>
      <w:tr w:rsidR="005E50DF" w:rsidRPr="00F91BDD" w14:paraId="546725BE" w14:textId="36066B21" w:rsidTr="065BA9F9">
        <w:trPr>
          <w:jc w:val="center"/>
        </w:trPr>
        <w:tc>
          <w:tcPr>
            <w:tcW w:w="2689" w:type="dxa"/>
            <w:tcBorders>
              <w:top w:val="single" w:sz="4" w:space="0" w:color="auto"/>
              <w:left w:val="single" w:sz="4" w:space="0" w:color="auto"/>
              <w:bottom w:val="single" w:sz="4" w:space="0" w:color="auto"/>
              <w:right w:val="single" w:sz="4" w:space="0" w:color="auto"/>
            </w:tcBorders>
          </w:tcPr>
          <w:p w14:paraId="62CE0290" w14:textId="14A0DEA3" w:rsidR="005E50DF" w:rsidRPr="00F768B6" w:rsidRDefault="005E50DF" w:rsidP="005E50DF">
            <w:pPr>
              <w:pStyle w:val="Titre3"/>
              <w:numPr>
                <w:ilvl w:val="0"/>
                <w:numId w:val="0"/>
              </w:numPr>
              <w:ind w:left="786"/>
            </w:pPr>
            <w:bookmarkStart w:id="5594" w:name="_Toc225504499"/>
            <w:bookmarkStart w:id="5595" w:name="_Toc225772588"/>
            <w:bookmarkStart w:id="5596" w:name="_Toc233626455"/>
            <w:r w:rsidRPr="21B2FD55">
              <w:t>04001/377-01 : Sites d’activité économique désaffectés (additionnels)</w:t>
            </w:r>
            <w:bookmarkEnd w:id="5594"/>
            <w:bookmarkEnd w:id="5595"/>
            <w:bookmarkEnd w:id="5596"/>
          </w:p>
        </w:tc>
        <w:tc>
          <w:tcPr>
            <w:tcW w:w="1275" w:type="dxa"/>
            <w:tcBorders>
              <w:top w:val="single" w:sz="4" w:space="0" w:color="auto"/>
              <w:left w:val="single" w:sz="4" w:space="0" w:color="auto"/>
              <w:bottom w:val="single" w:sz="4" w:space="0" w:color="auto"/>
              <w:right w:val="single" w:sz="4" w:space="0" w:color="auto"/>
            </w:tcBorders>
          </w:tcPr>
          <w:p w14:paraId="14453D5C" w14:textId="72AB5E6D" w:rsidR="005E50DF" w:rsidRPr="00F768B6" w:rsidRDefault="005E50DF" w:rsidP="005E50DF">
            <w:pPr>
              <w:tabs>
                <w:tab w:val="left" w:pos="360"/>
                <w:tab w:val="left" w:pos="504"/>
              </w:tabs>
              <w:spacing w:before="120"/>
              <w:jc w:val="center"/>
              <w:textAlignment w:val="baseline"/>
              <w:rPr>
                <w:rFonts w:cstheme="majorBidi"/>
              </w:rPr>
            </w:pPr>
            <w:r w:rsidRPr="01B503CD">
              <w:rPr>
                <w:rFonts w:cstheme="majorBidi"/>
              </w:rPr>
              <w:t>Taxe additionnelle</w:t>
            </w:r>
          </w:p>
        </w:tc>
        <w:tc>
          <w:tcPr>
            <w:tcW w:w="2268" w:type="dxa"/>
            <w:tcBorders>
              <w:top w:val="single" w:sz="4" w:space="0" w:color="auto"/>
              <w:bottom w:val="single" w:sz="4" w:space="0" w:color="auto"/>
            </w:tcBorders>
          </w:tcPr>
          <w:p w14:paraId="2F13CF60" w14:textId="77777777" w:rsidR="005E50DF" w:rsidRPr="00F768B6" w:rsidRDefault="005E50DF" w:rsidP="005E50DF">
            <w:pPr>
              <w:tabs>
                <w:tab w:val="left" w:pos="360"/>
                <w:tab w:val="left" w:pos="504"/>
              </w:tabs>
              <w:spacing w:before="120"/>
              <w:jc w:val="center"/>
              <w:textAlignment w:val="baseline"/>
              <w:rPr>
                <w:rFonts w:cstheme="majorHAnsi"/>
                <w:iCs/>
              </w:rPr>
            </w:pPr>
          </w:p>
        </w:tc>
        <w:tc>
          <w:tcPr>
            <w:tcW w:w="2268" w:type="dxa"/>
            <w:tcBorders>
              <w:top w:val="single" w:sz="4" w:space="0" w:color="auto"/>
              <w:left w:val="single" w:sz="4" w:space="0" w:color="auto"/>
              <w:bottom w:val="single" w:sz="4" w:space="0" w:color="auto"/>
              <w:right w:val="single" w:sz="4" w:space="0" w:color="auto"/>
            </w:tcBorders>
          </w:tcPr>
          <w:p w14:paraId="030807B9" w14:textId="2685D7E6" w:rsidR="005E50DF" w:rsidRDefault="005E50DF" w:rsidP="005E50DF">
            <w:pPr>
              <w:tabs>
                <w:tab w:val="left" w:pos="360"/>
                <w:tab w:val="left" w:pos="504"/>
              </w:tabs>
              <w:spacing w:before="120"/>
              <w:jc w:val="center"/>
              <w:rPr>
                <w:rFonts w:ascii="Cambria" w:eastAsia="Cambria" w:hAnsi="Cambria" w:cs="Cambria"/>
              </w:rPr>
            </w:pPr>
          </w:p>
        </w:tc>
        <w:tc>
          <w:tcPr>
            <w:tcW w:w="3261" w:type="dxa"/>
            <w:tcBorders>
              <w:top w:val="single" w:sz="4" w:space="0" w:color="auto"/>
              <w:left w:val="single" w:sz="4" w:space="0" w:color="auto"/>
              <w:bottom w:val="single" w:sz="4" w:space="0" w:color="auto"/>
              <w:right w:val="single" w:sz="4" w:space="0" w:color="auto"/>
            </w:tcBorders>
          </w:tcPr>
          <w:p w14:paraId="2F4895EC" w14:textId="212B78C2" w:rsidR="005E50DF" w:rsidRPr="00F768B6" w:rsidRDefault="005E50DF" w:rsidP="005E50DF">
            <w:pPr>
              <w:tabs>
                <w:tab w:val="left" w:pos="360"/>
                <w:tab w:val="left" w:pos="504"/>
              </w:tabs>
              <w:spacing w:before="120"/>
              <w:jc w:val="center"/>
              <w:textAlignment w:val="baseline"/>
              <w:rPr>
                <w:rFonts w:cstheme="majorBidi"/>
              </w:rPr>
            </w:pPr>
          </w:p>
        </w:tc>
      </w:tr>
    </w:tbl>
    <w:p w14:paraId="141FDD0B" w14:textId="77777777" w:rsidR="00E54099" w:rsidRPr="00F91BDD" w:rsidRDefault="00E54099" w:rsidP="00E54099">
      <w:pPr>
        <w:spacing w:before="120"/>
        <w:textAlignment w:val="baseline"/>
        <w:rPr>
          <w:rFonts w:cs="Calibri Light"/>
          <w:spacing w:val="5"/>
        </w:rPr>
      </w:pPr>
    </w:p>
    <w:p w14:paraId="6B3EB0AF" w14:textId="77777777" w:rsidR="00E54099" w:rsidRPr="00E54099" w:rsidRDefault="00E54099" w:rsidP="00E54099"/>
    <w:p w14:paraId="059FC750" w14:textId="77777777" w:rsidR="00795C3E" w:rsidRDefault="00795C3E" w:rsidP="00795C3E">
      <w:pPr>
        <w:spacing w:before="120"/>
        <w:textAlignment w:val="baseline"/>
      </w:pPr>
    </w:p>
    <w:p w14:paraId="5DADF5EB" w14:textId="77777777" w:rsidR="00795C3E" w:rsidRPr="00F91BDD" w:rsidRDefault="00795C3E" w:rsidP="00795C3E">
      <w:r>
        <w:br w:type="page"/>
      </w:r>
    </w:p>
    <w:p w14:paraId="75C01880" w14:textId="1176BB11" w:rsidR="00795C3E" w:rsidRPr="003745EF" w:rsidRDefault="00795C3E" w:rsidP="00691438">
      <w:pPr>
        <w:pStyle w:val="Titre1"/>
      </w:pPr>
      <w:bookmarkStart w:id="5597" w:name="_Toc516482681"/>
      <w:bookmarkStart w:id="5598" w:name="_Toc516740035"/>
      <w:bookmarkStart w:id="5599" w:name="_Toc516751944"/>
      <w:bookmarkStart w:id="5600" w:name="_Toc516826032"/>
      <w:bookmarkStart w:id="5601" w:name="_Toc516826590"/>
      <w:bookmarkStart w:id="5602" w:name="_Toc516837910"/>
      <w:bookmarkStart w:id="5603" w:name="_Toc516838469"/>
      <w:bookmarkStart w:id="5604" w:name="_Toc516839028"/>
      <w:bookmarkStart w:id="5605" w:name="_Toc516839588"/>
      <w:bookmarkStart w:id="5606" w:name="_Toc517173684"/>
      <w:bookmarkStart w:id="5607" w:name="_Toc517175358"/>
      <w:bookmarkStart w:id="5608" w:name="_Toc517175945"/>
      <w:bookmarkStart w:id="5609" w:name="_Toc517176533"/>
      <w:bookmarkStart w:id="5610" w:name="_Toc517337858"/>
      <w:bookmarkStart w:id="5611" w:name="_Toc517360654"/>
      <w:bookmarkStart w:id="5612" w:name="_Toc516245202"/>
      <w:bookmarkStart w:id="5613" w:name="_Toc516473773"/>
      <w:bookmarkStart w:id="5614" w:name="_Toc516474083"/>
      <w:bookmarkStart w:id="5615" w:name="_Toc516474391"/>
      <w:bookmarkStart w:id="5616" w:name="_Toc516474699"/>
      <w:bookmarkStart w:id="5617" w:name="_Toc516475031"/>
      <w:bookmarkStart w:id="5618" w:name="_Toc516479129"/>
      <w:bookmarkStart w:id="5619" w:name="_Toc516479530"/>
      <w:bookmarkStart w:id="5620" w:name="_Toc516479847"/>
      <w:bookmarkStart w:id="5621" w:name="_Toc516480169"/>
      <w:bookmarkStart w:id="5622" w:name="_Toc516480483"/>
      <w:bookmarkStart w:id="5623" w:name="_Toc516480797"/>
      <w:bookmarkStart w:id="5624" w:name="_Toc516481111"/>
      <w:bookmarkStart w:id="5625" w:name="_Toc516481425"/>
      <w:bookmarkStart w:id="5626" w:name="_Toc516481739"/>
      <w:bookmarkStart w:id="5627" w:name="_Toc516482053"/>
      <w:bookmarkStart w:id="5628" w:name="_Toc516482367"/>
      <w:bookmarkStart w:id="5629" w:name="_Toc516482682"/>
      <w:bookmarkStart w:id="5630" w:name="_Toc516740036"/>
      <w:bookmarkStart w:id="5631" w:name="_Toc516751945"/>
      <w:bookmarkStart w:id="5632" w:name="_Toc516826033"/>
      <w:bookmarkStart w:id="5633" w:name="_Toc516826591"/>
      <w:bookmarkStart w:id="5634" w:name="_Toc516837911"/>
      <w:bookmarkStart w:id="5635" w:name="_Toc516838470"/>
      <w:bookmarkStart w:id="5636" w:name="_Toc516839029"/>
      <w:bookmarkStart w:id="5637" w:name="_Toc516839589"/>
      <w:bookmarkStart w:id="5638" w:name="_Toc517173685"/>
      <w:bookmarkStart w:id="5639" w:name="_Toc517175359"/>
      <w:bookmarkStart w:id="5640" w:name="_Toc517175946"/>
      <w:bookmarkStart w:id="5641" w:name="_Toc517176534"/>
      <w:bookmarkStart w:id="5642" w:name="_Toc517337859"/>
      <w:bookmarkStart w:id="5643" w:name="_Toc517360655"/>
      <w:bookmarkStart w:id="5644" w:name="_Toc516245203"/>
      <w:bookmarkStart w:id="5645" w:name="_Toc516473774"/>
      <w:bookmarkStart w:id="5646" w:name="_Toc516474084"/>
      <w:bookmarkStart w:id="5647" w:name="_Toc516474392"/>
      <w:bookmarkStart w:id="5648" w:name="_Toc516474700"/>
      <w:bookmarkStart w:id="5649" w:name="_Toc516475032"/>
      <w:bookmarkStart w:id="5650" w:name="_Toc516479130"/>
      <w:bookmarkStart w:id="5651" w:name="_Toc516479531"/>
      <w:bookmarkStart w:id="5652" w:name="_Toc516479848"/>
      <w:bookmarkStart w:id="5653" w:name="_Toc516480170"/>
      <w:bookmarkStart w:id="5654" w:name="_Toc516480484"/>
      <w:bookmarkStart w:id="5655" w:name="_Toc516480798"/>
      <w:bookmarkStart w:id="5656" w:name="_Toc516481112"/>
      <w:bookmarkStart w:id="5657" w:name="_Toc516481426"/>
      <w:bookmarkStart w:id="5658" w:name="_Toc516481740"/>
      <w:bookmarkStart w:id="5659" w:name="_Toc516482054"/>
      <w:bookmarkStart w:id="5660" w:name="_Toc516482368"/>
      <w:bookmarkStart w:id="5661" w:name="_Toc516482683"/>
      <w:bookmarkStart w:id="5662" w:name="_Toc516740037"/>
      <w:bookmarkStart w:id="5663" w:name="_Toc516751946"/>
      <w:bookmarkStart w:id="5664" w:name="_Toc516826034"/>
      <w:bookmarkStart w:id="5665" w:name="_Toc516826592"/>
      <w:bookmarkStart w:id="5666" w:name="_Toc516837912"/>
      <w:bookmarkStart w:id="5667" w:name="_Toc516838471"/>
      <w:bookmarkStart w:id="5668" w:name="_Toc516839030"/>
      <w:bookmarkStart w:id="5669" w:name="_Toc516839590"/>
      <w:bookmarkStart w:id="5670" w:name="_Toc517173686"/>
      <w:bookmarkStart w:id="5671" w:name="_Toc517175360"/>
      <w:bookmarkStart w:id="5672" w:name="_Toc517175947"/>
      <w:bookmarkStart w:id="5673" w:name="_Toc517176535"/>
      <w:bookmarkStart w:id="5674" w:name="_Toc517337860"/>
      <w:bookmarkStart w:id="5675" w:name="_Toc517360656"/>
      <w:bookmarkStart w:id="5676" w:name="_Toc516245204"/>
      <w:bookmarkStart w:id="5677" w:name="_Toc516473775"/>
      <w:bookmarkStart w:id="5678" w:name="_Toc516474085"/>
      <w:bookmarkStart w:id="5679" w:name="_Toc516474393"/>
      <w:bookmarkStart w:id="5680" w:name="_Toc516474701"/>
      <w:bookmarkStart w:id="5681" w:name="_Toc516475033"/>
      <w:bookmarkStart w:id="5682" w:name="_Toc516479131"/>
      <w:bookmarkStart w:id="5683" w:name="_Toc516479532"/>
      <w:bookmarkStart w:id="5684" w:name="_Toc516479849"/>
      <w:bookmarkStart w:id="5685" w:name="_Toc516480171"/>
      <w:bookmarkStart w:id="5686" w:name="_Toc516480485"/>
      <w:bookmarkStart w:id="5687" w:name="_Toc516480799"/>
      <w:bookmarkStart w:id="5688" w:name="_Toc516481113"/>
      <w:bookmarkStart w:id="5689" w:name="_Toc516481427"/>
      <w:bookmarkStart w:id="5690" w:name="_Toc516481741"/>
      <w:bookmarkStart w:id="5691" w:name="_Toc516482055"/>
      <w:bookmarkStart w:id="5692" w:name="_Toc516482369"/>
      <w:bookmarkStart w:id="5693" w:name="_Toc516482684"/>
      <w:bookmarkStart w:id="5694" w:name="_Toc516740038"/>
      <w:bookmarkStart w:id="5695" w:name="_Toc516751947"/>
      <w:bookmarkStart w:id="5696" w:name="_Toc516826035"/>
      <w:bookmarkStart w:id="5697" w:name="_Toc516826593"/>
      <w:bookmarkStart w:id="5698" w:name="_Toc516837913"/>
      <w:bookmarkStart w:id="5699" w:name="_Toc516838472"/>
      <w:bookmarkStart w:id="5700" w:name="_Toc516839031"/>
      <w:bookmarkStart w:id="5701" w:name="_Toc516839591"/>
      <w:bookmarkStart w:id="5702" w:name="_Toc517173687"/>
      <w:bookmarkStart w:id="5703" w:name="_Toc517175361"/>
      <w:bookmarkStart w:id="5704" w:name="_Toc517175948"/>
      <w:bookmarkStart w:id="5705" w:name="_Toc517176536"/>
      <w:bookmarkStart w:id="5706" w:name="_Toc517337861"/>
      <w:bookmarkStart w:id="5707" w:name="_Toc517360657"/>
      <w:bookmarkStart w:id="5708" w:name="_Toc143779253"/>
      <w:bookmarkStart w:id="5709" w:name="_Toc208420163"/>
      <w:bookmarkStart w:id="5710" w:name="_Toc225504500"/>
      <w:bookmarkStart w:id="5711" w:name="_Toc225772589"/>
      <w:bookmarkStart w:id="5712" w:name="_Toc23362645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r w:rsidRPr="00691438">
        <w:lastRenderedPageBreak/>
        <w:t>Conclusion</w:t>
      </w:r>
      <w:bookmarkEnd w:id="5708"/>
      <w:bookmarkEnd w:id="5709"/>
      <w:bookmarkEnd w:id="5710"/>
      <w:bookmarkEnd w:id="5711"/>
      <w:bookmarkEnd w:id="5712"/>
      <w:r w:rsidRPr="003745EF">
        <w:t xml:space="preserve"> </w:t>
      </w:r>
    </w:p>
    <w:p w14:paraId="6578E86C" w14:textId="0FFFCDD5" w:rsidR="00795C3E" w:rsidRPr="00F91BDD" w:rsidRDefault="00795C3E" w:rsidP="00795C3E">
      <w:pPr>
        <w:spacing w:before="120"/>
      </w:pPr>
      <w:r>
        <w:t xml:space="preserve">Cette circulaire rassemble l'essentiel des éléments utiles à la compréhension et à la confection des budgets communaux pour l'exercice </w:t>
      </w:r>
      <w:r w:rsidR="427BEF2F">
        <w:t>2027</w:t>
      </w:r>
      <w:r>
        <w:t>. En ce sens, elle constitue votre document de référence.</w:t>
      </w:r>
    </w:p>
    <w:p w14:paraId="6A79763C" w14:textId="77777777" w:rsidR="00795C3E" w:rsidRPr="00F760E4" w:rsidRDefault="00795C3E" w:rsidP="00795C3E">
      <w:pPr>
        <w:spacing w:before="120"/>
        <w:rPr>
          <w:rFonts w:cs="Arial"/>
        </w:rPr>
      </w:pPr>
      <w:r w:rsidRPr="00F91BDD">
        <w:rPr>
          <w:rFonts w:cs="Arial"/>
        </w:rPr>
        <w:t>Elle entend contribuer à l’objectif de bonne gestion des Pouvoirs locaux et de leurs entités consolidées et ce, au bénéfice de tous les citoyens, tout en s’inscrivant dans le respect des dispositions européennes.</w:t>
      </w:r>
    </w:p>
    <w:p w14:paraId="50B9D76E" w14:textId="77777777" w:rsidR="00795C3E" w:rsidRPr="00F91BDD" w:rsidRDefault="00795C3E" w:rsidP="00795C3E">
      <w:pPr>
        <w:spacing w:before="120"/>
        <w:ind w:right="-1"/>
        <w:textAlignment w:val="baseline"/>
      </w:pPr>
      <w:r w:rsidRPr="00F91BDD">
        <w:rPr>
          <w:spacing w:val="-2"/>
        </w:rPr>
        <w:t>Dans le cadre de leur mission d’accompagnement des autorités locales, les différentes Directions de la tutelle</w:t>
      </w:r>
      <w:r w:rsidRPr="00F91BDD">
        <w:t xml:space="preserve"> peuvent vous apporter toutes leurs compétences pour les questions que vous souhaiteriez poser, notamment au sujet de la présente circulaire :</w:t>
      </w:r>
    </w:p>
    <w:p w14:paraId="048A6591" w14:textId="77777777" w:rsidR="00795C3E" w:rsidRPr="00F91BDD" w:rsidRDefault="00795C3E">
      <w:pPr>
        <w:pStyle w:val="Paragraphedeliste"/>
        <w:numPr>
          <w:ilvl w:val="0"/>
          <w:numId w:val="14"/>
        </w:numPr>
        <w:spacing w:before="120" w:after="120" w:line="240" w:lineRule="auto"/>
        <w:ind w:right="-1"/>
        <w:textAlignment w:val="baseline"/>
        <w:rPr>
          <w:spacing w:val="-2"/>
          <w:u w:val="single"/>
        </w:rPr>
      </w:pPr>
      <w:r w:rsidRPr="00F91BDD">
        <w:t>le SPW Intérieur Action sociale, Avenue G. Bovesse, 100 à 5100 Namur (Jambes)</w:t>
      </w:r>
    </w:p>
    <w:p w14:paraId="4C670D8B" w14:textId="77777777" w:rsidR="00795C3E" w:rsidRPr="00F91BDD" w:rsidRDefault="00795C3E" w:rsidP="00795C3E">
      <w:pPr>
        <w:pStyle w:val="Paragraphedeliste"/>
        <w:spacing w:before="120"/>
        <w:ind w:right="-1"/>
        <w:textAlignment w:val="baseline"/>
        <w:rPr>
          <w:spacing w:val="-2"/>
          <w:u w:val="single"/>
        </w:rPr>
      </w:pPr>
      <w:r w:rsidRPr="00F91BDD">
        <w:rPr>
          <w:rFonts w:ascii="Wingdings" w:eastAsia="Wingdings" w:hAnsi="Wingdings" w:cs="Wingdings"/>
          <w:spacing w:val="-3"/>
        </w:rPr>
        <w:t>(</w:t>
      </w:r>
      <w:r w:rsidRPr="00F91BDD">
        <w:t xml:space="preserve"> 081/32.72.11</w:t>
      </w:r>
      <w:r w:rsidRPr="00F91BDD">
        <w:rPr>
          <w:spacing w:val="-2"/>
        </w:rPr>
        <w:t xml:space="preserve">- E-mail : </w:t>
      </w:r>
      <w:hyperlink r:id="rId30">
        <w:r w:rsidRPr="00F91BDD">
          <w:rPr>
            <w:spacing w:val="-2"/>
            <w:u w:val="single"/>
          </w:rPr>
          <w:t>PouvoirsLocaux@spw.wallonie.be</w:t>
        </w:r>
      </w:hyperlink>
      <w:r w:rsidRPr="00F91BDD">
        <w:t xml:space="preserve"> </w:t>
      </w:r>
    </w:p>
    <w:p w14:paraId="287F6B3C" w14:textId="77777777" w:rsidR="00795C3E" w:rsidRPr="00F91BDD" w:rsidRDefault="00795C3E" w:rsidP="00795C3E">
      <w:pPr>
        <w:pStyle w:val="Paragraphedeliste"/>
        <w:spacing w:before="120"/>
        <w:ind w:right="-1"/>
        <w:textAlignment w:val="baseline"/>
        <w:rPr>
          <w:spacing w:val="-2"/>
          <w:u w:val="single"/>
        </w:rPr>
      </w:pPr>
      <w:r w:rsidRPr="00F91BDD">
        <w:rPr>
          <w:spacing w:val="-2"/>
        </w:rPr>
        <w:t xml:space="preserve">Site internet : </w:t>
      </w:r>
      <w:hyperlink r:id="rId31" w:history="1">
        <w:r w:rsidRPr="00F91BDD">
          <w:rPr>
            <w:u w:val="single"/>
          </w:rPr>
          <w:t>http://pouvoirslocaux.wallonie.be</w:t>
        </w:r>
      </w:hyperlink>
      <w:r w:rsidRPr="00F91BDD">
        <w:rPr>
          <w:spacing w:val="-2"/>
        </w:rPr>
        <w:t xml:space="preserve"> </w:t>
      </w:r>
    </w:p>
    <w:p w14:paraId="3B419931" w14:textId="77777777" w:rsidR="00795C3E" w:rsidRPr="00F91BDD" w:rsidRDefault="00795C3E">
      <w:pPr>
        <w:pStyle w:val="Paragraphedeliste"/>
        <w:numPr>
          <w:ilvl w:val="0"/>
          <w:numId w:val="14"/>
        </w:numPr>
        <w:spacing w:before="120" w:after="120" w:line="240" w:lineRule="auto"/>
        <w:ind w:right="-1"/>
        <w:textAlignment w:val="baseline"/>
        <w:rPr>
          <w:spacing w:val="-2"/>
        </w:rPr>
      </w:pPr>
      <w:r w:rsidRPr="00F91BDD">
        <w:rPr>
          <w:spacing w:val="-3"/>
        </w:rPr>
        <w:t xml:space="preserve">la Direction extérieure de Hainaut </w:t>
      </w:r>
    </w:p>
    <w:p w14:paraId="5E9EAFB6" w14:textId="77777777" w:rsidR="00795C3E" w:rsidRPr="00F91BDD" w:rsidRDefault="00795C3E" w:rsidP="00795C3E">
      <w:pPr>
        <w:pStyle w:val="Paragraphedeliste"/>
        <w:spacing w:before="120"/>
        <w:ind w:right="-1"/>
        <w:textAlignment w:val="baseline"/>
        <w:rPr>
          <w:spacing w:val="-3"/>
        </w:rPr>
      </w:pPr>
      <w:r w:rsidRPr="00F91BDD">
        <w:rPr>
          <w:rFonts w:ascii="Wingdings" w:eastAsia="Wingdings" w:hAnsi="Wingdings" w:cs="Wingdings"/>
        </w:rPr>
        <w:t>(</w:t>
      </w:r>
      <w:r w:rsidRPr="00F91BDD">
        <w:rPr>
          <w:spacing w:val="-3"/>
        </w:rPr>
        <w:t xml:space="preserve">065.32.81.11 </w:t>
      </w:r>
    </w:p>
    <w:p w14:paraId="08C7BAD4" w14:textId="77777777" w:rsidR="00795C3E" w:rsidRPr="00F91BDD" w:rsidRDefault="00795C3E" w:rsidP="00795C3E">
      <w:pPr>
        <w:pStyle w:val="Paragraphedeliste"/>
        <w:spacing w:before="120"/>
        <w:ind w:right="-1"/>
        <w:textAlignment w:val="baseline"/>
        <w:rPr>
          <w:spacing w:val="-2"/>
        </w:rPr>
      </w:pPr>
      <w:r w:rsidRPr="00F91BDD">
        <w:rPr>
          <w:spacing w:val="-2"/>
        </w:rPr>
        <w:t xml:space="preserve">E-mail : </w:t>
      </w:r>
      <w:r w:rsidRPr="00F91BDD">
        <w:rPr>
          <w:spacing w:val="-2"/>
          <w:u w:val="single"/>
        </w:rPr>
        <w:t>hainaut.interieur@spw.wallonie.be</w:t>
      </w:r>
    </w:p>
    <w:p w14:paraId="71570518" w14:textId="77777777" w:rsidR="00795C3E" w:rsidRPr="00F91BDD" w:rsidRDefault="00795C3E">
      <w:pPr>
        <w:pStyle w:val="Paragraphedeliste"/>
        <w:numPr>
          <w:ilvl w:val="0"/>
          <w:numId w:val="14"/>
        </w:numPr>
        <w:spacing w:before="120" w:after="120" w:line="240" w:lineRule="auto"/>
        <w:ind w:right="-1"/>
        <w:textAlignment w:val="baseline"/>
        <w:rPr>
          <w:spacing w:val="-2"/>
        </w:rPr>
      </w:pPr>
      <w:r w:rsidRPr="00F91BDD">
        <w:rPr>
          <w:spacing w:val="-3"/>
        </w:rPr>
        <w:t xml:space="preserve">la Direction extérieure de Liège </w:t>
      </w:r>
    </w:p>
    <w:p w14:paraId="326B5EC2" w14:textId="77777777" w:rsidR="00795C3E" w:rsidRPr="00F91BDD" w:rsidRDefault="00795C3E" w:rsidP="00795C3E">
      <w:pPr>
        <w:pStyle w:val="Paragraphedeliste"/>
        <w:spacing w:before="120"/>
        <w:ind w:right="-1"/>
        <w:textAlignment w:val="baseline"/>
        <w:rPr>
          <w:spacing w:val="-3"/>
        </w:rPr>
      </w:pPr>
      <w:r w:rsidRPr="00F91BDD">
        <w:rPr>
          <w:rFonts w:ascii="Wingdings" w:eastAsia="Wingdings" w:hAnsi="Wingdings" w:cs="Wingdings"/>
        </w:rPr>
        <w:t>(</w:t>
      </w:r>
      <w:r w:rsidRPr="00F91BDD">
        <w:rPr>
          <w:spacing w:val="-3"/>
        </w:rPr>
        <w:t xml:space="preserve"> 04.224.54.11 </w:t>
      </w:r>
    </w:p>
    <w:p w14:paraId="5C1F07D3" w14:textId="77777777" w:rsidR="00795C3E" w:rsidRPr="00F91BDD" w:rsidRDefault="00795C3E" w:rsidP="00795C3E">
      <w:pPr>
        <w:pStyle w:val="Paragraphedeliste"/>
        <w:spacing w:before="120"/>
        <w:ind w:right="-1"/>
        <w:textAlignment w:val="baseline"/>
        <w:rPr>
          <w:spacing w:val="-2"/>
        </w:rPr>
      </w:pPr>
      <w:r w:rsidRPr="00F91BDD">
        <w:rPr>
          <w:spacing w:val="-2"/>
        </w:rPr>
        <w:t>E-mail :</w:t>
      </w:r>
      <w:r w:rsidRPr="00F91BDD">
        <w:rPr>
          <w:spacing w:val="-2"/>
          <w:u w:val="single"/>
        </w:rPr>
        <w:t xml:space="preserve"> liege.interieur@spw.wallonie.be</w:t>
      </w:r>
    </w:p>
    <w:p w14:paraId="2D7C1134" w14:textId="77777777" w:rsidR="00795C3E" w:rsidRPr="00F91BDD" w:rsidRDefault="00795C3E">
      <w:pPr>
        <w:pStyle w:val="Paragraphedeliste"/>
        <w:numPr>
          <w:ilvl w:val="0"/>
          <w:numId w:val="14"/>
        </w:numPr>
        <w:spacing w:before="120" w:after="120" w:line="240" w:lineRule="auto"/>
        <w:ind w:right="-1"/>
        <w:textAlignment w:val="baseline"/>
        <w:rPr>
          <w:spacing w:val="-2"/>
        </w:rPr>
      </w:pPr>
      <w:r w:rsidRPr="00F91BDD">
        <w:rPr>
          <w:spacing w:val="-2"/>
        </w:rPr>
        <w:t>la Direction extérieure de Luxembourg</w:t>
      </w:r>
    </w:p>
    <w:p w14:paraId="0BACD2C8" w14:textId="77777777" w:rsidR="00795C3E" w:rsidRPr="00F91BDD" w:rsidRDefault="00795C3E" w:rsidP="00795C3E">
      <w:pPr>
        <w:pStyle w:val="Paragraphedeliste"/>
        <w:spacing w:before="120"/>
        <w:ind w:right="-1"/>
        <w:textAlignment w:val="baseline"/>
        <w:rPr>
          <w:spacing w:val="-3"/>
        </w:rPr>
      </w:pPr>
      <w:r w:rsidRPr="00F91BDD">
        <w:rPr>
          <w:rFonts w:ascii="Wingdings" w:eastAsia="Wingdings" w:hAnsi="Wingdings" w:cs="Wingdings"/>
        </w:rPr>
        <w:t>(</w:t>
      </w:r>
      <w:r w:rsidRPr="00F91BDD">
        <w:rPr>
          <w:spacing w:val="-3"/>
        </w:rPr>
        <w:t xml:space="preserve"> 063.58.90.75 </w:t>
      </w:r>
    </w:p>
    <w:p w14:paraId="001F02CD" w14:textId="77777777" w:rsidR="00795C3E" w:rsidRPr="00F91BDD" w:rsidRDefault="00795C3E" w:rsidP="00795C3E">
      <w:pPr>
        <w:pStyle w:val="Paragraphedeliste"/>
        <w:spacing w:before="120"/>
        <w:ind w:right="-1"/>
        <w:textAlignment w:val="baseline"/>
        <w:rPr>
          <w:strike/>
          <w:spacing w:val="-2"/>
        </w:rPr>
      </w:pPr>
      <w:r w:rsidRPr="00F91BDD">
        <w:rPr>
          <w:spacing w:val="-2"/>
        </w:rPr>
        <w:t xml:space="preserve">E-mail : </w:t>
      </w:r>
      <w:r w:rsidRPr="00F91BDD">
        <w:rPr>
          <w:spacing w:val="-2"/>
          <w:u w:val="single"/>
        </w:rPr>
        <w:t>Luxembourg.interieur@spw.wallonie.be</w:t>
      </w:r>
    </w:p>
    <w:p w14:paraId="40BB122B" w14:textId="77777777" w:rsidR="00795C3E" w:rsidRPr="00F91BDD" w:rsidRDefault="00795C3E">
      <w:pPr>
        <w:pStyle w:val="Paragraphedeliste"/>
        <w:numPr>
          <w:ilvl w:val="0"/>
          <w:numId w:val="14"/>
        </w:numPr>
        <w:spacing w:before="120" w:after="120" w:line="240" w:lineRule="auto"/>
        <w:ind w:right="-1"/>
        <w:textAlignment w:val="baseline"/>
        <w:rPr>
          <w:spacing w:val="-2"/>
        </w:rPr>
      </w:pPr>
      <w:r w:rsidRPr="00F91BDD">
        <w:rPr>
          <w:spacing w:val="-3"/>
        </w:rPr>
        <w:t>la Direction extérieure de Namur et du Brabant wallon</w:t>
      </w:r>
    </w:p>
    <w:p w14:paraId="63B4CF17" w14:textId="77777777" w:rsidR="00795C3E" w:rsidRPr="00F91BDD" w:rsidRDefault="00795C3E" w:rsidP="00795C3E">
      <w:pPr>
        <w:pStyle w:val="Paragraphedeliste"/>
        <w:spacing w:before="120"/>
        <w:ind w:right="-1"/>
        <w:textAlignment w:val="baseline"/>
        <w:rPr>
          <w:spacing w:val="-3"/>
        </w:rPr>
      </w:pPr>
      <w:r w:rsidRPr="00F91BDD">
        <w:rPr>
          <w:rFonts w:ascii="Wingdings" w:eastAsia="Wingdings" w:hAnsi="Wingdings" w:cs="Wingdings"/>
        </w:rPr>
        <w:t>(</w:t>
      </w:r>
      <w:r w:rsidRPr="00F91BDD">
        <w:rPr>
          <w:spacing w:val="-3"/>
        </w:rPr>
        <w:t xml:space="preserve"> 081.71.56.11</w:t>
      </w:r>
    </w:p>
    <w:p w14:paraId="2A799AEB" w14:textId="5C1461A6" w:rsidR="00795C3E" w:rsidRPr="00F760E4" w:rsidRDefault="00795C3E" w:rsidP="00795C3E">
      <w:pPr>
        <w:pStyle w:val="Paragraphedeliste"/>
        <w:spacing w:before="120"/>
        <w:ind w:right="-1"/>
        <w:textAlignment w:val="baseline"/>
        <w:rPr>
          <w:u w:val="single"/>
        </w:rPr>
      </w:pPr>
      <w:r w:rsidRPr="00F760E4">
        <w:rPr>
          <w:spacing w:val="-2"/>
        </w:rPr>
        <w:t xml:space="preserve">E-mail : </w:t>
      </w:r>
      <w:r w:rsidRPr="00F760E4">
        <w:rPr>
          <w:u w:val="single"/>
        </w:rPr>
        <w:t>namur.brabantwallon.interieur@spw.wallonie.be</w:t>
      </w:r>
    </w:p>
    <w:p w14:paraId="163902FD" w14:textId="77777777" w:rsidR="00795C3E" w:rsidRPr="00F91BDD" w:rsidRDefault="00795C3E">
      <w:pPr>
        <w:pStyle w:val="Paragraphedeliste"/>
        <w:numPr>
          <w:ilvl w:val="0"/>
          <w:numId w:val="14"/>
        </w:numPr>
        <w:spacing w:before="120" w:after="120" w:line="240" w:lineRule="auto"/>
        <w:ind w:right="-1"/>
        <w:textAlignment w:val="baseline"/>
        <w:rPr>
          <w:spacing w:val="-2"/>
        </w:rPr>
      </w:pPr>
      <w:r w:rsidRPr="00F91BDD">
        <w:rPr>
          <w:spacing w:val="-3"/>
        </w:rPr>
        <w:t>le Centre Régional d'Aide aux Communes, Allée du Stade, 1 à 5100 Namur (Jambes)</w:t>
      </w:r>
    </w:p>
    <w:p w14:paraId="243460AE" w14:textId="77777777" w:rsidR="00795C3E" w:rsidRPr="00F91BDD" w:rsidRDefault="00795C3E" w:rsidP="00795C3E">
      <w:pPr>
        <w:pStyle w:val="Paragraphedeliste"/>
        <w:spacing w:before="120"/>
        <w:ind w:right="-1"/>
        <w:textAlignment w:val="baseline"/>
        <w:rPr>
          <w:spacing w:val="2"/>
        </w:rPr>
      </w:pPr>
      <w:r w:rsidRPr="00F91BDD">
        <w:rPr>
          <w:rFonts w:ascii="Wingdings" w:eastAsia="Wingdings" w:hAnsi="Wingdings" w:cs="Wingdings"/>
        </w:rPr>
        <w:t>(</w:t>
      </w:r>
      <w:r w:rsidRPr="00F91BDD">
        <w:rPr>
          <w:spacing w:val="-3"/>
        </w:rPr>
        <w:t xml:space="preserve"> </w:t>
      </w:r>
      <w:r w:rsidRPr="00F91BDD">
        <w:rPr>
          <w:spacing w:val="2"/>
        </w:rPr>
        <w:t>081/32.71.11</w:t>
      </w:r>
    </w:p>
    <w:p w14:paraId="086DB29B" w14:textId="77777777" w:rsidR="00795C3E" w:rsidRPr="00F91BDD" w:rsidRDefault="00795C3E" w:rsidP="00795C3E">
      <w:pPr>
        <w:pStyle w:val="Paragraphedeliste"/>
        <w:spacing w:before="120"/>
        <w:ind w:right="-1"/>
        <w:textAlignment w:val="baseline"/>
        <w:rPr>
          <w:spacing w:val="2"/>
        </w:rPr>
      </w:pPr>
      <w:r w:rsidRPr="00F91BDD">
        <w:rPr>
          <w:rFonts w:ascii="Wingdings 2" w:eastAsia="Wingdings 2" w:hAnsi="Wingdings 2" w:cs="Wingdings 2"/>
          <w:spacing w:val="2"/>
        </w:rPr>
        <w:t>7</w:t>
      </w:r>
      <w:r w:rsidRPr="00F91BDD">
        <w:rPr>
          <w:spacing w:val="2"/>
        </w:rPr>
        <w:t xml:space="preserve"> 081/32.71.91</w:t>
      </w:r>
    </w:p>
    <w:p w14:paraId="73698B0B" w14:textId="77777777" w:rsidR="00795C3E" w:rsidRPr="00F91BDD" w:rsidRDefault="00795C3E" w:rsidP="00795C3E">
      <w:pPr>
        <w:pStyle w:val="Paragraphedeliste"/>
        <w:spacing w:before="120"/>
        <w:ind w:right="-1"/>
        <w:textAlignment w:val="baseline"/>
        <w:rPr>
          <w:spacing w:val="2"/>
        </w:rPr>
      </w:pPr>
      <w:r w:rsidRPr="00F91BDD">
        <w:rPr>
          <w:spacing w:val="2"/>
        </w:rPr>
        <w:t xml:space="preserve">E-mail : </w:t>
      </w:r>
      <w:hyperlink r:id="rId32">
        <w:r w:rsidRPr="00F91BDD">
          <w:rPr>
            <w:spacing w:val="2"/>
            <w:u w:val="single"/>
          </w:rPr>
          <w:t>info@crac.wallonie.be</w:t>
        </w:r>
      </w:hyperlink>
      <w:r w:rsidRPr="00F91BDD">
        <w:rPr>
          <w:spacing w:val="2"/>
        </w:rPr>
        <w:t xml:space="preserve"> </w:t>
      </w:r>
    </w:p>
    <w:p w14:paraId="330821AE" w14:textId="77777777" w:rsidR="00795C3E" w:rsidRPr="00F91BDD" w:rsidRDefault="00795C3E" w:rsidP="00795C3E">
      <w:pPr>
        <w:pStyle w:val="Paragraphedeliste"/>
        <w:spacing w:before="120"/>
        <w:ind w:right="-1"/>
        <w:textAlignment w:val="baseline"/>
        <w:rPr>
          <w:spacing w:val="-2"/>
        </w:rPr>
      </w:pPr>
      <w:r w:rsidRPr="00F91BDD">
        <w:rPr>
          <w:spacing w:val="2"/>
        </w:rPr>
        <w:t>Site internet :</w:t>
      </w:r>
      <w:r w:rsidRPr="00F91BDD">
        <w:rPr>
          <w:spacing w:val="-3"/>
        </w:rPr>
        <w:t xml:space="preserve"> </w:t>
      </w:r>
      <w:hyperlink r:id="rId33" w:history="1">
        <w:r w:rsidRPr="00F91BDD">
          <w:rPr>
            <w:u w:val="single"/>
          </w:rPr>
          <w:t>http://crac.wallonie.be</w:t>
        </w:r>
      </w:hyperlink>
      <w:r w:rsidRPr="00F91BDD">
        <w:rPr>
          <w:spacing w:val="-3"/>
        </w:rPr>
        <w:t xml:space="preserve"> </w:t>
      </w:r>
    </w:p>
    <w:p w14:paraId="5A00CD47" w14:textId="77777777" w:rsidR="00795C3E" w:rsidRPr="00F91BDD" w:rsidRDefault="00795C3E">
      <w:pPr>
        <w:pStyle w:val="Paragraphedeliste"/>
        <w:numPr>
          <w:ilvl w:val="0"/>
          <w:numId w:val="14"/>
        </w:numPr>
        <w:spacing w:before="120" w:after="120" w:line="240" w:lineRule="auto"/>
        <w:ind w:right="-1"/>
        <w:textAlignment w:val="baseline"/>
        <w:rPr>
          <w:spacing w:val="-2"/>
        </w:rPr>
      </w:pPr>
      <w:r w:rsidRPr="00F91BDD">
        <w:rPr>
          <w:spacing w:val="-2"/>
        </w:rPr>
        <w:t>on Cabinet, Rue d’Harscamp, 22 5000 Namur</w:t>
      </w:r>
    </w:p>
    <w:p w14:paraId="6BCFF80E" w14:textId="77777777" w:rsidR="00795C3E" w:rsidRPr="00F91BDD" w:rsidRDefault="00795C3E" w:rsidP="00795C3E">
      <w:pPr>
        <w:pStyle w:val="Paragraphedeliste"/>
        <w:spacing w:before="120"/>
        <w:ind w:right="-1"/>
        <w:textAlignment w:val="baseline"/>
        <w:rPr>
          <w:spacing w:val="-2"/>
        </w:rPr>
      </w:pPr>
      <w:r w:rsidRPr="00F91BDD">
        <w:rPr>
          <w:rFonts w:ascii="Wingdings" w:eastAsia="Wingdings" w:hAnsi="Wingdings" w:cs="Wingdings"/>
        </w:rPr>
        <w:t>(</w:t>
      </w:r>
      <w:r w:rsidRPr="00F91BDD">
        <w:rPr>
          <w:spacing w:val="-3"/>
        </w:rPr>
        <w:t xml:space="preserve"> </w:t>
      </w:r>
      <w:r w:rsidRPr="00F91BDD">
        <w:rPr>
          <w:spacing w:val="2"/>
        </w:rPr>
        <w:t>081/ 25.38.11</w:t>
      </w:r>
    </w:p>
    <w:p w14:paraId="246C1411" w14:textId="77777777" w:rsidR="00795C3E" w:rsidRPr="004D0F71" w:rsidRDefault="00795C3E" w:rsidP="00795C3E">
      <w:pPr>
        <w:spacing w:before="120"/>
        <w:jc w:val="center"/>
      </w:pPr>
      <w:r w:rsidRPr="00F91BDD">
        <w:t>* * *</w:t>
      </w:r>
    </w:p>
    <w:p w14:paraId="499D0EFB" w14:textId="77777777" w:rsidR="00795C3E" w:rsidRPr="005C4637" w:rsidRDefault="00795C3E" w:rsidP="003D3DD7"/>
    <w:sectPr w:rsidR="00795C3E" w:rsidRPr="005C4637" w:rsidSect="004301B0">
      <w:headerReference w:type="default" r:id="rId34"/>
      <w:footerReference w:type="default" r:id="rId35"/>
      <w:pgSz w:w="12240" w:h="15840"/>
      <w:pgMar w:top="1440" w:right="1800" w:bottom="1440" w:left="180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92" w:author="Vincent Wellens" w:date="2026-07-02T11:49:00Z" w:initials="VW">
    <w:p w14:paraId="29ED5751" w14:textId="77777777" w:rsidR="00490C13" w:rsidRDefault="00490C13" w:rsidP="00490C13">
      <w:pPr>
        <w:pStyle w:val="Commentaire"/>
        <w:jc w:val="left"/>
      </w:pPr>
      <w:r>
        <w:rPr>
          <w:rStyle w:val="Marquedecommentaire"/>
        </w:rPr>
        <w:annotationRef/>
      </w:r>
      <w:r>
        <w:t>Mail cab Lescrenier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ED57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476A81" w16cex:dateUtc="2026-07-02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ED5751" w16cid:durableId="40476A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1E0DD" w14:textId="77777777" w:rsidR="00F42219" w:rsidRPr="005C4637" w:rsidRDefault="00F42219" w:rsidP="002503F4">
      <w:pPr>
        <w:spacing w:after="0" w:line="240" w:lineRule="auto"/>
      </w:pPr>
      <w:r w:rsidRPr="005C4637">
        <w:separator/>
      </w:r>
    </w:p>
  </w:endnote>
  <w:endnote w:type="continuationSeparator" w:id="0">
    <w:p w14:paraId="15605A37" w14:textId="77777777" w:rsidR="00F42219" w:rsidRPr="005C4637" w:rsidRDefault="00F42219" w:rsidP="002503F4">
      <w:pPr>
        <w:spacing w:after="0" w:line="240" w:lineRule="auto"/>
      </w:pPr>
      <w:r w:rsidRPr="005C46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OpenSymbol">
    <w:altName w:val="Calibri"/>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w Cen MT">
    <w:panose1 w:val="020B0602020104020603"/>
    <w:charset w:val="00"/>
    <w:family w:val="swiss"/>
    <w:pitch w:val="variable"/>
    <w:sig w:usb0="00000007" w:usb1="00000000" w:usb2="00000000" w:usb3="00000000" w:csb0="00000003"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196117"/>
      <w:docPartObj>
        <w:docPartGallery w:val="Page Numbers (Bottom of Page)"/>
        <w:docPartUnique/>
      </w:docPartObj>
    </w:sdtPr>
    <w:sdtEndPr/>
    <w:sdtContent>
      <w:p w14:paraId="11ED2397" w14:textId="36A3A81A" w:rsidR="00BC6861" w:rsidRDefault="00BC6861">
        <w:pPr>
          <w:pStyle w:val="Pieddepage"/>
          <w:jc w:val="right"/>
        </w:pPr>
        <w:r w:rsidRPr="42E2FCEB">
          <w:rPr>
            <w:lang w:val="fr-FR"/>
          </w:rPr>
          <w:fldChar w:fldCharType="begin"/>
        </w:r>
        <w:r>
          <w:instrText>PAGE   \* MERGEFORMAT</w:instrText>
        </w:r>
        <w:r w:rsidRPr="42E2FCEB">
          <w:fldChar w:fldCharType="separate"/>
        </w:r>
        <w:r w:rsidR="42E2FCEB" w:rsidRPr="42E2FCEB">
          <w:rPr>
            <w:lang w:val="fr-FR"/>
          </w:rPr>
          <w:t>2</w:t>
        </w:r>
        <w:r w:rsidRPr="42E2FCEB">
          <w:rPr>
            <w:lang w:val="fr-FR"/>
          </w:rPr>
          <w:fldChar w:fldCharType="end"/>
        </w:r>
      </w:p>
    </w:sdtContent>
  </w:sdt>
  <w:p w14:paraId="7C52768F" w14:textId="77777777" w:rsidR="00BC6861" w:rsidRDefault="00BC68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B7D9" w14:textId="77777777" w:rsidR="00F42219" w:rsidRPr="005C4637" w:rsidRDefault="00F42219" w:rsidP="002503F4">
      <w:pPr>
        <w:spacing w:after="0" w:line="240" w:lineRule="auto"/>
      </w:pPr>
      <w:r w:rsidRPr="005C4637">
        <w:separator/>
      </w:r>
    </w:p>
  </w:footnote>
  <w:footnote w:type="continuationSeparator" w:id="0">
    <w:p w14:paraId="076B959F" w14:textId="77777777" w:rsidR="00F42219" w:rsidRPr="005C4637" w:rsidRDefault="00F42219" w:rsidP="002503F4">
      <w:pPr>
        <w:spacing w:after="0" w:line="240" w:lineRule="auto"/>
      </w:pPr>
      <w:r w:rsidRPr="005C4637">
        <w:continuationSeparator/>
      </w:r>
    </w:p>
  </w:footnote>
  <w:footnote w:id="1">
    <w:p w14:paraId="52E91E19" w14:textId="5F7468E4" w:rsidR="003960D9" w:rsidRDefault="003960D9" w:rsidP="003960D9">
      <w:pPr>
        <w:pStyle w:val="Notedebasdepage"/>
      </w:pPr>
      <w:r>
        <w:rPr>
          <w:rStyle w:val="Appelnotedebasdep"/>
        </w:rPr>
        <w:footnoteRef/>
      </w:r>
      <w:r>
        <w:t xml:space="preserve"> M.B. 21.avril 2026, p. 22.562 et </w:t>
      </w:r>
      <w:r w:rsidR="000849F2">
        <w:t>sites</w:t>
      </w:r>
    </w:p>
  </w:footnote>
  <w:footnote w:id="2">
    <w:p w14:paraId="54348F68" w14:textId="77777777" w:rsidR="003960D9" w:rsidRDefault="003960D9" w:rsidP="003960D9">
      <w:pPr>
        <w:pStyle w:val="Notedebasdepage"/>
      </w:pPr>
      <w:r>
        <w:rPr>
          <w:rStyle w:val="Appelnotedebasdep"/>
        </w:rPr>
        <w:footnoteRef/>
      </w:r>
      <w:r>
        <w:t xml:space="preserve"> M.B. du 21 avril 2026, p. 22.562 et svtes</w:t>
      </w:r>
    </w:p>
  </w:footnote>
  <w:footnote w:id="3">
    <w:p w14:paraId="21979BD0" w14:textId="77777777" w:rsidR="00130C96" w:rsidRDefault="00130C96" w:rsidP="00130C96">
      <w:pPr>
        <w:pStyle w:val="Notedebasdepage"/>
      </w:pPr>
      <w:r>
        <w:rPr>
          <w:rStyle w:val="Appelnotedebasdep"/>
        </w:rPr>
        <w:footnoteRef/>
      </w:r>
      <w:r>
        <w:t xml:space="preserve"> M.B. du 21 avril 2026, p. 22.562 et svtes</w:t>
      </w:r>
    </w:p>
  </w:footnote>
  <w:footnote w:id="4">
    <w:p w14:paraId="15E3BF0B" w14:textId="5391FAE6" w:rsidR="004B2537" w:rsidRPr="00D84241" w:rsidRDefault="004B2537">
      <w:pPr>
        <w:pStyle w:val="Notedebasdepage"/>
        <w:rPr>
          <w:sz w:val="18"/>
          <w:szCs w:val="18"/>
        </w:rPr>
      </w:pPr>
      <w:r w:rsidRPr="00D84241">
        <w:rPr>
          <w:rStyle w:val="Appelnotedebasdep"/>
          <w:sz w:val="18"/>
          <w:szCs w:val="18"/>
        </w:rPr>
        <w:footnoteRef/>
      </w:r>
      <w:r w:rsidRPr="00D84241">
        <w:rPr>
          <w:sz w:val="18"/>
          <w:szCs w:val="18"/>
        </w:rPr>
        <w:t xml:space="preserve"> </w:t>
      </w:r>
      <w:r w:rsidR="00695DB7" w:rsidRPr="00D84241">
        <w:rPr>
          <w:sz w:val="18"/>
          <w:szCs w:val="18"/>
        </w:rPr>
        <w:t>Arrêt du 30 novembre 1950 et 13 juin 1961.</w:t>
      </w:r>
    </w:p>
  </w:footnote>
  <w:footnote w:id="5">
    <w:p w14:paraId="2396B478" w14:textId="42A820F9" w:rsidR="5EFBFFCA" w:rsidRPr="00D82A08" w:rsidRDefault="5EFBFFCA" w:rsidP="00D82A08">
      <w:pPr>
        <w:pStyle w:val="Notedebasdepage"/>
        <w:rPr>
          <w:sz w:val="16"/>
          <w:szCs w:val="16"/>
        </w:rPr>
      </w:pPr>
      <w:r w:rsidRPr="00D84241">
        <w:rPr>
          <w:rStyle w:val="Appelnotedebasdep"/>
          <w:sz w:val="18"/>
          <w:szCs w:val="18"/>
        </w:rPr>
        <w:footnoteRef/>
      </w:r>
      <w:r w:rsidRPr="00D84241">
        <w:rPr>
          <w:sz w:val="18"/>
          <w:szCs w:val="18"/>
        </w:rPr>
        <w:t xml:space="preserve"> </w:t>
      </w:r>
      <w:r w:rsidRPr="00D84241">
        <w:rPr>
          <w:rFonts w:eastAsia="Calibri" w:cs="Calibri"/>
          <w:sz w:val="18"/>
          <w:szCs w:val="18"/>
        </w:rPr>
        <w:t>Arrêts du 10 mai 2002 (C.01.0034.F/1) et 14 janvier 2013 (C.11.0769.N/3).</w:t>
      </w:r>
    </w:p>
  </w:footnote>
  <w:footnote w:id="6">
    <w:p w14:paraId="769FFAC9" w14:textId="51FCE324" w:rsidR="5EFBFFCA" w:rsidRDefault="5EFBFFCA" w:rsidP="00D82A08">
      <w:pPr>
        <w:pStyle w:val="Notedebasdepage"/>
        <w:rPr>
          <w:rFonts w:ascii="Cambria" w:eastAsia="MS Mincho" w:hAnsi="Cambria" w:cs="Arial"/>
        </w:rPr>
      </w:pPr>
      <w:r w:rsidRPr="5EFBFFCA">
        <w:rPr>
          <w:rStyle w:val="Appelnotedebasdep"/>
        </w:rPr>
        <w:footnoteRef/>
      </w:r>
      <w:r>
        <w:t xml:space="preserve"> </w:t>
      </w:r>
      <w:r w:rsidRPr="00D84241">
        <w:rPr>
          <w:rFonts w:ascii="Cambria" w:eastAsia="MS Mincho" w:hAnsi="Cambria" w:cs="Arial"/>
          <w:sz w:val="18"/>
          <w:szCs w:val="18"/>
        </w:rPr>
        <w:t>Toutefois, ces articles ne s’appliquent pas aux taxes additionnelles aux impôts de l’autorité fédérale ainsi qu’aux taxes additionnelles perçues par la Région wallonne au profit des provinces et des communes.</w:t>
      </w:r>
    </w:p>
  </w:footnote>
  <w:footnote w:id="7">
    <w:p w14:paraId="54DBD8A9" w14:textId="77777777" w:rsidR="006D329A" w:rsidRPr="008D7EB7" w:rsidRDefault="006D329A" w:rsidP="006D329A">
      <w:pPr>
        <w:pStyle w:val="Notedebasdepage"/>
      </w:pPr>
      <w:r>
        <w:rPr>
          <w:rStyle w:val="Appelnotedebasdep"/>
        </w:rPr>
        <w:footnoteRef/>
      </w:r>
      <w:r w:rsidRPr="008D7EB7">
        <w:t xml:space="preserve"> </w:t>
      </w:r>
      <w:r w:rsidRPr="00D84241">
        <w:rPr>
          <w:sz w:val="18"/>
          <w:szCs w:val="18"/>
        </w:rPr>
        <w:t xml:space="preserve">Arrêt de la Cour de cassation du 17 février 2005 (F.04.0023.F/3) qui cite E. Willemart, Les limites constitutionnelles du pouvoir fiscal. </w:t>
      </w:r>
    </w:p>
  </w:footnote>
  <w:footnote w:id="8">
    <w:p w14:paraId="30EDF436" w14:textId="1166E378" w:rsidR="002503F4" w:rsidRDefault="002503F4">
      <w:pPr>
        <w:pStyle w:val="Notedebasdepage"/>
      </w:pPr>
      <w:r w:rsidRPr="005C4637">
        <w:rPr>
          <w:rStyle w:val="Appelnotedebasdep"/>
        </w:rPr>
        <w:footnoteRef/>
      </w:r>
      <w:r w:rsidRPr="005C4637">
        <w:t xml:space="preserve"> </w:t>
      </w:r>
      <w:r w:rsidRPr="005C4637">
        <w:rPr>
          <w:sz w:val="18"/>
          <w:szCs w:val="18"/>
        </w:rPr>
        <w:t>Arrêt du 10 novembre 1994 (F940024F).</w:t>
      </w:r>
    </w:p>
  </w:footnote>
  <w:footnote w:id="9">
    <w:p w14:paraId="11186598" w14:textId="486D6913" w:rsidR="6FFC1684" w:rsidRDefault="6FFC1684" w:rsidP="00D84241">
      <w:pPr>
        <w:pStyle w:val="Notedebasdepage"/>
      </w:pPr>
      <w:r w:rsidRPr="6FFC1684">
        <w:rPr>
          <w:rStyle w:val="Appelnotedebasdep"/>
        </w:rPr>
        <w:footnoteRef/>
      </w:r>
      <w:r>
        <w:t xml:space="preserve"> P. Nihoul et R. Andersen, Le Conseil d'Etat, Chronique de jurisprudence 1998, Revue Belge de droit constitutionnel, 2000/1, p.316, n° 107 ; E. Willemart, Les limites constitutionnelle du pouvoir fiscal, Bruylant, 1999, p. 28 et s., p. 187 et 2003, ss ; voy également J. Bourtembourg, N. Fortemps, C. Molitor et F. Belleflamme, Fiscalité communale et principe d'égalité. Des différences de traitement établies par les règlements- taxes et de leur justification, R.G.C.F., 2016, liv. 1-2, p. 53 et s. ; C.E. 8 mai 2007 n° 170927 ; Liège, 20 décembre 2016, 2015/RG/1681</w:t>
      </w:r>
    </w:p>
  </w:footnote>
  <w:footnote w:id="10">
    <w:p w14:paraId="18B6E5A0" w14:textId="14AC6A74" w:rsidR="6FFC1684" w:rsidRDefault="6FFC1684" w:rsidP="00D84241">
      <w:pPr>
        <w:pStyle w:val="Notedebasdepage"/>
      </w:pPr>
      <w:r w:rsidRPr="6FFC1684">
        <w:rPr>
          <w:rStyle w:val="Appelnotedebasdep"/>
        </w:rPr>
        <w:footnoteRef/>
      </w:r>
      <w:r>
        <w:t xml:space="preserve"> Liège, 5 janvier 2021, 2019/RG/989 ; Liège, 23 octobre 2020, 2019/RG/533 ; Civ.</w:t>
      </w:r>
    </w:p>
  </w:footnote>
  <w:footnote w:id="11">
    <w:p w14:paraId="3280A96C" w14:textId="02D01534" w:rsidR="5EFBFFCA" w:rsidRPr="00D84241" w:rsidRDefault="5EFBFFCA" w:rsidP="0026392D">
      <w:pPr>
        <w:pStyle w:val="Notedebasdepage"/>
        <w:rPr>
          <w:rFonts w:ascii="Cambria" w:eastAsia="MS Mincho" w:hAnsi="Cambria" w:cs="Arial"/>
          <w:sz w:val="18"/>
          <w:szCs w:val="18"/>
        </w:rPr>
      </w:pPr>
      <w:r w:rsidRPr="00D84241">
        <w:rPr>
          <w:rStyle w:val="Appelnotedebasdep"/>
          <w:sz w:val="18"/>
          <w:szCs w:val="18"/>
        </w:rPr>
        <w:footnoteRef/>
      </w:r>
      <w:r w:rsidRPr="00D84241">
        <w:rPr>
          <w:sz w:val="18"/>
          <w:szCs w:val="18"/>
        </w:rPr>
        <w:t xml:space="preserve"> </w:t>
      </w:r>
      <w:r w:rsidRPr="00D84241">
        <w:rPr>
          <w:rFonts w:ascii="Cambria" w:eastAsia="MS Mincho" w:hAnsi="Cambria" w:cs="Arial"/>
          <w:sz w:val="18"/>
          <w:szCs w:val="18"/>
        </w:rPr>
        <w:t>Cour constitutionnelle, Arrêts n° 163/2016 du 14 décembre 2016 (point B3) et n° 21/98 du 18 février 1998</w:t>
      </w:r>
    </w:p>
  </w:footnote>
  <w:footnote w:id="12">
    <w:p w14:paraId="7C97734D" w14:textId="77777777" w:rsidR="00BD3456" w:rsidRPr="00D84241" w:rsidRDefault="00BD3456" w:rsidP="00BD3456">
      <w:pPr>
        <w:pStyle w:val="Notedebasdepage"/>
        <w:rPr>
          <w:sz w:val="18"/>
          <w:szCs w:val="18"/>
        </w:rPr>
      </w:pPr>
      <w:r w:rsidRPr="00D84241">
        <w:rPr>
          <w:rStyle w:val="Appelnotedebasdep"/>
          <w:sz w:val="18"/>
          <w:szCs w:val="18"/>
        </w:rPr>
        <w:footnoteRef/>
      </w:r>
      <w:r w:rsidRPr="00D84241">
        <w:rPr>
          <w:sz w:val="18"/>
          <w:szCs w:val="18"/>
        </w:rPr>
        <w:t xml:space="preserve"> Cour constitutionnelle, Arrêts n° 163/2016 du 14 décembre 2016 (point B3) et n° 21/98 du 18 février 1998.</w:t>
      </w:r>
    </w:p>
  </w:footnote>
  <w:footnote w:id="13">
    <w:p w14:paraId="0C49D2EC" w14:textId="77777777" w:rsidR="00205979" w:rsidRPr="008D7EB7" w:rsidRDefault="00205979" w:rsidP="00205979">
      <w:pPr>
        <w:pStyle w:val="Notedebasdepage"/>
      </w:pPr>
      <w:r w:rsidRPr="00D84241">
        <w:rPr>
          <w:rStyle w:val="Appelnotedebasdep"/>
          <w:sz w:val="18"/>
          <w:szCs w:val="18"/>
        </w:rPr>
        <w:footnoteRef/>
      </w:r>
      <w:r w:rsidRPr="00D84241">
        <w:rPr>
          <w:sz w:val="18"/>
          <w:szCs w:val="18"/>
        </w:rPr>
        <w:t xml:space="preserve"> Arrêt n°242.959 du 16 novembre 2018.</w:t>
      </w:r>
    </w:p>
  </w:footnote>
  <w:footnote w:id="14">
    <w:p w14:paraId="32489AD8" w14:textId="3C8BFB6C" w:rsidR="5EFBFFCA" w:rsidRPr="0026392D" w:rsidRDefault="5EFBFFCA" w:rsidP="5EFBFFCA">
      <w:pPr>
        <w:pStyle w:val="Notedebasdepage"/>
        <w:rPr>
          <w:rFonts w:ascii="Cambria" w:eastAsia="MS Mincho" w:hAnsi="Cambria" w:cs="Arial"/>
        </w:rPr>
      </w:pPr>
      <w:r w:rsidRPr="5EFBFFCA">
        <w:rPr>
          <w:rStyle w:val="Appelnotedebasdep"/>
        </w:rPr>
        <w:footnoteRef/>
      </w:r>
      <w:r>
        <w:t xml:space="preserve"> </w:t>
      </w:r>
      <w:r w:rsidRPr="000B3D18">
        <w:rPr>
          <w:rFonts w:ascii="Cambria" w:eastAsia="MS Mincho" w:hAnsi="Cambria" w:cs="Arial"/>
          <w:sz w:val="18"/>
          <w:szCs w:val="18"/>
        </w:rPr>
        <w:t>Arrêt n°180.381 du 4 mars 2008.</w:t>
      </w:r>
    </w:p>
  </w:footnote>
  <w:footnote w:id="15">
    <w:p w14:paraId="36654D67" w14:textId="77777777" w:rsidR="002D536C" w:rsidRPr="00AC2E2F" w:rsidRDefault="002D536C" w:rsidP="002D536C">
      <w:pPr>
        <w:pStyle w:val="Notedebasdepage"/>
        <w:rPr>
          <w:color w:val="0000FF"/>
        </w:rPr>
      </w:pPr>
      <w:r w:rsidRPr="00BE35DE">
        <w:rPr>
          <w:rStyle w:val="Appelnotedebasdep"/>
        </w:rPr>
        <w:footnoteRef/>
      </w:r>
      <w:r w:rsidRPr="00BE35DE">
        <w:rPr>
          <w:lang w:val="fr-FR"/>
        </w:rPr>
        <w:t xml:space="preserve"> </w:t>
      </w:r>
      <w:bookmarkStart w:id="768" w:name="_Hlk93303643"/>
      <w:r w:rsidRPr="00BE35DE">
        <w:rPr>
          <w:lang w:val="fr-FR"/>
        </w:rPr>
        <w:t>Arrêt du 19 avril 2021 3ème Ch., F200132 mettant en cause la ville de Charleroi c/ DKMY s.p.r.l.</w:t>
      </w:r>
      <w:bookmarkEnd w:id="768"/>
    </w:p>
  </w:footnote>
  <w:footnote w:id="16">
    <w:p w14:paraId="67573E35" w14:textId="77777777" w:rsidR="002D536C" w:rsidRPr="008D7EB7" w:rsidRDefault="002D536C" w:rsidP="002D536C">
      <w:pPr>
        <w:pStyle w:val="Notedebasdepage"/>
      </w:pPr>
      <w:r>
        <w:rPr>
          <w:rStyle w:val="Appelnotedebasdep"/>
        </w:rPr>
        <w:footnoteRef/>
      </w:r>
      <w:r w:rsidRPr="008D7EB7">
        <w:t xml:space="preserve"> </w:t>
      </w:r>
      <w:r w:rsidRPr="007E3849">
        <w:rPr>
          <w:spacing w:val="3"/>
        </w:rPr>
        <w:t>Arrêt n°180.381 du 4 mars 2008.</w:t>
      </w:r>
    </w:p>
  </w:footnote>
  <w:footnote w:id="17">
    <w:p w14:paraId="1FB44AF8" w14:textId="77777777" w:rsidR="00056A48" w:rsidRPr="00D84241" w:rsidRDefault="00056A48" w:rsidP="00056A48">
      <w:pPr>
        <w:pStyle w:val="Notedebasdepage"/>
        <w:rPr>
          <w:sz w:val="18"/>
          <w:szCs w:val="18"/>
        </w:rPr>
      </w:pPr>
      <w:r w:rsidRPr="00D84241">
        <w:rPr>
          <w:rStyle w:val="Appelnotedebasdep"/>
          <w:sz w:val="18"/>
          <w:szCs w:val="18"/>
        </w:rPr>
        <w:footnoteRef/>
      </w:r>
      <w:r w:rsidRPr="00D84241">
        <w:rPr>
          <w:sz w:val="18"/>
          <w:szCs w:val="18"/>
        </w:rPr>
        <w:t xml:space="preserve"> Arrêt du 16 octobre 1997 (F950035N).</w:t>
      </w:r>
    </w:p>
  </w:footnote>
  <w:footnote w:id="18">
    <w:p w14:paraId="26A2E4E7" w14:textId="77777777" w:rsidR="0022012B" w:rsidRPr="008D7EB7" w:rsidRDefault="0022012B" w:rsidP="0022012B">
      <w:pPr>
        <w:pStyle w:val="Notedebasdepage"/>
      </w:pPr>
      <w:r w:rsidRPr="00D84241">
        <w:rPr>
          <w:rStyle w:val="Appelnotedebasdep"/>
          <w:sz w:val="18"/>
          <w:szCs w:val="18"/>
        </w:rPr>
        <w:footnoteRef/>
      </w:r>
      <w:r w:rsidRPr="00D84241">
        <w:rPr>
          <w:sz w:val="18"/>
          <w:szCs w:val="18"/>
        </w:rPr>
        <w:t xml:space="preserve"> Arrêt n° 85.916 du 14 mars 2000</w:t>
      </w:r>
      <w:r w:rsidRPr="007E3849">
        <w:t>.</w:t>
      </w:r>
    </w:p>
  </w:footnote>
  <w:footnote w:id="19">
    <w:p w14:paraId="33426BBC" w14:textId="77777777" w:rsidR="00613842" w:rsidRPr="008D7EB7" w:rsidRDefault="00613842" w:rsidP="00613842">
      <w:pPr>
        <w:pStyle w:val="Notedebasdepage"/>
      </w:pPr>
      <w:r>
        <w:rPr>
          <w:rStyle w:val="Appelnotedebasdep"/>
        </w:rPr>
        <w:footnoteRef/>
      </w:r>
      <w:r w:rsidRPr="008D7EB7">
        <w:t xml:space="preserve"> </w:t>
      </w:r>
      <w:r w:rsidRPr="007E3849">
        <w:rPr>
          <w:rFonts w:cs="Calibri"/>
          <w:spacing w:val="2"/>
          <w:sz w:val="18"/>
          <w:szCs w:val="18"/>
        </w:rPr>
        <w:t>Conseil d'État, arrêt n°7842 du 12 mai 1960.</w:t>
      </w:r>
    </w:p>
  </w:footnote>
  <w:footnote w:id="20">
    <w:p w14:paraId="65689E38" w14:textId="77777777" w:rsidR="00F74AF8" w:rsidRPr="008D7EB7" w:rsidRDefault="00F74AF8" w:rsidP="00F74AF8">
      <w:pPr>
        <w:pStyle w:val="Notedebasdepage"/>
      </w:pPr>
      <w:r>
        <w:rPr>
          <w:rStyle w:val="Appelnotedebasdep"/>
        </w:rPr>
        <w:footnoteRef/>
      </w:r>
      <w:r w:rsidRPr="008D7EB7">
        <w:t xml:space="preserve"> Document parlementaire, Sénat, 1980-1981, n° 566/1, pp. 2-3.</w:t>
      </w:r>
    </w:p>
  </w:footnote>
  <w:footnote w:id="21">
    <w:p w14:paraId="4494125C" w14:textId="77777777" w:rsidR="00B679C8" w:rsidRPr="008D7EB7" w:rsidRDefault="00B679C8" w:rsidP="00B679C8">
      <w:pPr>
        <w:pStyle w:val="Notedebasdepage"/>
      </w:pPr>
      <w:r>
        <w:rPr>
          <w:rStyle w:val="Appelnotedebasdep"/>
        </w:rPr>
        <w:footnoteRef/>
      </w:r>
      <w:r w:rsidRPr="008D7EB7">
        <w:t xml:space="preserve"> </w:t>
      </w:r>
      <w:r>
        <w:t>Article 445 du Code des impôts sur les revenus.</w:t>
      </w:r>
    </w:p>
  </w:footnote>
  <w:footnote w:id="22">
    <w:p w14:paraId="0284D7EB" w14:textId="50FD8861" w:rsidR="005D0C8B" w:rsidRDefault="005D0C8B">
      <w:pPr>
        <w:pStyle w:val="Notedebasdepage"/>
      </w:pPr>
      <w:r>
        <w:rPr>
          <w:rStyle w:val="Appelnotedebasdep"/>
        </w:rPr>
        <w:footnoteRef/>
      </w:r>
      <w:r>
        <w:t xml:space="preserve"> </w:t>
      </w:r>
      <w:r w:rsidRPr="007E3849">
        <w:t>Cour de Cassation du 31 janvier 2000 (F980075F)</w:t>
      </w:r>
    </w:p>
  </w:footnote>
  <w:footnote w:id="23">
    <w:p w14:paraId="3A7E2E55" w14:textId="77777777" w:rsidR="00D20884" w:rsidRPr="008D7EB7" w:rsidRDefault="00D20884" w:rsidP="00D20884">
      <w:pPr>
        <w:pStyle w:val="Notedebasdepage"/>
      </w:pPr>
      <w:r>
        <w:rPr>
          <w:rStyle w:val="Appelnotedebasdep"/>
        </w:rPr>
        <w:footnoteRef/>
      </w:r>
      <w:r w:rsidRPr="008D7EB7">
        <w:t xml:space="preserve"> </w:t>
      </w:r>
      <w:r w:rsidRPr="007E3849">
        <w:t>Cour Constitutionnelle du 18 avril 2001, Cour de cassation du 8 octobre 2001 et 7 février 2002.</w:t>
      </w:r>
    </w:p>
  </w:footnote>
  <w:footnote w:id="24">
    <w:p w14:paraId="05860ECD" w14:textId="51E06ABE" w:rsidR="00A9256A" w:rsidRPr="008D7EB7" w:rsidRDefault="00A9256A" w:rsidP="00A9256A">
      <w:pPr>
        <w:pStyle w:val="Notedebasdepage"/>
      </w:pPr>
      <w:r>
        <w:rPr>
          <w:rStyle w:val="Appelnotedebasdep"/>
        </w:rPr>
        <w:footnoteRef/>
      </w:r>
      <w:r w:rsidRPr="008D7EB7">
        <w:t xml:space="preserve"> </w:t>
      </w:r>
      <w:r w:rsidRPr="007E3849">
        <w:t>Arrêt du 2 décembre 2004 (C.03.0125.F/4).</w:t>
      </w:r>
    </w:p>
  </w:footnote>
  <w:footnote w:id="25">
    <w:p w14:paraId="7C1F0860" w14:textId="77777777" w:rsidR="00AB4BFE" w:rsidRPr="008D7EB7" w:rsidRDefault="00AB4BFE" w:rsidP="00AB4BFE">
      <w:pPr>
        <w:pStyle w:val="Notedebasdepage"/>
      </w:pPr>
      <w:r>
        <w:rPr>
          <w:rStyle w:val="Appelnotedebasdep"/>
        </w:rPr>
        <w:footnoteRef/>
      </w:r>
      <w:r w:rsidRPr="008D7EB7">
        <w:t xml:space="preserve"> </w:t>
      </w:r>
      <w:r w:rsidRPr="007E3849">
        <w:t>Arrêt 92/2007 du 20 juin 2007.</w:t>
      </w:r>
    </w:p>
  </w:footnote>
  <w:footnote w:id="26">
    <w:p w14:paraId="32A8BC1E" w14:textId="77777777" w:rsidR="00DA5E8F" w:rsidRPr="008D7EB7" w:rsidRDefault="00DA5E8F" w:rsidP="00DA5E8F">
      <w:pPr>
        <w:pStyle w:val="Notedebasdepage"/>
      </w:pPr>
      <w:r>
        <w:rPr>
          <w:rStyle w:val="Appelnotedebasdep"/>
        </w:rPr>
        <w:footnoteRef/>
      </w:r>
      <w:r w:rsidRPr="008D7EB7">
        <w:t xml:space="preserve"> </w:t>
      </w:r>
      <w:r w:rsidRPr="007E3849">
        <w:t>Arrêt du 13 février 2009.</w:t>
      </w:r>
    </w:p>
  </w:footnote>
  <w:footnote w:id="27">
    <w:p w14:paraId="7EDE3189" w14:textId="77777777" w:rsidR="00DC3BE0" w:rsidRPr="0025145F" w:rsidRDefault="00DC3BE0" w:rsidP="00DC3BE0">
      <w:pPr>
        <w:pStyle w:val="Notedebasdepage"/>
        <w:rPr>
          <w:lang w:val="fr-FR"/>
        </w:rPr>
      </w:pPr>
      <w:r>
        <w:rPr>
          <w:rStyle w:val="Appelnotedebasdep"/>
        </w:rPr>
        <w:footnoteRef/>
      </w:r>
      <w:r w:rsidRPr="0025145F">
        <w:rPr>
          <w:lang w:val="fr-FR"/>
        </w:rPr>
        <w:t xml:space="preserve"> Arrêt 92/2007 de la Cour constitutionnelle du 20 juin 2007</w:t>
      </w:r>
    </w:p>
  </w:footnote>
  <w:footnote w:id="28">
    <w:p w14:paraId="0DFB95C4" w14:textId="77777777" w:rsidR="005C1480" w:rsidRPr="009F74FC" w:rsidRDefault="005C1480" w:rsidP="005C1480">
      <w:pPr>
        <w:pStyle w:val="Notedebasdepage"/>
      </w:pPr>
      <w:r w:rsidRPr="00792F8A">
        <w:rPr>
          <w:rStyle w:val="Appelnotedebasdep"/>
        </w:rPr>
        <w:footnoteRef/>
      </w:r>
      <w:r w:rsidRPr="008D7EB7">
        <w:rPr>
          <w:rStyle w:val="Appelnotedebasdep"/>
        </w:rPr>
        <w:t xml:space="preserve"> </w:t>
      </w:r>
      <w:r w:rsidRPr="008D7EB7">
        <w:rPr>
          <w:rFonts w:cs="Calibri Light"/>
        </w:rPr>
        <w:t>Mons, 24 septembre 2010, R.G.C.F., 2011/2, pp. 165-166</w:t>
      </w:r>
      <w:r>
        <w:rPr>
          <w:rFonts w:cs="Calibri Light"/>
        </w:rPr>
        <w:t>.</w:t>
      </w:r>
    </w:p>
  </w:footnote>
  <w:footnote w:id="29">
    <w:p w14:paraId="17713189" w14:textId="77777777" w:rsidR="003659B7" w:rsidRPr="00E063FD" w:rsidRDefault="003659B7" w:rsidP="003659B7">
      <w:pPr>
        <w:pStyle w:val="Notedebasdepage"/>
      </w:pPr>
      <w:r>
        <w:rPr>
          <w:rStyle w:val="Appelnotedebasdep"/>
        </w:rPr>
        <w:footnoteRef/>
      </w:r>
      <w:r w:rsidRPr="008D7EB7">
        <w:t xml:space="preserve"> </w:t>
      </w:r>
      <w:r>
        <w:t xml:space="preserve">Conseil d’Etat, </w:t>
      </w:r>
      <w:r w:rsidRPr="008D7EB7">
        <w:rPr>
          <w:rFonts w:cs="Calibri Light"/>
        </w:rPr>
        <w:t>arrêt n° 33.727 du 7 janvier 1990 et arrêts n° 26.210 du 10 avril 1986 et 87.161 du 10 mai 2000</w:t>
      </w:r>
      <w:r>
        <w:rPr>
          <w:rFonts w:cs="Calibri Light"/>
        </w:rPr>
        <w:t>.</w:t>
      </w:r>
    </w:p>
  </w:footnote>
  <w:footnote w:id="30">
    <w:p w14:paraId="6C860073" w14:textId="77777777" w:rsidR="003659B7" w:rsidRPr="00E063FD" w:rsidRDefault="003659B7" w:rsidP="003659B7">
      <w:pPr>
        <w:pStyle w:val="Notedebasdepage"/>
      </w:pPr>
      <w:r>
        <w:rPr>
          <w:rStyle w:val="Appelnotedebasdep"/>
        </w:rPr>
        <w:footnoteRef/>
      </w:r>
      <w:r w:rsidRPr="008D7EB7">
        <w:t xml:space="preserve"> </w:t>
      </w:r>
      <w:r>
        <w:t xml:space="preserve">Conseil d’Etat, </w:t>
      </w:r>
      <w:r w:rsidRPr="008D7EB7">
        <w:rPr>
          <w:rFonts w:cs="Calibri Light"/>
        </w:rPr>
        <w:t>arrêt n° 13.835 du 11 décembre 1969</w:t>
      </w:r>
      <w:r>
        <w:rPr>
          <w:rFonts w:cs="Calibri Light"/>
        </w:rPr>
        <w:t>.</w:t>
      </w:r>
    </w:p>
  </w:footnote>
  <w:footnote w:id="31">
    <w:p w14:paraId="6BCC3802" w14:textId="77777777" w:rsidR="003659B7" w:rsidRPr="00E063FD" w:rsidRDefault="003659B7" w:rsidP="003659B7">
      <w:pPr>
        <w:pStyle w:val="Notedebasdepage"/>
      </w:pPr>
      <w:r>
        <w:rPr>
          <w:rStyle w:val="Appelnotedebasdep"/>
        </w:rPr>
        <w:footnoteRef/>
      </w:r>
      <w:r w:rsidRPr="008D7EB7">
        <w:t xml:space="preserve"> </w:t>
      </w:r>
      <w:r w:rsidRPr="008D7EB7">
        <w:rPr>
          <w:rFonts w:cs="Calibri Light"/>
        </w:rPr>
        <w:t>Loi du 21 mars 1991 portant réforme de certaines entreprises publiques économiques</w:t>
      </w:r>
      <w:r>
        <w:rPr>
          <w:rFonts w:cs="Calibri Light"/>
        </w:rPr>
        <w:t>.</w:t>
      </w:r>
    </w:p>
  </w:footnote>
  <w:footnote w:id="32">
    <w:p w14:paraId="148D84DD" w14:textId="77777777" w:rsidR="003659B7" w:rsidRPr="008D7EB7" w:rsidRDefault="003659B7" w:rsidP="003659B7">
      <w:pPr>
        <w:pStyle w:val="Notedebasdepage"/>
      </w:pPr>
      <w:r>
        <w:rPr>
          <w:rStyle w:val="Appelnotedebasdep"/>
        </w:rPr>
        <w:footnoteRef/>
      </w:r>
      <w:r w:rsidRPr="008D7EB7">
        <w:t xml:space="preserve"> </w:t>
      </w:r>
      <w:r>
        <w:t>A</w:t>
      </w:r>
      <w:r w:rsidRPr="004B213F">
        <w:t>vis motivé de la Commission des Communautés européennes du 26 mai 1999</w:t>
      </w:r>
      <w:r>
        <w:t>.</w:t>
      </w:r>
    </w:p>
  </w:footnote>
  <w:footnote w:id="33">
    <w:p w14:paraId="142EC790" w14:textId="77777777" w:rsidR="003659B7" w:rsidRPr="00E063FD" w:rsidRDefault="003659B7" w:rsidP="003659B7">
      <w:pPr>
        <w:pStyle w:val="Notedebasdepage"/>
      </w:pPr>
      <w:r>
        <w:rPr>
          <w:rStyle w:val="Appelnotedebasdep"/>
        </w:rPr>
        <w:footnoteRef/>
      </w:r>
      <w:r w:rsidRPr="008D7EB7">
        <w:t xml:space="preserve"> </w:t>
      </w:r>
      <w:r>
        <w:t>Conseil d’Etat,</w:t>
      </w:r>
      <w:r w:rsidRPr="008D7EB7">
        <w:rPr>
          <w:rFonts w:cs="Calibri Light"/>
        </w:rPr>
        <w:t xml:space="preserve"> arrêt n°85.563 du 23 février 2000 du Conseil d'Etat considérant cette taxe comme un octroi prohibé en vertu de la loi du 18 juillet 1860 portant abolition des octrois communaux</w:t>
      </w:r>
      <w:r>
        <w:rPr>
          <w:rFonts w:cs="Calibri Light"/>
        </w:rPr>
        <w:t>.</w:t>
      </w:r>
    </w:p>
  </w:footnote>
  <w:footnote w:id="34">
    <w:p w14:paraId="767FDD15" w14:textId="77777777" w:rsidR="001F36A1" w:rsidRPr="008D7EB7" w:rsidRDefault="001F36A1" w:rsidP="001F36A1">
      <w:pPr>
        <w:pStyle w:val="Notedebasdepage"/>
      </w:pPr>
      <w:r>
        <w:rPr>
          <w:rStyle w:val="Appelnotedebasdep"/>
        </w:rPr>
        <w:footnoteRef/>
      </w:r>
      <w:r w:rsidRPr="008D7EB7">
        <w:t xml:space="preserve"> Cour de Cassation, 11/9/2014</w:t>
      </w:r>
    </w:p>
  </w:footnote>
  <w:footnote w:id="35">
    <w:p w14:paraId="6817FF0F" w14:textId="77777777" w:rsidR="00F65E02" w:rsidRPr="008D7EB7" w:rsidRDefault="00F65E02" w:rsidP="00F65E02">
      <w:pPr>
        <w:pStyle w:val="Notedebasdepage"/>
      </w:pPr>
      <w:r>
        <w:rPr>
          <w:rStyle w:val="Appelnotedebasdep"/>
        </w:rPr>
        <w:footnoteRef/>
      </w:r>
      <w:r w:rsidRPr="008D7EB7">
        <w:t xml:space="preserve"> </w:t>
      </w:r>
      <w:r w:rsidRPr="008D7EB7">
        <w:rPr>
          <w:rFonts w:cs="Calibri Light"/>
        </w:rPr>
        <w:t>C. de Cassation. 14/6/1960, pas.1060, I, 1184</w:t>
      </w:r>
    </w:p>
  </w:footnote>
  <w:footnote w:id="36">
    <w:p w14:paraId="6FBD0BB7" w14:textId="77777777" w:rsidR="001E3AFA" w:rsidRPr="008D7EB7" w:rsidRDefault="001E3AFA" w:rsidP="001E3AFA">
      <w:pPr>
        <w:pStyle w:val="Notedebasdepage"/>
      </w:pPr>
      <w:r>
        <w:rPr>
          <w:rStyle w:val="Appelnotedebasdep"/>
        </w:rPr>
        <w:footnoteRef/>
      </w:r>
      <w:r w:rsidRPr="008D7EB7">
        <w:t xml:space="preserve"> </w:t>
      </w:r>
      <w:r w:rsidRPr="008D7EB7">
        <w:rPr>
          <w:rFonts w:eastAsia="Calibri"/>
          <w:szCs w:val="22"/>
        </w:rPr>
        <w:t xml:space="preserve">Article </w:t>
      </w:r>
      <w:r>
        <w:rPr>
          <w:rFonts w:eastAsia="Calibri"/>
          <w:szCs w:val="22"/>
        </w:rPr>
        <w:t>414 C.I.R</w:t>
      </w:r>
      <w:r w:rsidRPr="008D7EB7">
        <w:rPr>
          <w:rFonts w:eastAsia="Calibri"/>
          <w:szCs w:val="22"/>
        </w:rPr>
        <w:t>.</w:t>
      </w:r>
      <w:r>
        <w:rPr>
          <w:rFonts w:eastAsia="Calibri"/>
          <w:szCs w:val="22"/>
        </w:rPr>
        <w:t xml:space="preserve"> 92.</w:t>
      </w:r>
    </w:p>
  </w:footnote>
  <w:footnote w:id="37">
    <w:p w14:paraId="0BC599D8" w14:textId="77777777" w:rsidR="00C515EF" w:rsidRPr="008D7EB7" w:rsidRDefault="00C515EF" w:rsidP="00C515EF">
      <w:pPr>
        <w:pStyle w:val="Notedebasdepage"/>
      </w:pPr>
      <w:r>
        <w:rPr>
          <w:rStyle w:val="Appelnotedebasdep"/>
        </w:rPr>
        <w:footnoteRef/>
      </w:r>
      <w:r w:rsidRPr="008D7EB7">
        <w:t xml:space="preserve"> </w:t>
      </w:r>
      <w:r>
        <w:t>L</w:t>
      </w:r>
      <w:r w:rsidRPr="00475C19">
        <w:t>a loi du 20 décembre 2002 relative au recouvrement amiable des dettes du consommateur</w:t>
      </w:r>
      <w:r>
        <w:t xml:space="preserve">. </w:t>
      </w:r>
    </w:p>
  </w:footnote>
  <w:footnote w:id="38">
    <w:p w14:paraId="4EA7C0D6" w14:textId="77777777" w:rsidR="00C64B07" w:rsidRPr="008D7EB7" w:rsidRDefault="00C64B07" w:rsidP="00C64B07">
      <w:pPr>
        <w:pStyle w:val="Notedebasdepage"/>
      </w:pPr>
      <w:r>
        <w:rPr>
          <w:rStyle w:val="Appelnotedebasdep"/>
        </w:rPr>
        <w:footnoteRef/>
      </w:r>
      <w:r w:rsidRPr="008D7EB7">
        <w:t xml:space="preserve"> </w:t>
      </w:r>
      <w:r>
        <w:t>L</w:t>
      </w:r>
      <w:r w:rsidRPr="00475C19">
        <w:t>a loi du 20 décembre 2002 relative au recouvrement amiable des dettes du consommateur</w:t>
      </w:r>
      <w:r>
        <w:t xml:space="preserve">. </w:t>
      </w:r>
    </w:p>
  </w:footnote>
  <w:footnote w:id="39">
    <w:p w14:paraId="04420618" w14:textId="77777777" w:rsidR="00184C91" w:rsidRPr="00BC172A" w:rsidRDefault="00184C91" w:rsidP="00184C91">
      <w:pPr>
        <w:pStyle w:val="Notedebasdepage"/>
      </w:pPr>
      <w:r>
        <w:rPr>
          <w:rStyle w:val="Appelnotedebasdep"/>
        </w:rPr>
        <w:footnoteRef/>
      </w:r>
      <w:r w:rsidRPr="00BC172A">
        <w:t xml:space="preserve"> </w:t>
      </w:r>
      <w:r>
        <w:t xml:space="preserve">Article </w:t>
      </w:r>
      <w:r w:rsidRPr="00475C19">
        <w:t xml:space="preserve">L1124-40 </w:t>
      </w:r>
      <w:r>
        <w:t xml:space="preserve">du </w:t>
      </w:r>
      <w:r w:rsidRPr="00475C19">
        <w:t>CDLD</w:t>
      </w:r>
      <w:r>
        <w:t>.</w:t>
      </w:r>
    </w:p>
  </w:footnote>
  <w:footnote w:id="40">
    <w:p w14:paraId="3BD60901" w14:textId="77777777" w:rsidR="00CF76B6" w:rsidRPr="009665AF" w:rsidRDefault="00CF76B6" w:rsidP="00CF76B6">
      <w:pPr>
        <w:pStyle w:val="Notedebasdepage"/>
        <w:rPr>
          <w:lang w:val="fr-FR"/>
        </w:rPr>
      </w:pPr>
      <w:r>
        <w:rPr>
          <w:rStyle w:val="Appelnotedebasdep"/>
        </w:rPr>
        <w:footnoteRef/>
      </w:r>
      <w:r w:rsidRPr="009665AF">
        <w:rPr>
          <w:lang w:val="fr-FR"/>
        </w:rPr>
        <w:t xml:space="preserve"> (6)</w:t>
      </w:r>
      <w:r w:rsidRPr="009665AF">
        <w:rPr>
          <w:lang w:val="fr-FR"/>
        </w:rPr>
        <w:tab/>
        <w:t>Cass. (1" ch.), 17 juin 2016, R.G. n° F.15.0148.F., Pas., 2016/6-7-8, pp. 1440-1449.</w:t>
      </w:r>
    </w:p>
  </w:footnote>
  <w:footnote w:id="41">
    <w:p w14:paraId="67195DDB" w14:textId="77777777" w:rsidR="00D8253E" w:rsidRPr="008D7EB7" w:rsidRDefault="00D8253E" w:rsidP="00D8253E">
      <w:pPr>
        <w:pStyle w:val="Notedebasdepage"/>
      </w:pPr>
      <w:r>
        <w:rPr>
          <w:rStyle w:val="Appelnotedebasdep"/>
        </w:rPr>
        <w:footnoteRef/>
      </w:r>
      <w:r w:rsidRPr="008D7EB7">
        <w:t xml:space="preserve"> </w:t>
      </w:r>
      <w:r w:rsidRPr="007E3849">
        <w:t>Arrêt n°155/2008 du 6 novembre 2008 (point B.11.2).</w:t>
      </w:r>
    </w:p>
  </w:footnote>
  <w:footnote w:id="42">
    <w:p w14:paraId="72E8F56E" w14:textId="77777777" w:rsidR="00FF71B5" w:rsidRPr="008D7EB7" w:rsidRDefault="00FF71B5" w:rsidP="00FF71B5">
      <w:pPr>
        <w:pStyle w:val="Notedebasdepage"/>
      </w:pPr>
      <w:r>
        <w:rPr>
          <w:rStyle w:val="Appelnotedebasdep"/>
        </w:rPr>
        <w:footnoteRef/>
      </w:r>
      <w:r w:rsidRPr="008D7EB7">
        <w:t xml:space="preserve"> </w:t>
      </w:r>
      <w:r w:rsidRPr="00FE6EB9">
        <w:t>Arrêt du 6 octobre 2000 (F.97.0038.N/1).</w:t>
      </w:r>
    </w:p>
  </w:footnote>
  <w:footnote w:id="43">
    <w:p w14:paraId="6E1C6136" w14:textId="77777777" w:rsidR="00FF71B5" w:rsidRPr="00812037" w:rsidRDefault="00FF71B5" w:rsidP="00FF71B5">
      <w:pPr>
        <w:pStyle w:val="Notedebasdepage"/>
        <w:rPr>
          <w:lang w:val="fr-FR"/>
        </w:rPr>
      </w:pPr>
      <w:r>
        <w:rPr>
          <w:rStyle w:val="Appelnotedebasdep"/>
        </w:rPr>
        <w:footnoteRef/>
      </w:r>
      <w:r w:rsidRPr="00812037">
        <w:rPr>
          <w:lang w:val="fr-FR"/>
        </w:rPr>
        <w:t xml:space="preserve"> Arrêt de la Cour de cassation du 15 octobre 2010 (F.09.0092.N).</w:t>
      </w:r>
    </w:p>
  </w:footnote>
  <w:footnote w:id="44">
    <w:p w14:paraId="52056AE9" w14:textId="77777777" w:rsidR="00F64A30" w:rsidRPr="003167C2" w:rsidRDefault="00F64A30" w:rsidP="00F64A30">
      <w:pPr>
        <w:pStyle w:val="Notedebasdepage"/>
        <w:rPr>
          <w:lang w:val="fr-FR"/>
        </w:rPr>
      </w:pPr>
      <w:r>
        <w:rPr>
          <w:rStyle w:val="Appelnotedebasdep"/>
        </w:rPr>
        <w:footnoteRef/>
      </w:r>
      <w:r w:rsidRPr="003167C2">
        <w:rPr>
          <w:lang w:val="fr-FR"/>
        </w:rPr>
        <w:t xml:space="preserve"> </w:t>
      </w:r>
      <w:r>
        <w:rPr>
          <w:lang w:val="fr-FR"/>
        </w:rPr>
        <w:t>Article 371 du CIR tel que modifié par l’article 98 de la loi du 20 novembre 2022</w:t>
      </w:r>
      <w:r w:rsidRPr="003167C2">
        <w:rPr>
          <w:lang w:val="fr-FR"/>
        </w:rPr>
        <w:t xml:space="preserve"> </w:t>
      </w:r>
      <w:r w:rsidRPr="00223176">
        <w:rPr>
          <w:lang w:val="fr-FR"/>
        </w:rPr>
        <w:t xml:space="preserve">portant des dispositions fiscales et financières diverses. </w:t>
      </w:r>
      <w:r>
        <w:rPr>
          <w:lang w:val="fr-FR"/>
        </w:rPr>
        <w:t xml:space="preserve"> (M.B. 30.11.2022) </w:t>
      </w:r>
    </w:p>
  </w:footnote>
  <w:footnote w:id="45">
    <w:p w14:paraId="34E35B17" w14:textId="77777777" w:rsidR="00F64A30" w:rsidRPr="009665AF" w:rsidRDefault="00F64A30" w:rsidP="00F64A30">
      <w:pPr>
        <w:pStyle w:val="Notedebasdepage"/>
        <w:rPr>
          <w:lang w:val="fr-FR"/>
        </w:rPr>
      </w:pPr>
      <w:r>
        <w:rPr>
          <w:rStyle w:val="Appelnotedebasdep"/>
        </w:rPr>
        <w:footnoteRef/>
      </w:r>
      <w:r w:rsidRPr="009665AF">
        <w:rPr>
          <w:lang w:val="fr-FR"/>
        </w:rPr>
        <w:t xml:space="preserve"> Arrêt de </w:t>
      </w:r>
      <w:bookmarkStart w:id="836" w:name="_Hlk99374780"/>
      <w:r w:rsidRPr="009665AF">
        <w:rPr>
          <w:lang w:val="fr-FR"/>
        </w:rPr>
        <w:t>la Cour constitutionnelle du 22 avril 2021n°63/2021 - RFRL2021/4</w:t>
      </w:r>
    </w:p>
    <w:bookmarkEnd w:id="836"/>
  </w:footnote>
  <w:footnote w:id="46">
    <w:p w14:paraId="112A5128" w14:textId="77777777" w:rsidR="00F64A30" w:rsidRPr="008D7EB7" w:rsidRDefault="00F64A30" w:rsidP="00F64A30">
      <w:pPr>
        <w:pStyle w:val="Notedebasdepage"/>
      </w:pPr>
      <w:r>
        <w:rPr>
          <w:rStyle w:val="Appelnotedebasdep"/>
        </w:rPr>
        <w:footnoteRef/>
      </w:r>
      <w:r w:rsidRPr="008D7EB7">
        <w:t xml:space="preserve"> Cf. Cassation du 19 décembre 1997 Pas., I, 574 ; Cassation du 6 mars 1973, Pas., I, 669</w:t>
      </w:r>
      <w:r>
        <w:t xml:space="preserve"> </w:t>
      </w:r>
      <w:r w:rsidRPr="008D7EB7">
        <w:t>; Cassation du 23 janvier 1980, Pas., 1980, I, 577).</w:t>
      </w:r>
    </w:p>
  </w:footnote>
  <w:footnote w:id="47">
    <w:p w14:paraId="1F78302B" w14:textId="77777777" w:rsidR="00F64A30" w:rsidRPr="008D7EB7" w:rsidRDefault="00F64A30" w:rsidP="00F64A30">
      <w:pPr>
        <w:pStyle w:val="Notedebasdepage"/>
      </w:pPr>
      <w:r>
        <w:rPr>
          <w:rStyle w:val="Appelnotedebasdep"/>
        </w:rPr>
        <w:footnoteRef/>
      </w:r>
      <w:r w:rsidRPr="008D7EB7">
        <w:t xml:space="preserve"> Cf. Cassation du 23 janvier 2004, </w:t>
      </w:r>
      <w:hyperlink r:id="rId1" w:history="1">
        <w:r w:rsidRPr="00775087">
          <w:rPr>
            <w:rStyle w:val="Lienhypertexte"/>
          </w:rPr>
          <w:t>www.juridat.be</w:t>
        </w:r>
      </w:hyperlink>
      <w:r>
        <w:t xml:space="preserve"> </w:t>
      </w:r>
      <w:r w:rsidRPr="008D7EB7">
        <w:t xml:space="preserve">; </w:t>
      </w:r>
      <w:bookmarkStart w:id="839" w:name="_Hlk39392816"/>
      <w:r w:rsidRPr="008D7EB7">
        <w:t>Cassation du</w:t>
      </w:r>
      <w:bookmarkEnd w:id="839"/>
      <w:r w:rsidRPr="008D7EB7">
        <w:t xml:space="preserve"> 20 juin 1991, Pas., I, p. 923 ; Cassation du 23 janvier 1980, Pas., 1980, I, pp. 577 à 578 ; Liège, 1er février 2006, www.fiscalnet.be, Liège, 24 juin 1992, Bulletin des contributions, 745, p. 73).</w:t>
      </w:r>
    </w:p>
  </w:footnote>
  <w:footnote w:id="48">
    <w:p w14:paraId="60DCA3C8" w14:textId="77777777" w:rsidR="00F64A30" w:rsidRPr="008D7EB7" w:rsidRDefault="00F64A30" w:rsidP="00F64A30">
      <w:pPr>
        <w:pStyle w:val="Notedebasdepage"/>
      </w:pPr>
      <w:r>
        <w:rPr>
          <w:rStyle w:val="Appelnotedebasdep"/>
        </w:rPr>
        <w:footnoteRef/>
      </w:r>
      <w:r w:rsidRPr="008D7EB7">
        <w:t xml:space="preserve"> Cf. Liège, 1</w:t>
      </w:r>
      <w:r w:rsidRPr="008D7EB7">
        <w:rPr>
          <w:vertAlign w:val="superscript"/>
        </w:rPr>
        <w:t>er</w:t>
      </w:r>
      <w:r w:rsidRPr="008D7EB7">
        <w:t xml:space="preserve"> février 2006, www.fiscalnet.be.</w:t>
      </w:r>
    </w:p>
  </w:footnote>
  <w:footnote w:id="49">
    <w:p w14:paraId="0B841869" w14:textId="77777777" w:rsidR="00F64A30" w:rsidRPr="008D7EB7" w:rsidRDefault="00F64A30" w:rsidP="00F64A30">
      <w:pPr>
        <w:pStyle w:val="Notedebasdepage"/>
      </w:pPr>
      <w:r>
        <w:rPr>
          <w:rStyle w:val="Appelnotedebasdep"/>
        </w:rPr>
        <w:footnoteRef/>
      </w:r>
      <w:r w:rsidRPr="008D7EB7">
        <w:t xml:space="preserve"> Cf. Cassation du 16 mars 1973, www.juridat.be, O. Bertin et V. Poisson, « Le dégrèvement d’office, développements récents », R.G.C.F., 2005, pp. 156 et s. et références citées).</w:t>
      </w:r>
    </w:p>
  </w:footnote>
  <w:footnote w:id="50">
    <w:p w14:paraId="65A92512" w14:textId="77777777" w:rsidR="00F64A30" w:rsidRPr="008D7EB7" w:rsidRDefault="00F64A30" w:rsidP="00F64A30">
      <w:pPr>
        <w:pStyle w:val="Notedebasdepage"/>
      </w:pPr>
      <w:r>
        <w:rPr>
          <w:rStyle w:val="Appelnotedebasdep"/>
        </w:rPr>
        <w:footnoteRef/>
      </w:r>
      <w:r w:rsidRPr="008D7EB7">
        <w:t xml:space="preserve"> </w:t>
      </w:r>
      <w:bookmarkStart w:id="840" w:name="_Hlk39393039"/>
      <w:r w:rsidRPr="008D7EB7">
        <w:t xml:space="preserve">Cf. Cassation du </w:t>
      </w:r>
      <w:bookmarkEnd w:id="840"/>
      <w:r w:rsidRPr="008D7EB7">
        <w:t>16 mars 1973, Pas., 1973, I, 669.</w:t>
      </w:r>
    </w:p>
  </w:footnote>
  <w:footnote w:id="51">
    <w:p w14:paraId="250014D5" w14:textId="77777777" w:rsidR="00F64A30" w:rsidRPr="008D7EB7" w:rsidRDefault="00F64A30" w:rsidP="00F64A30">
      <w:pPr>
        <w:pStyle w:val="Notedebasdepage"/>
      </w:pPr>
      <w:r>
        <w:rPr>
          <w:rStyle w:val="Appelnotedebasdep"/>
        </w:rPr>
        <w:footnoteRef/>
      </w:r>
      <w:r w:rsidRPr="008D7EB7">
        <w:t xml:space="preserve"> Cf. Cassation du 7 janvier 1969, Pas., 69, I, 422 et note Feye et Cardyn ; Mons, 24 avril 1990, J.L.M.B., 1990, p. </w:t>
      </w:r>
      <w:r w:rsidRPr="002F079D">
        <w:t>149.</w:t>
      </w:r>
    </w:p>
  </w:footnote>
  <w:footnote w:id="52">
    <w:p w14:paraId="08D39F6A" w14:textId="77777777" w:rsidR="0029234D" w:rsidRPr="009665AF" w:rsidRDefault="0029234D" w:rsidP="0029234D">
      <w:pPr>
        <w:pStyle w:val="Notedebasdepage"/>
        <w:rPr>
          <w:lang w:val="fr-FR"/>
        </w:rPr>
      </w:pPr>
      <w:r>
        <w:rPr>
          <w:rStyle w:val="Appelnotedebasdep"/>
        </w:rPr>
        <w:footnoteRef/>
      </w:r>
      <w:r w:rsidRPr="009665AF">
        <w:rPr>
          <w:lang w:val="fr-FR"/>
        </w:rPr>
        <w:t xml:space="preserve"> </w:t>
      </w:r>
      <w:r>
        <w:rPr>
          <w:lang w:val="fr-FR"/>
        </w:rPr>
        <w:t>C</w:t>
      </w:r>
      <w:r w:rsidRPr="009665AF">
        <w:rPr>
          <w:lang w:val="fr-FR"/>
        </w:rPr>
        <w:t>irculaire du 10 mai 2000, le Ministre de l'Intérieur, M.B. 20.05.2000, p.16849</w:t>
      </w:r>
      <w:r>
        <w:rPr>
          <w:lang w:val="fr-FR"/>
        </w:rPr>
        <w:t>.</w:t>
      </w:r>
    </w:p>
  </w:footnote>
  <w:footnote w:id="53">
    <w:p w14:paraId="317C6610" w14:textId="77777777" w:rsidR="00EC1565" w:rsidRPr="008D7EB7" w:rsidRDefault="00EC1565" w:rsidP="00EC1565">
      <w:pPr>
        <w:pStyle w:val="Notedebasdepage"/>
      </w:pPr>
      <w:r>
        <w:rPr>
          <w:rStyle w:val="Appelnotedebasdep"/>
        </w:rPr>
        <w:footnoteRef/>
      </w:r>
      <w:r w:rsidRPr="008D7EB7">
        <w:t xml:space="preserve"> </w:t>
      </w:r>
      <w:r w:rsidRPr="007E3849">
        <w:t>Article 1385undecies du Code judiciaire.</w:t>
      </w:r>
    </w:p>
  </w:footnote>
  <w:footnote w:id="54">
    <w:p w14:paraId="22C710D0" w14:textId="77777777" w:rsidR="00523ABD" w:rsidRPr="008D7EB7" w:rsidRDefault="00523ABD" w:rsidP="00523ABD">
      <w:pPr>
        <w:pStyle w:val="Notedebasdepage"/>
      </w:pPr>
      <w:r>
        <w:rPr>
          <w:rStyle w:val="Appelnotedebasdep"/>
        </w:rPr>
        <w:footnoteRef/>
      </w:r>
      <w:r w:rsidRPr="008D7EB7">
        <w:t xml:space="preserve"> </w:t>
      </w:r>
      <w:r w:rsidRPr="007E3849">
        <w:t>Article 414, § 2 du code des impôts sur les revenus.</w:t>
      </w:r>
    </w:p>
  </w:footnote>
  <w:footnote w:id="55">
    <w:p w14:paraId="32ED053D" w14:textId="77777777" w:rsidR="00062F27" w:rsidRPr="009665AF" w:rsidRDefault="00062F27" w:rsidP="00062F27">
      <w:pPr>
        <w:pStyle w:val="Notedebasdepage"/>
        <w:rPr>
          <w:lang w:val="fr-FR"/>
        </w:rPr>
      </w:pPr>
      <w:r>
        <w:rPr>
          <w:rStyle w:val="Appelnotedebasdep"/>
        </w:rPr>
        <w:footnoteRef/>
      </w:r>
      <w:r w:rsidRPr="009665AF">
        <w:rPr>
          <w:lang w:val="fr-FR"/>
        </w:rPr>
        <w:t xml:space="preserve"> Civ.Namur, 1er octobre 2020, R.F.R.L. 20221/4 p.464</w:t>
      </w:r>
    </w:p>
  </w:footnote>
  <w:footnote w:id="56">
    <w:p w14:paraId="49EEC568" w14:textId="77777777" w:rsidR="00062F27" w:rsidRPr="008D7EB7" w:rsidRDefault="00062F27" w:rsidP="00062F27">
      <w:pPr>
        <w:pStyle w:val="Notedebasdepage"/>
      </w:pPr>
      <w:r>
        <w:rPr>
          <w:rStyle w:val="Appelnotedebasdep"/>
        </w:rPr>
        <w:footnoteRef/>
      </w:r>
      <w:r w:rsidRPr="008D7EB7">
        <w:t xml:space="preserve"> Article 1385undecies du Code judiciaire.</w:t>
      </w:r>
    </w:p>
  </w:footnote>
  <w:footnote w:id="57">
    <w:p w14:paraId="68181539" w14:textId="77777777" w:rsidR="00062F27" w:rsidRPr="008D7EB7" w:rsidRDefault="00062F27" w:rsidP="00062F27">
      <w:pPr>
        <w:pStyle w:val="Notedebasdepage"/>
      </w:pPr>
      <w:r>
        <w:rPr>
          <w:rStyle w:val="Appelnotedebasdep"/>
        </w:rPr>
        <w:footnoteRef/>
      </w:r>
      <w:r w:rsidRPr="008D7EB7">
        <w:t xml:space="preserve"> </w:t>
      </w:r>
      <w:r w:rsidRPr="00434194">
        <w:t>Arrêt n°134/2004 du 22 juillet 2004 (cf. point B.6.2)</w:t>
      </w:r>
      <w:r w:rsidRPr="007E3849">
        <w:rPr>
          <w:rFonts w:ascii="Times New Roman" w:hAnsi="Times New Roman"/>
          <w:sz w:val="23"/>
          <w:szCs w:val="23"/>
        </w:rPr>
        <w:t>.</w:t>
      </w:r>
    </w:p>
  </w:footnote>
  <w:footnote w:id="58">
    <w:p w14:paraId="0D4BD1BD" w14:textId="466C2848" w:rsidR="77A793B0" w:rsidRDefault="77A793B0" w:rsidP="002978A4">
      <w:pPr>
        <w:pStyle w:val="Notedebasdepage"/>
        <w:rPr>
          <w:rFonts w:ascii="Cambria" w:eastAsia="MS Mincho" w:hAnsi="Cambria" w:cs="Arial"/>
        </w:rPr>
      </w:pPr>
      <w:r w:rsidRPr="77A793B0">
        <w:rPr>
          <w:rStyle w:val="Appelnotedebasdep"/>
        </w:rPr>
        <w:footnoteRef/>
      </w:r>
      <w:r>
        <w:t xml:space="preserve"> </w:t>
      </w:r>
      <w:r w:rsidRPr="77A793B0">
        <w:rPr>
          <w:rFonts w:ascii="Cambria" w:eastAsia="MS Mincho" w:hAnsi="Cambria" w:cs="Arial"/>
        </w:rPr>
        <w:t>Article L3321-6 du CDLD</w:t>
      </w:r>
    </w:p>
  </w:footnote>
  <w:footnote w:id="59">
    <w:p w14:paraId="5AC9E8E3" w14:textId="4E25AB7A" w:rsidR="77A793B0" w:rsidRDefault="77A793B0" w:rsidP="002978A4">
      <w:pPr>
        <w:pStyle w:val="Notedebasdepage"/>
        <w:rPr>
          <w:rFonts w:ascii="Cambria" w:eastAsia="MS Mincho" w:hAnsi="Cambria" w:cs="Arial"/>
        </w:rPr>
      </w:pPr>
      <w:r w:rsidRPr="77A793B0">
        <w:rPr>
          <w:rStyle w:val="Appelnotedebasdep"/>
        </w:rPr>
        <w:footnoteRef/>
      </w:r>
      <w:r>
        <w:t xml:space="preserve"> </w:t>
      </w:r>
      <w:r w:rsidRPr="77A793B0">
        <w:rPr>
          <w:rFonts w:ascii="Cambria" w:eastAsia="MS Mincho" w:hAnsi="Cambria" w:cs="Arial"/>
        </w:rPr>
        <w:t>Cf. les arrêts du 22 janvier 2010 (F.09.0031.F/1), 11 mars 2010 (F.09.0069.N/1) et 21 octobre 2010 (N° F.09.0158.F).</w:t>
      </w:r>
    </w:p>
  </w:footnote>
  <w:footnote w:id="60">
    <w:p w14:paraId="272D4E64" w14:textId="5F86301F" w:rsidR="77A793B0" w:rsidRDefault="77A793B0" w:rsidP="77A793B0">
      <w:pPr>
        <w:pStyle w:val="Notedebasdepage"/>
      </w:pPr>
      <w:r w:rsidRPr="77A793B0">
        <w:rPr>
          <w:rStyle w:val="Appelnotedebasdep"/>
        </w:rPr>
        <w:footnoteRef/>
      </w:r>
      <w:r>
        <w:t xml:space="preserve"> Arrêt du 12 janvier 1989 (F903F).</w:t>
      </w:r>
    </w:p>
  </w:footnote>
  <w:footnote w:id="61">
    <w:p w14:paraId="409D15B6" w14:textId="1B3A3320" w:rsidR="77A793B0" w:rsidRDefault="77A793B0" w:rsidP="004F393B">
      <w:pPr>
        <w:pStyle w:val="Notedebasdepage"/>
      </w:pPr>
      <w:r w:rsidRPr="77A793B0">
        <w:rPr>
          <w:rStyle w:val="Appelnotedebasdep"/>
        </w:rPr>
        <w:footnoteRef/>
      </w:r>
      <w:r>
        <w:t xml:space="preserve"> Arrêt de la Cour Constitutionnelle du 12 janvier 2019 (point B.7.2).</w:t>
      </w:r>
    </w:p>
    <w:p w14:paraId="11672B04" w14:textId="4E9A8039" w:rsidR="77A793B0" w:rsidRDefault="77A793B0" w:rsidP="77A793B0">
      <w:pPr>
        <w:pStyle w:val="Notedebasdepage"/>
      </w:pPr>
    </w:p>
  </w:footnote>
  <w:footnote w:id="62">
    <w:p w14:paraId="76668F23" w14:textId="2D7FFED2" w:rsidR="77A793B0" w:rsidRDefault="77A793B0" w:rsidP="004F393B">
      <w:pPr>
        <w:pStyle w:val="Notedebasdepage"/>
      </w:pPr>
      <w:r w:rsidRPr="77A793B0">
        <w:rPr>
          <w:rStyle w:val="Appelnotedebasdep"/>
        </w:rPr>
        <w:footnoteRef/>
      </w:r>
      <w:r>
        <w:t xml:space="preserve"> Document parlementaire 54 3367/001, page 10.</w:t>
      </w:r>
    </w:p>
  </w:footnote>
  <w:footnote w:id="63">
    <w:p w14:paraId="69B8FEA8" w14:textId="3E49360C" w:rsidR="77A793B0" w:rsidRDefault="77A793B0" w:rsidP="004F393B">
      <w:pPr>
        <w:pStyle w:val="Notedebasdepage"/>
      </w:pPr>
      <w:r w:rsidRPr="77A793B0">
        <w:rPr>
          <w:rStyle w:val="Appelnotedebasdep"/>
        </w:rPr>
        <w:footnoteRef/>
      </w:r>
      <w:r>
        <w:t xml:space="preserve"> Cf. circulaire 2019/C/122 du 18 novembre 2019 du SPF Finances concernant les modifications de l’article 357 du Code des impôts sur les revenus.</w:t>
      </w:r>
    </w:p>
    <w:p w14:paraId="1CB4140C" w14:textId="6C97283B" w:rsidR="77A793B0" w:rsidRDefault="77A793B0" w:rsidP="77A793B0">
      <w:pPr>
        <w:pStyle w:val="Notedebasdepage"/>
      </w:pPr>
    </w:p>
  </w:footnote>
  <w:footnote w:id="64">
    <w:p w14:paraId="2FDB66F2" w14:textId="6F49C8B2" w:rsidR="7CCD35C2" w:rsidRDefault="7CCD35C2" w:rsidP="7CCD35C2">
      <w:pPr>
        <w:pStyle w:val="Notedebasdepage"/>
      </w:pPr>
      <w:r w:rsidRPr="7CCD35C2">
        <w:rPr>
          <w:rStyle w:val="Appelnotedebasdep"/>
        </w:rPr>
        <w:footnoteRef/>
      </w:r>
      <w:r>
        <w:t xml:space="preserve"> Article 4 § 1 du Code de l’eau.</w:t>
      </w:r>
    </w:p>
  </w:footnote>
  <w:footnote w:id="65">
    <w:p w14:paraId="6A8CD15C" w14:textId="601FFFEF" w:rsidR="7CCD35C2" w:rsidRDefault="7CCD35C2" w:rsidP="00DF7609">
      <w:pPr>
        <w:pStyle w:val="Notedebasdepage"/>
      </w:pPr>
      <w:r w:rsidRPr="7CCD35C2">
        <w:rPr>
          <w:rStyle w:val="Appelnotedebasdep"/>
        </w:rPr>
        <w:footnoteRef/>
      </w:r>
      <w:r>
        <w:t xml:space="preserve"> Moniteur Belge du 24 janvier 1945. p.345.</w:t>
      </w:r>
    </w:p>
  </w:footnote>
  <w:footnote w:id="66">
    <w:p w14:paraId="03ED24DD" w14:textId="4E584FCA" w:rsidR="7CCD35C2" w:rsidRDefault="7CCD35C2" w:rsidP="00DF7609">
      <w:pPr>
        <w:pStyle w:val="Notedebasdepage"/>
      </w:pPr>
      <w:r w:rsidRPr="7CCD35C2">
        <w:rPr>
          <w:rStyle w:val="Appelnotedebasdep"/>
        </w:rPr>
        <w:footnoteRef/>
      </w:r>
      <w:r>
        <w:t xml:space="preserve"> Arrêt n° 239.399 du 13 octobre 2017.</w:t>
      </w:r>
    </w:p>
  </w:footnote>
  <w:footnote w:id="67">
    <w:p w14:paraId="4E1CB925" w14:textId="5640C946" w:rsidR="7CCD35C2" w:rsidRDefault="7CCD35C2" w:rsidP="00DF7609">
      <w:pPr>
        <w:pStyle w:val="Notedebasdepage"/>
      </w:pPr>
      <w:r w:rsidRPr="7CCD35C2">
        <w:rPr>
          <w:rStyle w:val="Appelnotedebasdep"/>
        </w:rPr>
        <w:footnoteRef/>
      </w:r>
      <w:r>
        <w:t xml:space="preserve"> Article 6, § 5, CRAF.</w:t>
      </w:r>
    </w:p>
  </w:footnote>
  <w:footnote w:id="68">
    <w:p w14:paraId="4EF502DF" w14:textId="77777777" w:rsidR="00160236" w:rsidRDefault="00160236" w:rsidP="00160236">
      <w:pPr>
        <w:pStyle w:val="Notedebasdepage"/>
      </w:pPr>
      <w:r>
        <w:rPr>
          <w:rStyle w:val="Appelnotedebasdep"/>
        </w:rPr>
        <w:footnoteRef/>
      </w:r>
      <w:r>
        <w:t xml:space="preserve"> </w:t>
      </w:r>
      <w:r w:rsidRPr="002E4C37">
        <w:t>Conseil d’Etat, arrêt 258.603 du 26 janvier 2024, ASBL Avala c/Ville de Stavelot et Région wallonne</w:t>
      </w:r>
    </w:p>
  </w:footnote>
  <w:footnote w:id="69">
    <w:p w14:paraId="5A395E9E" w14:textId="77777777" w:rsidR="00795C3E" w:rsidRPr="00E063FD" w:rsidRDefault="00795C3E" w:rsidP="00795C3E">
      <w:pPr>
        <w:pStyle w:val="Notedebasdepage"/>
      </w:pPr>
      <w:r>
        <w:rPr>
          <w:rStyle w:val="Appelnotedebasdep"/>
        </w:rPr>
        <w:footnoteRef/>
      </w:r>
      <w:r w:rsidRPr="008D7EB7">
        <w:t xml:space="preserve"> Arrêts n° </w:t>
      </w:r>
      <w:r>
        <w:rPr>
          <w:rFonts w:cs="Calibri Light"/>
        </w:rPr>
        <w:t xml:space="preserve">234.415 et </w:t>
      </w:r>
      <w:r w:rsidRPr="00DA6BD2">
        <w:rPr>
          <w:rFonts w:cs="Calibri Light"/>
        </w:rPr>
        <w:t>234.417</w:t>
      </w:r>
    </w:p>
  </w:footnote>
  <w:footnote w:id="70">
    <w:p w14:paraId="65EFCBCE" w14:textId="77777777" w:rsidR="00795C3E" w:rsidRPr="008D7EB7" w:rsidRDefault="00795C3E" w:rsidP="00795C3E">
      <w:pPr>
        <w:pStyle w:val="Notedebasdepage"/>
      </w:pPr>
      <w:r>
        <w:rPr>
          <w:rStyle w:val="Appelnotedebasdep"/>
        </w:rPr>
        <w:footnoteRef/>
      </w:r>
      <w:r w:rsidRPr="008D7EB7">
        <w:t xml:space="preserve"> </w:t>
      </w:r>
      <w:r w:rsidRPr="00961214">
        <w:t>M</w:t>
      </w:r>
      <w:r>
        <w:t xml:space="preserve">oniteur Belge du 21 mars </w:t>
      </w:r>
      <w:r w:rsidRPr="00961214">
        <w:t>2014</w:t>
      </w:r>
      <w:r>
        <w:t>.</w:t>
      </w:r>
    </w:p>
  </w:footnote>
  <w:footnote w:id="71">
    <w:p w14:paraId="2E5422D6" w14:textId="0C7FEA89" w:rsidR="005C4825" w:rsidRDefault="005C4825">
      <w:pPr>
        <w:pStyle w:val="Notedebasdepage"/>
      </w:pPr>
      <w:r>
        <w:rPr>
          <w:rStyle w:val="Appelnotedebasdep"/>
        </w:rPr>
        <w:footnoteRef/>
      </w:r>
      <w:r w:rsidR="00A14A12">
        <w:t>htt</w:t>
      </w:r>
      <w:r w:rsidR="00A14A12" w:rsidRPr="00A14A12">
        <w:t>ps://diplomatie.belgium.be/fr/pour-les-belges-letranger/le-passeport-belge/demander-un-passeport/belge-en-belgique</w:t>
      </w:r>
    </w:p>
  </w:footnote>
  <w:footnote w:id="72">
    <w:p w14:paraId="7A1A1884" w14:textId="77777777" w:rsidR="00795C3E" w:rsidRPr="008D7EB7" w:rsidRDefault="00795C3E" w:rsidP="00795C3E">
      <w:pPr>
        <w:pStyle w:val="Notedebasdepage"/>
      </w:pPr>
      <w:r>
        <w:rPr>
          <w:rStyle w:val="Appelnotedebasdep"/>
        </w:rPr>
        <w:footnoteRef/>
      </w:r>
      <w:r w:rsidRPr="008D7EB7">
        <w:t xml:space="preserve"> </w:t>
      </w:r>
      <w:r w:rsidRPr="003167C2">
        <w:t>https://diplomatie.belgium.be/fr/pour-les-belges-letranger/le-passeport-belge/titre-de-voyage-pour-refugie-apatride-ou-etranger</w:t>
      </w:r>
      <w:r w:rsidRPr="00A00783">
        <w:t>.</w:t>
      </w:r>
    </w:p>
  </w:footnote>
  <w:footnote w:id="73">
    <w:p w14:paraId="562B870C" w14:textId="77777777" w:rsidR="00795C3E" w:rsidRPr="008D7EB7" w:rsidRDefault="00795C3E" w:rsidP="00795C3E">
      <w:pPr>
        <w:pStyle w:val="Notedebasdepage"/>
      </w:pPr>
      <w:r>
        <w:rPr>
          <w:rStyle w:val="Appelnotedebasdep"/>
        </w:rPr>
        <w:footnoteRef/>
      </w:r>
      <w:r w:rsidRPr="008D7EB7">
        <w:t xml:space="preserve"> </w:t>
      </w:r>
      <w:r>
        <w:t>C</w:t>
      </w:r>
      <w:r w:rsidRPr="008D7EB7">
        <w:t>f. article 61 de l’arrêté du 23 mars 1998 relatif au permis de conduire</w:t>
      </w:r>
      <w:r>
        <w:t>.</w:t>
      </w:r>
    </w:p>
  </w:footnote>
  <w:footnote w:id="74">
    <w:p w14:paraId="5EE8C461" w14:textId="77777777" w:rsidR="00795C3E" w:rsidRPr="008D7EB7" w:rsidRDefault="00795C3E" w:rsidP="00795C3E">
      <w:pPr>
        <w:pStyle w:val="Notedebasdepage"/>
      </w:pPr>
      <w:r>
        <w:rPr>
          <w:rStyle w:val="Appelnotedebasdep"/>
        </w:rPr>
        <w:footnoteRef/>
      </w:r>
      <w:r w:rsidRPr="008D7EB7">
        <w:t xml:space="preserve"> </w:t>
      </w:r>
      <w:r w:rsidRPr="008D7EB7">
        <w:rPr>
          <w:rFonts w:cs="Calibri Light"/>
          <w:lang w:eastAsia="fr-FR"/>
        </w:rPr>
        <w:t>Moniteur belge du 2 juillet 2018.</w:t>
      </w:r>
    </w:p>
  </w:footnote>
  <w:footnote w:id="75">
    <w:p w14:paraId="22C2A218" w14:textId="035251B3" w:rsidR="00795C3E" w:rsidRPr="008D7EB7" w:rsidRDefault="00795C3E" w:rsidP="00795C3E">
      <w:pPr>
        <w:pStyle w:val="Notedebasdepage"/>
      </w:pPr>
      <w:r>
        <w:rPr>
          <w:rStyle w:val="Appelnotedebasdep"/>
        </w:rPr>
        <w:footnoteRef/>
      </w:r>
      <w:r w:rsidR="7D52974A" w:rsidRPr="008D7EB7">
        <w:t xml:space="preserve"> </w:t>
      </w:r>
      <w:r w:rsidR="7D52974A" w:rsidRPr="007E3849">
        <w:rPr>
          <w:rFonts w:cs="Calibri Light"/>
          <w:lang w:eastAsia="fr-FR"/>
        </w:rPr>
        <w:t xml:space="preserve">Moniteur belge du </w:t>
      </w:r>
      <w:r w:rsidR="7D52974A" w:rsidRPr="7D52974A">
        <w:rPr>
          <w:rFonts w:cs="Calibri Light"/>
          <w:lang w:eastAsia="fr-FR"/>
        </w:rPr>
        <w:t>22 décembre 2023, p.243 et svtes</w:t>
      </w:r>
    </w:p>
  </w:footnote>
  <w:footnote w:id="76">
    <w:p w14:paraId="1FD138EE" w14:textId="77777777" w:rsidR="00795C3E" w:rsidRPr="008D7EB7" w:rsidRDefault="00795C3E" w:rsidP="00795C3E">
      <w:pPr>
        <w:pStyle w:val="Notedebasdepage"/>
      </w:pPr>
      <w:r>
        <w:rPr>
          <w:rStyle w:val="Appelnotedebasdep"/>
        </w:rPr>
        <w:footnoteRef/>
      </w:r>
      <w:r w:rsidRPr="008D7EB7">
        <w:t xml:space="preserve"> </w:t>
      </w:r>
      <w:r w:rsidRPr="008D7EB7">
        <w:rPr>
          <w:rFonts w:cs="Calibri Light"/>
        </w:rPr>
        <w:t>Exposé des motifs, Ch. repr., 1983-1984, 966, p</w:t>
      </w:r>
      <w:r>
        <w:rPr>
          <w:rFonts w:cs="Calibri Light"/>
        </w:rPr>
        <w:t xml:space="preserve">age </w:t>
      </w:r>
      <w:r w:rsidRPr="008D7EB7">
        <w:rPr>
          <w:rFonts w:cs="Calibri Light"/>
        </w:rPr>
        <w:t>3</w:t>
      </w:r>
      <w:r>
        <w:rPr>
          <w:rFonts w:cs="Calibri Light"/>
        </w:rPr>
        <w:t>.</w:t>
      </w:r>
    </w:p>
  </w:footnote>
  <w:footnote w:id="77">
    <w:p w14:paraId="3881BD81" w14:textId="77777777" w:rsidR="00795C3E" w:rsidRPr="008D7EB7" w:rsidRDefault="00795C3E" w:rsidP="00795C3E">
      <w:pPr>
        <w:pStyle w:val="Notedebasdepage"/>
      </w:pPr>
      <w:r>
        <w:rPr>
          <w:rStyle w:val="Appelnotedebasdep"/>
        </w:rPr>
        <w:footnoteRef/>
      </w:r>
      <w:r w:rsidRPr="008D7EB7">
        <w:t xml:space="preserve"> </w:t>
      </w:r>
      <w:r w:rsidRPr="00C97323">
        <w:t>Liège (1</w:t>
      </w:r>
      <w:r w:rsidRPr="008D7EB7">
        <w:rPr>
          <w:vertAlign w:val="superscript"/>
        </w:rPr>
        <w:t>er</w:t>
      </w:r>
      <w:r>
        <w:t xml:space="preserve"> </w:t>
      </w:r>
      <w:r w:rsidRPr="00C97323">
        <w:t>ch</w:t>
      </w:r>
      <w:r>
        <w:t>ambre</w:t>
      </w:r>
      <w:r w:rsidRPr="00C97323">
        <w:t>), 21 mai 2012, J.T., 2013, p. 63, note J.-P. Masson.</w:t>
      </w:r>
    </w:p>
  </w:footnote>
  <w:footnote w:id="78">
    <w:p w14:paraId="644FDCCC" w14:textId="77777777" w:rsidR="00795C3E" w:rsidRPr="008D7EB7" w:rsidRDefault="00795C3E" w:rsidP="00795C3E">
      <w:pPr>
        <w:pStyle w:val="Notedebasdepage"/>
      </w:pPr>
      <w:r>
        <w:rPr>
          <w:rStyle w:val="Appelnotedebasdep"/>
        </w:rPr>
        <w:footnoteRef/>
      </w:r>
      <w:r w:rsidRPr="008D7EB7">
        <w:t xml:space="preserve"> </w:t>
      </w:r>
      <w:r w:rsidRPr="00944D1B">
        <w:t>Article 120, § 2 de loi du 18 juin 2018 portant dispositions diverses en matière de droit civil et des dispositions en vue de promouvoir des formes alternatives de résolution de litiges.</w:t>
      </w:r>
    </w:p>
  </w:footnote>
  <w:footnote w:id="79">
    <w:p w14:paraId="66D65D44" w14:textId="77777777" w:rsidR="00795C3E" w:rsidRPr="00176C1B" w:rsidRDefault="00795C3E" w:rsidP="00795C3E">
      <w:pPr>
        <w:pStyle w:val="Notedebasdepage"/>
      </w:pPr>
      <w:r>
        <w:rPr>
          <w:rStyle w:val="Appelnotedebasdep"/>
        </w:rPr>
        <w:footnoteRef/>
      </w:r>
      <w:r w:rsidRPr="008D7EB7">
        <w:t xml:space="preserve"> </w:t>
      </w:r>
      <w:r>
        <w:t>A</w:t>
      </w:r>
      <w:r w:rsidRPr="00944D1B">
        <w:t>rticles 10 et 14 du décret du 14 février 2019</w:t>
      </w:r>
      <w:r>
        <w:t xml:space="preserve"> - </w:t>
      </w:r>
      <w:r w:rsidRPr="008D7EB7">
        <w:rPr>
          <w:rFonts w:cs="Calibri Light"/>
        </w:rPr>
        <w:t>Moniteur Belge, 20</w:t>
      </w:r>
      <w:r>
        <w:rPr>
          <w:rFonts w:cs="Calibri Light"/>
        </w:rPr>
        <w:t xml:space="preserve"> mars </w:t>
      </w:r>
      <w:r w:rsidRPr="008D7EB7">
        <w:rPr>
          <w:rFonts w:cs="Calibri Light"/>
        </w:rPr>
        <w:t>2019, Ed</w:t>
      </w:r>
      <w:r>
        <w:rPr>
          <w:rFonts w:cs="Calibri Light"/>
        </w:rPr>
        <w:t xml:space="preserve">ition </w:t>
      </w:r>
      <w:r w:rsidRPr="008D7EB7">
        <w:rPr>
          <w:rFonts w:cs="Calibri Light"/>
        </w:rPr>
        <w:t>2</w:t>
      </w:r>
      <w:r>
        <w:rPr>
          <w:rFonts w:cs="Calibri Light"/>
        </w:rPr>
        <w:t>,</w:t>
      </w:r>
      <w:r w:rsidRPr="008D7EB7">
        <w:rPr>
          <w:rFonts w:cs="Calibri Light"/>
        </w:rPr>
        <w:t xml:space="preserve"> p.27.921.</w:t>
      </w:r>
    </w:p>
  </w:footnote>
  <w:footnote w:id="80">
    <w:p w14:paraId="48C4EDC4" w14:textId="77777777" w:rsidR="00795C3E" w:rsidRPr="00E063FD" w:rsidRDefault="00795C3E" w:rsidP="00795C3E">
      <w:pPr>
        <w:pStyle w:val="Notedebasdepage"/>
      </w:pPr>
      <w:r>
        <w:rPr>
          <w:rStyle w:val="Appelnotedebasdep"/>
        </w:rPr>
        <w:footnoteRef/>
      </w:r>
      <w:r w:rsidRPr="008D7EB7">
        <w:t xml:space="preserve"> </w:t>
      </w:r>
      <w:r>
        <w:t>Moniteur belge, 22 janvier 2021.</w:t>
      </w:r>
    </w:p>
  </w:footnote>
  <w:footnote w:id="81">
    <w:p w14:paraId="45E25FE7" w14:textId="77777777" w:rsidR="00795C3E" w:rsidRPr="008D7EB7" w:rsidRDefault="00795C3E" w:rsidP="00795C3E">
      <w:pPr>
        <w:pStyle w:val="Notedebasdepage"/>
      </w:pPr>
      <w:r>
        <w:rPr>
          <w:rStyle w:val="Appelnotedebasdep"/>
        </w:rPr>
        <w:footnoteRef/>
      </w:r>
      <w:r w:rsidRPr="008D7EB7">
        <w:t xml:space="preserve"> </w:t>
      </w:r>
      <w:r>
        <w:t>A</w:t>
      </w:r>
      <w:r w:rsidRPr="008D7EB7">
        <w:rPr>
          <w:rFonts w:cs="Calibri Light"/>
        </w:rPr>
        <w:t>rticle 4, § 2, du décret du 30 mars 1995</w:t>
      </w:r>
    </w:p>
  </w:footnote>
  <w:footnote w:id="82">
    <w:p w14:paraId="188609BF" w14:textId="77777777" w:rsidR="00795C3E" w:rsidRPr="007D7FE2" w:rsidRDefault="00795C3E" w:rsidP="00795C3E">
      <w:pPr>
        <w:pStyle w:val="Notedebasdepage"/>
      </w:pPr>
      <w:r>
        <w:rPr>
          <w:rStyle w:val="Appelnotedebasdep"/>
        </w:rPr>
        <w:footnoteRef/>
      </w:r>
      <w:r w:rsidRPr="007D7FE2">
        <w:rPr>
          <w:lang w:val="fr-FR"/>
        </w:rPr>
        <w:t xml:space="preserve"> </w:t>
      </w:r>
      <w:r>
        <w:t>Conseil d’Etat, arrêt 258.603 du 26 janvier 2024, ASBL Avala c/Ville de Stavelot et Région wallonne</w:t>
      </w:r>
    </w:p>
  </w:footnote>
  <w:footnote w:id="83">
    <w:p w14:paraId="69309C48" w14:textId="77777777" w:rsidR="00795C3E" w:rsidRPr="00900C39" w:rsidRDefault="00795C3E" w:rsidP="00795C3E">
      <w:pPr>
        <w:pStyle w:val="Notedebasdepage"/>
      </w:pPr>
      <w:r>
        <w:rPr>
          <w:rStyle w:val="Appelnotedebasdep"/>
        </w:rPr>
        <w:footnoteRef/>
      </w:r>
      <w:r w:rsidRPr="00900C39">
        <w:t xml:space="preserve"> Moniteur belge, 31 décembre 2018.</w:t>
      </w:r>
    </w:p>
  </w:footnote>
  <w:footnote w:id="84">
    <w:p w14:paraId="08E86355" w14:textId="77777777" w:rsidR="00795C3E" w:rsidRPr="00902733" w:rsidRDefault="00795C3E" w:rsidP="00795C3E">
      <w:pPr>
        <w:pStyle w:val="Notedebasdepage"/>
      </w:pPr>
      <w:r>
        <w:rPr>
          <w:rStyle w:val="Appelnotedebasdep"/>
        </w:rPr>
        <w:footnoteRef/>
      </w:r>
      <w:r w:rsidRPr="008D7EB7">
        <w:t xml:space="preserve"> Réponse donnée à la question n°145 de K. Ravyts, </w:t>
      </w:r>
      <w:r w:rsidRPr="008D7EB7">
        <w:rPr>
          <w:i/>
        </w:rPr>
        <w:t>QRVA</w:t>
      </w:r>
      <w:r w:rsidRPr="008D7EB7">
        <w:t>, ch., 2019-2020, séance du 2 janvier 2020, pp.96-98.</w:t>
      </w:r>
    </w:p>
  </w:footnote>
  <w:footnote w:id="85">
    <w:p w14:paraId="563759F1" w14:textId="77777777" w:rsidR="00795C3E" w:rsidRPr="003167C2" w:rsidRDefault="00795C3E" w:rsidP="00795C3E">
      <w:pPr>
        <w:pStyle w:val="Notedebasdepage"/>
      </w:pPr>
      <w:r>
        <w:rPr>
          <w:rStyle w:val="Appelnotedebasdep"/>
        </w:rPr>
        <w:footnoteRef/>
      </w:r>
      <w:r w:rsidRPr="003167C2">
        <w:rPr>
          <w:lang w:val="fr-FR"/>
        </w:rPr>
        <w:t xml:space="preserve"> </w:t>
      </w:r>
      <w:r>
        <w:t>Moniteur belge du 31 mars 2021 p.30.590</w:t>
      </w:r>
    </w:p>
  </w:footnote>
  <w:footnote w:id="86">
    <w:p w14:paraId="248256E2" w14:textId="77777777" w:rsidR="00795C3E" w:rsidRPr="003167C2" w:rsidRDefault="00795C3E" w:rsidP="00795C3E">
      <w:pPr>
        <w:pStyle w:val="Notedebasdepage"/>
      </w:pPr>
      <w:r>
        <w:rPr>
          <w:rStyle w:val="Appelnotedebasdep"/>
        </w:rPr>
        <w:footnoteRef/>
      </w:r>
      <w:r w:rsidRPr="003167C2">
        <w:rPr>
          <w:lang w:val="fr-FR"/>
        </w:rPr>
        <w:t xml:space="preserve"> </w:t>
      </w:r>
      <w:r>
        <w:t>Avis 68.080 de la section législation du Conseil d'Etat du 21 octobre 2020</w:t>
      </w:r>
    </w:p>
  </w:footnote>
  <w:footnote w:id="87">
    <w:p w14:paraId="374BD7E5" w14:textId="77777777" w:rsidR="00795C3E" w:rsidRPr="00B7794C" w:rsidRDefault="00795C3E" w:rsidP="00795C3E">
      <w:pPr>
        <w:pStyle w:val="Notedebasdepage"/>
      </w:pPr>
      <w:r>
        <w:rPr>
          <w:rStyle w:val="Appelnotedebasdep"/>
        </w:rPr>
        <w:footnoteRef/>
      </w:r>
      <w:r w:rsidRPr="008D7EB7">
        <w:t xml:space="preserve"> </w:t>
      </w:r>
      <w:r>
        <w:t>Moniteur belge, 30 juillet 2018.</w:t>
      </w:r>
    </w:p>
  </w:footnote>
  <w:footnote w:id="88">
    <w:p w14:paraId="73A64414" w14:textId="77777777" w:rsidR="00795C3E" w:rsidRPr="008D7EB7" w:rsidRDefault="00795C3E" w:rsidP="00795C3E">
      <w:pPr>
        <w:pStyle w:val="Notedebasdepage"/>
      </w:pPr>
      <w:r>
        <w:rPr>
          <w:rStyle w:val="Appelnotedebasdep"/>
        </w:rPr>
        <w:footnoteRef/>
      </w:r>
      <w:r w:rsidRPr="008D7EB7">
        <w:t xml:space="preserve"> </w:t>
      </w:r>
      <w:r w:rsidRPr="00C25B36">
        <w:t>Arrêt du 25 juin 1979.</w:t>
      </w:r>
    </w:p>
  </w:footnote>
  <w:footnote w:id="89">
    <w:p w14:paraId="4C8EB5F1" w14:textId="77777777" w:rsidR="00795C3E" w:rsidRPr="008D7EB7" w:rsidRDefault="00795C3E" w:rsidP="00795C3E">
      <w:pPr>
        <w:pStyle w:val="Notedebasdepage"/>
      </w:pPr>
      <w:r>
        <w:rPr>
          <w:rStyle w:val="Appelnotedebasdep"/>
        </w:rPr>
        <w:footnoteRef/>
      </w:r>
      <w:r w:rsidRPr="008D7EB7">
        <w:t xml:space="preserve"> </w:t>
      </w:r>
      <w:r w:rsidRPr="006A79F5">
        <w:t>Cette dernière est disponible sur le portail environnement http://environnement.wallonie.be/rapports/owd/dechets_menagers/2008/cout_verite.pdf</w:t>
      </w:r>
      <w:r>
        <w:t>.</w:t>
      </w:r>
    </w:p>
  </w:footnote>
  <w:footnote w:id="90">
    <w:p w14:paraId="19E6B000" w14:textId="77777777" w:rsidR="00795C3E" w:rsidRPr="008D7EB7" w:rsidRDefault="00795C3E" w:rsidP="00795C3E">
      <w:pPr>
        <w:pStyle w:val="Notedebasdepage"/>
      </w:pPr>
      <w:r>
        <w:rPr>
          <w:rStyle w:val="Appelnotedebasdep"/>
        </w:rPr>
        <w:footnoteRef/>
      </w:r>
      <w:r w:rsidRPr="008D7EB7">
        <w:t xml:space="preserve"> </w:t>
      </w:r>
      <w:r w:rsidRPr="006A79F5">
        <w:t>Celui-ci disponible sur le site des pouvoirs locaux (http://pouvoirslocaux.wallonie.be &gt; ressources spécifiques &gt; Memento fiscal &gt; Modèles de règlements-taxes (n°41 à 43).</w:t>
      </w:r>
    </w:p>
  </w:footnote>
  <w:footnote w:id="91">
    <w:p w14:paraId="554A22CC" w14:textId="498889B5" w:rsidR="6FFC1684" w:rsidRDefault="6FFC1684" w:rsidP="00AF606C">
      <w:pPr>
        <w:pStyle w:val="Notedebasdepage"/>
        <w:rPr>
          <w:rFonts w:ascii="Times New Roman" w:eastAsia="Times New Roman" w:hAnsi="Times New Roman" w:cs="Times New Roman"/>
          <w:color w:val="000000" w:themeColor="text1"/>
        </w:rPr>
      </w:pPr>
      <w:r w:rsidRPr="6FFC1684">
        <w:rPr>
          <w:rStyle w:val="Appelnotedebasdep"/>
        </w:rPr>
        <w:footnoteRef/>
      </w:r>
      <w:r>
        <w:t xml:space="preserve"> </w:t>
      </w:r>
      <w:r w:rsidRPr="6FFC1684">
        <w:rPr>
          <w:color w:val="000000" w:themeColor="text1"/>
          <w:sz w:val="22"/>
          <w:szCs w:val="22"/>
        </w:rPr>
        <w:t>(M.B. 29.09.1976)</w:t>
      </w:r>
    </w:p>
  </w:footnote>
  <w:footnote w:id="92">
    <w:p w14:paraId="4ED85E6C" w14:textId="498889B5" w:rsidR="6FFC1684" w:rsidRDefault="6FFC1684" w:rsidP="6FFC1684">
      <w:pPr>
        <w:pStyle w:val="Notedebasdepage"/>
        <w:rPr>
          <w:rFonts w:ascii="Times New Roman" w:eastAsia="Times New Roman" w:hAnsi="Times New Roman" w:cs="Times New Roman"/>
          <w:color w:val="000000" w:themeColor="text1"/>
        </w:rPr>
      </w:pPr>
      <w:r w:rsidRPr="6FFC1684">
        <w:rPr>
          <w:rStyle w:val="Appelnotedebasdep"/>
        </w:rPr>
        <w:footnoteRef/>
      </w:r>
      <w:r>
        <w:t xml:space="preserve"> </w:t>
      </w:r>
      <w:r w:rsidRPr="6FFC1684">
        <w:rPr>
          <w:color w:val="000000" w:themeColor="text1"/>
          <w:sz w:val="22"/>
          <w:szCs w:val="22"/>
        </w:rPr>
        <w:t>(M.B. 29.09.1976)</w:t>
      </w:r>
    </w:p>
  </w:footnote>
  <w:footnote w:id="93">
    <w:p w14:paraId="41FAB47C" w14:textId="77777777" w:rsidR="00795C3E" w:rsidRPr="008D7EB7" w:rsidRDefault="00795C3E" w:rsidP="00795C3E">
      <w:pPr>
        <w:pStyle w:val="Notedebasdepage"/>
      </w:pPr>
      <w:r>
        <w:rPr>
          <w:rStyle w:val="Appelnotedebasdep"/>
        </w:rPr>
        <w:footnoteRef/>
      </w:r>
      <w:r w:rsidRPr="008D7EB7">
        <w:t xml:space="preserve"> </w:t>
      </w:r>
      <w:r>
        <w:rPr>
          <w:rFonts w:cs="Calibri Light"/>
        </w:rPr>
        <w:t>Article 1</w:t>
      </w:r>
      <w:r w:rsidRPr="008D7EB7">
        <w:rPr>
          <w:rFonts w:cs="Calibri Light"/>
          <w:vertAlign w:val="superscript"/>
        </w:rPr>
        <w:t>er</w:t>
      </w:r>
      <w:r>
        <w:rPr>
          <w:rFonts w:cs="Calibri Light"/>
        </w:rPr>
        <w:t xml:space="preserve"> </w:t>
      </w:r>
      <w:r w:rsidRPr="008D7EB7">
        <w:rPr>
          <w:rFonts w:cs="Calibri Light"/>
        </w:rPr>
        <w:t>du décret du 14</w:t>
      </w:r>
      <w:r>
        <w:rPr>
          <w:rFonts w:cs="Calibri Light"/>
        </w:rPr>
        <w:t xml:space="preserve"> février </w:t>
      </w:r>
      <w:r w:rsidRPr="008D7EB7">
        <w:rPr>
          <w:rFonts w:cs="Calibri Light"/>
        </w:rPr>
        <w:t>2019</w:t>
      </w:r>
      <w:r>
        <w:rPr>
          <w:rFonts w:cs="Calibri Light"/>
        </w:rPr>
        <w:t>.</w:t>
      </w:r>
    </w:p>
  </w:footnote>
  <w:footnote w:id="94">
    <w:p w14:paraId="49EAD3A3" w14:textId="77777777" w:rsidR="00795C3E" w:rsidRPr="008D7EB7" w:rsidRDefault="00795C3E" w:rsidP="00795C3E">
      <w:pPr>
        <w:pStyle w:val="Notedebasdepage"/>
      </w:pPr>
      <w:r>
        <w:rPr>
          <w:rStyle w:val="Appelnotedebasdep"/>
        </w:rPr>
        <w:footnoteRef/>
      </w:r>
      <w:r w:rsidRPr="008D7EB7">
        <w:t xml:space="preserve"> </w:t>
      </w:r>
      <w:r>
        <w:t>A</w:t>
      </w:r>
      <w:r w:rsidRPr="00D501F5">
        <w:t>jout du décret du 2 mai 2019</w:t>
      </w:r>
      <w:r>
        <w:t>.</w:t>
      </w:r>
    </w:p>
  </w:footnote>
  <w:footnote w:id="95">
    <w:p w14:paraId="50C5DED8" w14:textId="77777777" w:rsidR="00795C3E" w:rsidRPr="00432F15" w:rsidRDefault="00795C3E" w:rsidP="00795C3E">
      <w:pPr>
        <w:pStyle w:val="Notedebasdepage"/>
      </w:pPr>
      <w:r>
        <w:rPr>
          <w:rStyle w:val="Appelnotedebasdep"/>
        </w:rPr>
        <w:footnoteRef/>
      </w:r>
      <w:r w:rsidRPr="008D7EB7">
        <w:t xml:space="preserve"> Moniteur Belge du 20</w:t>
      </w:r>
      <w:r>
        <w:t xml:space="preserve"> mars </w:t>
      </w:r>
      <w:r w:rsidRPr="008D7EB7">
        <w:t>2019, Ed</w:t>
      </w:r>
      <w:r>
        <w:t xml:space="preserve">ition </w:t>
      </w:r>
      <w:r w:rsidRPr="008D7EB7">
        <w:t>2</w:t>
      </w:r>
      <w:r>
        <w:t>,</w:t>
      </w:r>
      <w:r w:rsidRPr="008D7EB7">
        <w:t xml:space="preserve"> p.27.921.</w:t>
      </w:r>
    </w:p>
  </w:footnote>
  <w:footnote w:id="96">
    <w:p w14:paraId="5202DB03" w14:textId="77777777" w:rsidR="00795C3E" w:rsidRPr="008D7EB7" w:rsidRDefault="00795C3E" w:rsidP="00795C3E">
      <w:pPr>
        <w:pStyle w:val="Notedebasdepage"/>
      </w:pPr>
      <w:r>
        <w:rPr>
          <w:rStyle w:val="Appelnotedebasdep"/>
        </w:rPr>
        <w:footnoteRef/>
      </w:r>
      <w:r w:rsidRPr="008D7EB7">
        <w:t xml:space="preserve"> </w:t>
      </w:r>
      <w:r>
        <w:rPr>
          <w:rFonts w:cs="Calibri Light"/>
        </w:rPr>
        <w:t>Article L1232-1, 6° CDLD.</w:t>
      </w:r>
    </w:p>
  </w:footnote>
  <w:footnote w:id="97">
    <w:p w14:paraId="5298D410" w14:textId="77777777" w:rsidR="00795C3E" w:rsidRPr="008D7EB7" w:rsidRDefault="00795C3E" w:rsidP="00795C3E">
      <w:pPr>
        <w:pStyle w:val="Notedebasdepage"/>
      </w:pPr>
      <w:r>
        <w:rPr>
          <w:rStyle w:val="Appelnotedebasdep"/>
        </w:rPr>
        <w:footnoteRef/>
      </w:r>
      <w:r w:rsidRPr="008D7EB7">
        <w:t xml:space="preserve"> </w:t>
      </w:r>
      <w:r>
        <w:rPr>
          <w:rFonts w:cs="Calibri Light"/>
        </w:rPr>
        <w:t>Article L1232-1, 20° CDLD.</w:t>
      </w:r>
    </w:p>
  </w:footnote>
  <w:footnote w:id="98">
    <w:p w14:paraId="4C0C38B6" w14:textId="77777777" w:rsidR="00795C3E" w:rsidRPr="008D7EB7" w:rsidRDefault="00795C3E" w:rsidP="00795C3E">
      <w:pPr>
        <w:pStyle w:val="Notedebasdepage"/>
      </w:pPr>
      <w:r>
        <w:rPr>
          <w:rStyle w:val="Appelnotedebasdep"/>
        </w:rPr>
        <w:footnoteRef/>
      </w:r>
      <w:r w:rsidRPr="008D7EB7">
        <w:t xml:space="preserve"> </w:t>
      </w:r>
      <w:r>
        <w:rPr>
          <w:rFonts w:cs="Calibri Light"/>
        </w:rPr>
        <w:t xml:space="preserve">Article </w:t>
      </w:r>
      <w:r w:rsidRPr="0030591B">
        <w:rPr>
          <w:rFonts w:cs="Calibri Light"/>
        </w:rPr>
        <w:t>L1232-</w:t>
      </w:r>
      <w:r>
        <w:rPr>
          <w:rFonts w:cs="Calibri Light"/>
        </w:rPr>
        <w:t>5</w:t>
      </w:r>
      <w:r w:rsidRPr="0030591B">
        <w:rPr>
          <w:rFonts w:cs="Calibri Light"/>
        </w:rPr>
        <w:t xml:space="preserve"> CDLD</w:t>
      </w:r>
      <w:r>
        <w:rPr>
          <w:rFonts w:cs="Calibri Light"/>
        </w:rPr>
        <w:t>.</w:t>
      </w:r>
    </w:p>
  </w:footnote>
  <w:footnote w:id="99">
    <w:p w14:paraId="0BE8823A" w14:textId="77777777" w:rsidR="00795C3E" w:rsidRPr="008D7EB7" w:rsidRDefault="00795C3E" w:rsidP="00795C3E">
      <w:pPr>
        <w:pStyle w:val="Notedebasdepage"/>
      </w:pPr>
      <w:r>
        <w:rPr>
          <w:rStyle w:val="Appelnotedebasdep"/>
        </w:rPr>
        <w:footnoteRef/>
      </w:r>
      <w:r w:rsidRPr="008D7EB7">
        <w:t xml:space="preserve"> </w:t>
      </w:r>
      <w:r>
        <w:rPr>
          <w:rFonts w:cs="Calibri Light"/>
        </w:rPr>
        <w:t xml:space="preserve">Article </w:t>
      </w:r>
      <w:r w:rsidRPr="004A796B">
        <w:rPr>
          <w:rFonts w:cs="Calibri Light"/>
        </w:rPr>
        <w:t>L1232-1, 6° CDLD</w:t>
      </w:r>
      <w:r>
        <w:rPr>
          <w:rFonts w:cs="Calibri Light"/>
        </w:rPr>
        <w:t>.</w:t>
      </w:r>
    </w:p>
  </w:footnote>
  <w:footnote w:id="100">
    <w:p w14:paraId="7D0BA1E6" w14:textId="77777777" w:rsidR="00F61A60" w:rsidRDefault="003C3516" w:rsidP="00F61A60">
      <w:pPr>
        <w:pStyle w:val="Notedebasdepage"/>
      </w:pPr>
      <w:r>
        <w:rPr>
          <w:rStyle w:val="Appelnotedebasdep"/>
        </w:rPr>
        <w:footnoteRef/>
      </w:r>
      <w:r>
        <w:t xml:space="preserve"> </w:t>
      </w:r>
      <w:r w:rsidR="00F61A60">
        <w:rPr>
          <w:rStyle w:val="cf01"/>
        </w:rPr>
        <w:t>" Tel qu'inséré par le décret du 11 avril 2024 modifiant le chapitre II du Titre III du Livre II de la première Partie du Code de la démocratie locale et de la décentralisation relatif aux funérailles et sépultures".</w:t>
      </w:r>
    </w:p>
    <w:p w14:paraId="35D729B9" w14:textId="424EE10D" w:rsidR="003C3516" w:rsidRDefault="003C3516">
      <w:pPr>
        <w:pStyle w:val="Notedebasdepage"/>
      </w:pPr>
    </w:p>
  </w:footnote>
  <w:footnote w:id="101">
    <w:p w14:paraId="71D891F5" w14:textId="77777777" w:rsidR="00795C3E" w:rsidRPr="006B47EE" w:rsidRDefault="00795C3E" w:rsidP="00795C3E">
      <w:pPr>
        <w:pStyle w:val="Notedebasdepage"/>
      </w:pPr>
    </w:p>
  </w:footnote>
  <w:footnote w:id="102">
    <w:p w14:paraId="5E9AD202" w14:textId="77777777" w:rsidR="00795C3E" w:rsidRPr="00E063FD" w:rsidRDefault="00795C3E" w:rsidP="00795C3E">
      <w:pPr>
        <w:pStyle w:val="Notedebasdepage"/>
      </w:pPr>
      <w:r>
        <w:rPr>
          <w:rStyle w:val="Appelnotedebasdep"/>
        </w:rPr>
        <w:footnoteRef/>
      </w:r>
      <w:r w:rsidRPr="008D7EB7">
        <w:t xml:space="preserve"> </w:t>
      </w:r>
      <w:r w:rsidRPr="008D7EB7">
        <w:rPr>
          <w:rFonts w:cs="Calibri Light"/>
        </w:rPr>
        <w:t>Arrêt du Conseil d’Etat n° 85.563 du 23 février 2000</w:t>
      </w:r>
    </w:p>
  </w:footnote>
  <w:footnote w:id="103">
    <w:p w14:paraId="747790C8" w14:textId="77777777" w:rsidR="00795C3E" w:rsidRPr="009665AF" w:rsidRDefault="00795C3E" w:rsidP="00795C3E">
      <w:pPr>
        <w:pStyle w:val="Notedebasdepage"/>
        <w:rPr>
          <w:lang w:val="fr-FR"/>
        </w:rPr>
      </w:pPr>
      <w:r>
        <w:rPr>
          <w:rStyle w:val="Appelnotedebasdep"/>
        </w:rPr>
        <w:footnoteRef/>
      </w:r>
      <w:r w:rsidRPr="009665AF">
        <w:rPr>
          <w:lang w:val="fr-FR"/>
        </w:rPr>
        <w:t xml:space="preserve"> Arrêt du 19 avril 2021 3ème Ch., F200132 mettant en cause la ville de Charleroi  c/ DKMY s.p.r.l.</w:t>
      </w:r>
    </w:p>
  </w:footnote>
  <w:footnote w:id="104">
    <w:p w14:paraId="29FA44BD" w14:textId="77777777" w:rsidR="00795C3E" w:rsidRPr="009665AF" w:rsidRDefault="00795C3E" w:rsidP="00795C3E">
      <w:pPr>
        <w:pStyle w:val="Notedebasdepage"/>
        <w:rPr>
          <w:lang w:val="fr-FR"/>
        </w:rPr>
      </w:pPr>
      <w:r>
        <w:rPr>
          <w:rStyle w:val="Appelnotedebasdep"/>
        </w:rPr>
        <w:footnoteRef/>
      </w:r>
      <w:r w:rsidRPr="009665AF">
        <w:rPr>
          <w:lang w:val="fr-FR"/>
        </w:rPr>
        <w:t xml:space="preserve"> Arrêt du 19 avril 2021 3ème Ch., F200132 mettant en cause la ville de Charleroi c/ DKMY s.p.r.l.</w:t>
      </w:r>
    </w:p>
  </w:footnote>
  <w:footnote w:id="105">
    <w:p w14:paraId="012BD8B6" w14:textId="77777777" w:rsidR="00795C3E" w:rsidRPr="00900C39" w:rsidRDefault="00795C3E" w:rsidP="00795C3E">
      <w:pPr>
        <w:pStyle w:val="Notedebasdepage"/>
      </w:pPr>
      <w:r>
        <w:rPr>
          <w:rStyle w:val="Appelnotedebasdep"/>
        </w:rPr>
        <w:footnoteRef/>
      </w:r>
      <w:r w:rsidRPr="00900C39">
        <w:t xml:space="preserve"> </w:t>
      </w:r>
      <w:r w:rsidRPr="008D7EB7">
        <w:t xml:space="preserve">Moniteur belge </w:t>
      </w:r>
      <w:r>
        <w:t>du 8 mai 2020.</w:t>
      </w:r>
    </w:p>
  </w:footnote>
  <w:footnote w:id="106">
    <w:p w14:paraId="0A256DA0" w14:textId="77777777" w:rsidR="00795C3E" w:rsidRPr="008D7EB7" w:rsidRDefault="00795C3E" w:rsidP="00795C3E">
      <w:pPr>
        <w:pStyle w:val="Notedebasdepage"/>
      </w:pPr>
      <w:r>
        <w:rPr>
          <w:rStyle w:val="Appelnotedebasdep"/>
        </w:rPr>
        <w:footnoteRef/>
      </w:r>
      <w:r w:rsidRPr="008D7EB7">
        <w:t xml:space="preserve"> </w:t>
      </w:r>
      <w:r>
        <w:t>A</w:t>
      </w:r>
      <w:r w:rsidRPr="00054F3F">
        <w:t>dopté par le Gouvernement Wallon le 28 mars 2018</w:t>
      </w:r>
      <w:r>
        <w:t>.</w:t>
      </w:r>
    </w:p>
  </w:footnote>
  <w:footnote w:id="107">
    <w:p w14:paraId="58EB4CBF" w14:textId="77777777" w:rsidR="00795C3E" w:rsidRPr="00E063FD" w:rsidRDefault="00795C3E" w:rsidP="00795C3E">
      <w:pPr>
        <w:pStyle w:val="Notedebasdepage"/>
      </w:pPr>
      <w:r>
        <w:rPr>
          <w:rStyle w:val="Appelnotedebasdep"/>
        </w:rPr>
        <w:footnoteRef/>
      </w:r>
      <w:r w:rsidRPr="008D7EB7">
        <w:t xml:space="preserve"> </w:t>
      </w:r>
      <w:r w:rsidRPr="008D7EB7">
        <w:rPr>
          <w:rFonts w:cs="Calibri Light"/>
        </w:rPr>
        <w:t>Décret du 11 mars 1999 relatif au permis d'environnement</w:t>
      </w:r>
    </w:p>
  </w:footnote>
  <w:footnote w:id="108">
    <w:p w14:paraId="55EC1483" w14:textId="77777777" w:rsidR="00795C3E" w:rsidRPr="00E063FD" w:rsidRDefault="00795C3E" w:rsidP="00795C3E">
      <w:pPr>
        <w:pStyle w:val="Notedebasdepage"/>
      </w:pPr>
      <w:r>
        <w:rPr>
          <w:rStyle w:val="Appelnotedebasdep"/>
        </w:rPr>
        <w:footnoteRef/>
      </w:r>
      <w:r w:rsidRPr="008D7EB7">
        <w:t xml:space="preserve"> </w:t>
      </w:r>
      <w:r>
        <w:t>Section 3 du Code wallon du Logement</w:t>
      </w:r>
    </w:p>
  </w:footnote>
  <w:footnote w:id="109">
    <w:p w14:paraId="5CDBD4EF" w14:textId="77777777" w:rsidR="00795C3E" w:rsidRPr="006D0A92" w:rsidRDefault="00795C3E" w:rsidP="00795C3E">
      <w:pPr>
        <w:pStyle w:val="Notedebasdepage"/>
      </w:pPr>
      <w:r w:rsidRPr="00AE6277">
        <w:rPr>
          <w:rStyle w:val="Appelnotedebasdep"/>
        </w:rPr>
        <w:footnoteRef/>
      </w:r>
      <w:r w:rsidRPr="00AE6277">
        <w:rPr>
          <w:lang w:val="fr-FR"/>
        </w:rPr>
        <w:t xml:space="preserve"> Arrêt du 19 avril 2021 3ème Ch., F200132 mettant en cause la ville de Charleroi c/ DKMY s.p.r.l.</w:t>
      </w:r>
    </w:p>
  </w:footnote>
  <w:footnote w:id="110">
    <w:p w14:paraId="7884AB83" w14:textId="77777777" w:rsidR="00795C3E" w:rsidRPr="00F915F6" w:rsidRDefault="00795C3E" w:rsidP="00795C3E">
      <w:pPr>
        <w:pStyle w:val="Notedebasdepage"/>
      </w:pPr>
      <w:r w:rsidRPr="00F915F6">
        <w:rPr>
          <w:rStyle w:val="Appelnotedebasdep"/>
        </w:rPr>
        <w:footnoteRef/>
      </w:r>
      <w:r w:rsidRPr="009665AF">
        <w:rPr>
          <w:lang w:val="fr-FR"/>
        </w:rPr>
        <w:t xml:space="preserve"> </w:t>
      </w:r>
      <w:r w:rsidRPr="009665AF">
        <w:rPr>
          <w:b/>
          <w:bCs/>
          <w:lang w:val="fr-FR"/>
        </w:rPr>
        <w:t>Arrêt du 19 avril 2021</w:t>
      </w:r>
      <w:r w:rsidRPr="009665AF">
        <w:rPr>
          <w:lang w:val="fr-FR"/>
        </w:rPr>
        <w:t xml:space="preserve"> 3ème Ch., F200132 mettant en cause la ville de Charleroi  c/ DKMY s.p.r.l.</w:t>
      </w:r>
    </w:p>
  </w:footnote>
  <w:footnote w:id="111">
    <w:p w14:paraId="14B4C6DD" w14:textId="77777777" w:rsidR="00795C3E" w:rsidRPr="006D0A92" w:rsidRDefault="00795C3E" w:rsidP="00795C3E">
      <w:pPr>
        <w:pStyle w:val="Notedebasdepage"/>
      </w:pPr>
      <w:r w:rsidRPr="00F915F6">
        <w:rPr>
          <w:rStyle w:val="Appelnotedebasdep"/>
        </w:rPr>
        <w:footnoteRef/>
      </w:r>
      <w:r w:rsidRPr="009665AF">
        <w:rPr>
          <w:lang w:val="fr-FR"/>
        </w:rPr>
        <w:t xml:space="preserve"> </w:t>
      </w:r>
      <w:r w:rsidRPr="009665AF">
        <w:rPr>
          <w:b/>
          <w:bCs/>
          <w:lang w:val="fr-FR"/>
        </w:rPr>
        <w:t>Arrêt du 19 avril 2021</w:t>
      </w:r>
      <w:r w:rsidRPr="009665AF">
        <w:rPr>
          <w:lang w:val="fr-FR"/>
        </w:rPr>
        <w:t xml:space="preserve"> 3ème Ch., F200132 mettant en cause la ville de Charleroi c/ DKMY s.p.r.l.</w:t>
      </w:r>
    </w:p>
  </w:footnote>
  <w:footnote w:id="112">
    <w:p w14:paraId="763DD2F1" w14:textId="77777777" w:rsidR="00795C3E" w:rsidRPr="00E063FD" w:rsidRDefault="00795C3E" w:rsidP="00795C3E">
      <w:pPr>
        <w:pStyle w:val="Notedebasdepage"/>
      </w:pPr>
      <w:r>
        <w:rPr>
          <w:rStyle w:val="Appelnotedebasdep"/>
        </w:rPr>
        <w:footnoteRef/>
      </w:r>
      <w:r w:rsidRPr="008D7EB7">
        <w:t xml:space="preserve"> </w:t>
      </w:r>
      <w:r>
        <w:t>Circulaire du 5 mai 1980.</w:t>
      </w:r>
    </w:p>
  </w:footnote>
  <w:footnote w:id="113">
    <w:p w14:paraId="3CD24C68" w14:textId="77777777" w:rsidR="00795C3E" w:rsidRPr="008D7EB7" w:rsidRDefault="00795C3E" w:rsidP="00795C3E">
      <w:pPr>
        <w:pStyle w:val="Notedebasdepage"/>
      </w:pPr>
      <w:r>
        <w:rPr>
          <w:rStyle w:val="Appelnotedebasdep"/>
        </w:rPr>
        <w:footnoteRef/>
      </w:r>
      <w:r w:rsidRPr="008D7EB7">
        <w:t xml:space="preserve"> </w:t>
      </w:r>
      <w:r w:rsidRPr="008D7EB7">
        <w:rPr>
          <w:rFonts w:cs="Calibri Light"/>
        </w:rPr>
        <w:t>Arrêt n°135.708 du 5 octobre 2004</w:t>
      </w:r>
      <w:r>
        <w:rPr>
          <w:rFonts w:cs="Calibri Light"/>
        </w:rPr>
        <w:t>.</w:t>
      </w:r>
    </w:p>
  </w:footnote>
  <w:footnote w:id="114">
    <w:p w14:paraId="6AC9F823" w14:textId="77777777" w:rsidR="00795C3E" w:rsidRPr="008D7EB7" w:rsidRDefault="00795C3E" w:rsidP="00795C3E">
      <w:pPr>
        <w:pStyle w:val="Notedebasdepage"/>
      </w:pPr>
      <w:r>
        <w:rPr>
          <w:rStyle w:val="Appelnotedebasdep"/>
        </w:rPr>
        <w:footnoteRef/>
      </w:r>
      <w:r w:rsidRPr="008D7EB7">
        <w:t xml:space="preserve"> A</w:t>
      </w:r>
      <w:r w:rsidRPr="008D7EB7">
        <w:rPr>
          <w:rFonts w:cs="Calibri Light"/>
        </w:rPr>
        <w:t>rrêts n° 119/2007, B.6; n° 44/2008, B.6; n° 50/2011, B.57.5</w:t>
      </w:r>
      <w:r>
        <w:rPr>
          <w:rFonts w:cs="Calibri Light"/>
        </w:rPr>
        <w:t>.</w:t>
      </w:r>
    </w:p>
  </w:footnote>
  <w:footnote w:id="115">
    <w:p w14:paraId="6141460E" w14:textId="77777777" w:rsidR="00795C3E" w:rsidRPr="008D7EB7" w:rsidRDefault="00795C3E" w:rsidP="00795C3E">
      <w:pPr>
        <w:pStyle w:val="Notedebasdepage"/>
      </w:pPr>
      <w:r>
        <w:rPr>
          <w:rStyle w:val="Appelnotedebasdep"/>
        </w:rPr>
        <w:footnoteRef/>
      </w:r>
      <w:r w:rsidRPr="008D7EB7">
        <w:t xml:space="preserve"> Arrêt n° 19/2012 du 16 février 2012</w:t>
      </w:r>
      <w:r>
        <w:t>.</w:t>
      </w:r>
    </w:p>
  </w:footnote>
  <w:footnote w:id="116">
    <w:p w14:paraId="2029844B" w14:textId="77777777" w:rsidR="00795C3E" w:rsidRPr="008D7EB7" w:rsidRDefault="00795C3E" w:rsidP="00795C3E">
      <w:pPr>
        <w:pStyle w:val="Notedebasdepage"/>
      </w:pPr>
      <w:r>
        <w:rPr>
          <w:rStyle w:val="Appelnotedebasdep"/>
        </w:rPr>
        <w:footnoteRef/>
      </w:r>
      <w:r w:rsidRPr="008D7EB7">
        <w:t xml:space="preserve"> </w:t>
      </w:r>
      <w:r w:rsidRPr="008D7EB7">
        <w:rPr>
          <w:rFonts w:cs="Calibri Light"/>
        </w:rPr>
        <w:t>Arrêts des 13 février 2014 et 16 juin 2016</w:t>
      </w:r>
    </w:p>
  </w:footnote>
  <w:footnote w:id="117">
    <w:p w14:paraId="73C4F8BA" w14:textId="77777777" w:rsidR="00795C3E" w:rsidRPr="007C7A9B" w:rsidRDefault="00795C3E" w:rsidP="00795C3E">
      <w:pPr>
        <w:pStyle w:val="Notedebasdepage"/>
        <w:rPr>
          <w:lang w:val="fr-FR"/>
        </w:rPr>
      </w:pPr>
      <w:r>
        <w:rPr>
          <w:rStyle w:val="Appelnotedebasdep"/>
        </w:rPr>
        <w:footnoteRef/>
      </w:r>
      <w:r w:rsidRPr="007C7A9B">
        <w:rPr>
          <w:lang w:val="fr-FR"/>
        </w:rPr>
        <w:t xml:space="preserve"> </w:t>
      </w:r>
      <w:r>
        <w:rPr>
          <w:lang w:val="fr-FR"/>
        </w:rPr>
        <w:t>Arrêt 65/2023 du 13 avril 2023</w:t>
      </w:r>
    </w:p>
  </w:footnote>
  <w:footnote w:id="118">
    <w:p w14:paraId="6686DC59" w14:textId="77777777" w:rsidR="00795C3E" w:rsidRPr="00E063FD" w:rsidRDefault="00795C3E" w:rsidP="00795C3E">
      <w:pPr>
        <w:pStyle w:val="Notedebasdepage"/>
      </w:pPr>
      <w:r>
        <w:rPr>
          <w:rStyle w:val="Appelnotedebasdep"/>
        </w:rPr>
        <w:footnoteRef/>
      </w:r>
      <w:r w:rsidRPr="008D7EB7">
        <w:t xml:space="preserve"> </w:t>
      </w:r>
      <w:r w:rsidRPr="008D7EB7">
        <w:rPr>
          <w:rFonts w:cs="Calibri Light"/>
        </w:rPr>
        <w:t xml:space="preserve">Loi du 25 juin 1993 sur l'exercice et l'organisation des activités ambulantes et foraines et l’arrêté d'exécution du 24 septembre 2006 </w:t>
      </w:r>
      <w:r w:rsidRPr="008D7EB7">
        <w:rPr>
          <w:rFonts w:cs="Calibri Light"/>
          <w:i/>
        </w:rPr>
        <w:t>(</w:t>
      </w:r>
      <w:r w:rsidRPr="008D7EB7">
        <w:rPr>
          <w:rFonts w:cs="Calibri Light"/>
        </w:rPr>
        <w:t>Moniteur belge</w:t>
      </w:r>
      <w:r w:rsidRPr="008D7EB7">
        <w:rPr>
          <w:rFonts w:cs="Calibri Light"/>
          <w:i/>
        </w:rPr>
        <w:t xml:space="preserve"> </w:t>
      </w:r>
      <w:r w:rsidRPr="008D7EB7">
        <w:rPr>
          <w:rFonts w:cs="Calibri Light"/>
        </w:rPr>
        <w:t>du 29 septembre 2006).</w:t>
      </w:r>
    </w:p>
  </w:footnote>
  <w:footnote w:id="119">
    <w:p w14:paraId="5EC02802" w14:textId="77777777" w:rsidR="00795C3E" w:rsidRPr="00E063FD" w:rsidRDefault="00795C3E" w:rsidP="00795C3E">
      <w:pPr>
        <w:pStyle w:val="Notedebasdepage"/>
      </w:pPr>
      <w:r>
        <w:rPr>
          <w:rStyle w:val="Appelnotedebasdep"/>
        </w:rPr>
        <w:footnoteRef/>
      </w:r>
      <w:r w:rsidRPr="008D7EB7">
        <w:t xml:space="preserve"> </w:t>
      </w:r>
      <w:r w:rsidRPr="008D7EB7">
        <w:rPr>
          <w:rFonts w:cs="Calibri Light"/>
        </w:rPr>
        <w:t>Article 24 de l'arrêté royal du 24 septembre 2006</w:t>
      </w:r>
    </w:p>
  </w:footnote>
  <w:footnote w:id="120">
    <w:p w14:paraId="0CCBC13A" w14:textId="77777777" w:rsidR="00795C3E" w:rsidRPr="003167C2" w:rsidRDefault="00795C3E" w:rsidP="00795C3E">
      <w:pPr>
        <w:pStyle w:val="Notedebasdepage"/>
      </w:pPr>
      <w:r>
        <w:rPr>
          <w:rStyle w:val="Appelnotedebasdep"/>
        </w:rPr>
        <w:footnoteRef/>
      </w:r>
      <w:r w:rsidRPr="003167C2">
        <w:rPr>
          <w:lang w:val="fr-FR"/>
        </w:rPr>
        <w:t xml:space="preserve"> </w:t>
      </w:r>
      <w:r>
        <w:t>Avis 44.315/4 du 5 mai 2008 de la section de législation du CE</w:t>
      </w:r>
    </w:p>
  </w:footnote>
  <w:footnote w:id="121">
    <w:p w14:paraId="7FC08224" w14:textId="77777777" w:rsidR="00795C3E" w:rsidRPr="008D7EB7" w:rsidRDefault="00795C3E" w:rsidP="00795C3E">
      <w:pPr>
        <w:pStyle w:val="Notedebasdepage"/>
      </w:pPr>
      <w:r>
        <w:rPr>
          <w:rStyle w:val="Appelnotedebasdep"/>
        </w:rPr>
        <w:footnoteRef/>
      </w:r>
      <w:r w:rsidRPr="008D7EB7">
        <w:t xml:space="preserve"> </w:t>
      </w:r>
      <w:r w:rsidRPr="008D7EB7">
        <w:rPr>
          <w:rFonts w:cs="Calibri Light"/>
        </w:rPr>
        <w:t>Moniteur Belge du 24 janvier 2007.</w:t>
      </w:r>
    </w:p>
  </w:footnote>
  <w:footnote w:id="122">
    <w:p w14:paraId="174DA880" w14:textId="77777777" w:rsidR="00795C3E" w:rsidRPr="008D7EB7" w:rsidRDefault="00795C3E" w:rsidP="00795C3E">
      <w:pPr>
        <w:pStyle w:val="Notedebasdepage"/>
      </w:pPr>
      <w:r>
        <w:rPr>
          <w:rStyle w:val="Appelnotedebasdep"/>
        </w:rPr>
        <w:footnoteRef/>
      </w:r>
      <w:r w:rsidRPr="008D7EB7">
        <w:t xml:space="preserve"> Arrêts n°18.030 et 18.296</w:t>
      </w:r>
      <w:r>
        <w:t>.</w:t>
      </w:r>
    </w:p>
  </w:footnote>
  <w:footnote w:id="123">
    <w:p w14:paraId="1945EF13" w14:textId="77777777" w:rsidR="00795C3E" w:rsidRPr="008D7EB7" w:rsidRDefault="00795C3E" w:rsidP="00795C3E">
      <w:pPr>
        <w:pStyle w:val="Notedebasdepage"/>
      </w:pPr>
      <w:r>
        <w:rPr>
          <w:rStyle w:val="Appelnotedebasdep"/>
        </w:rPr>
        <w:footnoteRef/>
      </w:r>
      <w:r w:rsidRPr="008D7EB7">
        <w:t xml:space="preserve"> </w:t>
      </w:r>
      <w:r>
        <w:t>A</w:t>
      </w:r>
      <w:r w:rsidRPr="00EA5A41">
        <w:t>rticle D.VI.64, §1er, 2°</w:t>
      </w:r>
      <w:r>
        <w:t>.</w:t>
      </w:r>
    </w:p>
  </w:footnote>
  <w:footnote w:id="124">
    <w:p w14:paraId="2AF164B3" w14:textId="77777777" w:rsidR="00795C3E" w:rsidRPr="008D7EB7" w:rsidRDefault="00795C3E" w:rsidP="00795C3E">
      <w:pPr>
        <w:pStyle w:val="Notedebasdepage"/>
      </w:pPr>
      <w:r>
        <w:rPr>
          <w:rStyle w:val="Appelnotedebasdep"/>
        </w:rPr>
        <w:footnoteRef/>
      </w:r>
      <w:r w:rsidRPr="008D7EB7">
        <w:t xml:space="preserve"> </w:t>
      </w:r>
      <w:r>
        <w:t>A</w:t>
      </w:r>
      <w:r w:rsidRPr="00EA5A41">
        <w:t>rticle D.VI.64, §1er, 4°, a</w:t>
      </w:r>
      <w:r>
        <w:t>.</w:t>
      </w:r>
    </w:p>
  </w:footnote>
  <w:footnote w:id="125">
    <w:p w14:paraId="09B0F4BB" w14:textId="77777777" w:rsidR="00795C3E" w:rsidRPr="008D7EB7" w:rsidRDefault="00795C3E" w:rsidP="00795C3E">
      <w:pPr>
        <w:pStyle w:val="Notedebasdepage"/>
      </w:pPr>
      <w:r>
        <w:rPr>
          <w:rStyle w:val="Appelnotedebasdep"/>
        </w:rPr>
        <w:footnoteRef/>
      </w:r>
      <w:r w:rsidRPr="008D7EB7">
        <w:t xml:space="preserve"> </w:t>
      </w:r>
      <w:r>
        <w:t>A</w:t>
      </w:r>
      <w:r w:rsidRPr="00EA5A41">
        <w:t>rticle D.VI.64, §1er, 4°, b</w:t>
      </w:r>
      <w:r>
        <w:t>.</w:t>
      </w:r>
    </w:p>
  </w:footnote>
  <w:footnote w:id="126">
    <w:p w14:paraId="64A96B45" w14:textId="77777777" w:rsidR="00795C3E" w:rsidRPr="00F6098C" w:rsidRDefault="00795C3E" w:rsidP="00795C3E">
      <w:pPr>
        <w:pStyle w:val="Notedebasdepage"/>
      </w:pPr>
      <w:r w:rsidRPr="00EA5A41">
        <w:rPr>
          <w:rStyle w:val="Appelnotedebasdep"/>
        </w:rPr>
        <w:footnoteRef/>
      </w:r>
      <w:r w:rsidRPr="008D7EB7">
        <w:rPr>
          <w:vertAlign w:val="superscript"/>
        </w:rPr>
        <w:t xml:space="preserve"> </w:t>
      </w:r>
      <w:r w:rsidRPr="008D7EB7">
        <w:t xml:space="preserve">Cour d’Appel de Liège du 26 février 1999 - </w:t>
      </w:r>
      <w:r w:rsidRPr="008D7EB7">
        <w:footnoteRef/>
      </w:r>
      <w:r w:rsidRPr="00F6098C">
        <w:t xml:space="preserve"> </w:t>
      </w:r>
      <w:r w:rsidRPr="008D7EB7">
        <w:t>Cass., arrêt du 29 mars 2001 (F.99.0077.F).</w:t>
      </w:r>
    </w:p>
  </w:footnote>
  <w:footnote w:id="127">
    <w:p w14:paraId="52851EE4" w14:textId="77777777" w:rsidR="00795C3E" w:rsidRPr="008D7EB7" w:rsidRDefault="00795C3E" w:rsidP="00795C3E">
      <w:pPr>
        <w:pStyle w:val="Notedebasdepage"/>
      </w:pPr>
      <w:r>
        <w:rPr>
          <w:rStyle w:val="Appelnotedebasdep"/>
        </w:rPr>
        <w:footnoteRef/>
      </w:r>
      <w:r w:rsidRPr="008D7EB7">
        <w:t xml:space="preserve"> Arrêts 18.030 et 18.296.</w:t>
      </w:r>
    </w:p>
  </w:footnote>
  <w:footnote w:id="128">
    <w:p w14:paraId="57FEEF16" w14:textId="77777777" w:rsidR="00795C3E" w:rsidRPr="00F6098C" w:rsidRDefault="00795C3E" w:rsidP="00795C3E">
      <w:pPr>
        <w:pStyle w:val="Notedebasdepage"/>
      </w:pPr>
      <w:r w:rsidRPr="00EA5A41">
        <w:rPr>
          <w:rStyle w:val="Appelnotedebasdep"/>
        </w:rPr>
        <w:footnoteRef/>
      </w:r>
      <w:r w:rsidRPr="008D7EB7">
        <w:rPr>
          <w:vertAlign w:val="superscript"/>
        </w:rPr>
        <w:t xml:space="preserve"> </w:t>
      </w:r>
      <w:r w:rsidRPr="008D7EB7">
        <w:t xml:space="preserve">Cour d’Appel de Liège du 26 février 1999 - </w:t>
      </w:r>
      <w:r w:rsidRPr="008D7EB7">
        <w:footnoteRef/>
      </w:r>
      <w:r w:rsidRPr="00F6098C">
        <w:t xml:space="preserve"> </w:t>
      </w:r>
      <w:r w:rsidRPr="008D7EB7">
        <w:t>Cass., arrêt du 29 mars 2001 (F.99.0077.F).</w:t>
      </w:r>
    </w:p>
  </w:footnote>
  <w:footnote w:id="129">
    <w:p w14:paraId="6A270C29" w14:textId="77777777" w:rsidR="00795C3E" w:rsidRPr="008D7EB7" w:rsidRDefault="00795C3E" w:rsidP="00795C3E">
      <w:pPr>
        <w:pStyle w:val="Notedebasdepage"/>
      </w:pPr>
      <w:r>
        <w:rPr>
          <w:rStyle w:val="Appelnotedebasdep"/>
        </w:rPr>
        <w:footnoteRef/>
      </w:r>
      <w:r w:rsidRPr="008D7EB7">
        <w:t xml:space="preserve"> Arrêts 18.030 et 18.296.</w:t>
      </w:r>
    </w:p>
  </w:footnote>
  <w:footnote w:id="130">
    <w:p w14:paraId="770A73AE" w14:textId="77777777" w:rsidR="00795C3E" w:rsidRPr="009665AF" w:rsidRDefault="00795C3E" w:rsidP="00795C3E">
      <w:pPr>
        <w:pStyle w:val="Notedebasdepage"/>
        <w:rPr>
          <w:lang w:val="fr-FR"/>
        </w:rPr>
      </w:pPr>
      <w:r>
        <w:rPr>
          <w:rStyle w:val="Appelnotedebasdep"/>
        </w:rPr>
        <w:footnoteRef/>
      </w:r>
      <w:r w:rsidRPr="009665AF">
        <w:rPr>
          <w:lang w:val="fr-FR"/>
        </w:rPr>
        <w:t xml:space="preserve"> Moniteur belge du 3 novembre 2021, p. 110899.</w:t>
      </w:r>
    </w:p>
  </w:footnote>
  <w:footnote w:id="131">
    <w:p w14:paraId="3BD1D92B" w14:textId="090D63D0" w:rsidR="1EBE8CDE" w:rsidRDefault="1EBE8CDE" w:rsidP="00AF606C">
      <w:pPr>
        <w:pStyle w:val="Notedebasdepage"/>
        <w:rPr>
          <w:rFonts w:ascii="Aptos" w:eastAsia="Aptos" w:hAnsi="Aptos" w:cs="Aptos"/>
          <w:i/>
          <w:iCs/>
          <w:sz w:val="18"/>
          <w:szCs w:val="18"/>
          <w:lang w:val="fr"/>
        </w:rPr>
      </w:pPr>
      <w:r w:rsidRPr="1EBE8CDE">
        <w:rPr>
          <w:rStyle w:val="Appelnotedebasdep"/>
        </w:rPr>
        <w:footnoteRef/>
      </w:r>
      <w:r>
        <w:t xml:space="preserve"> </w:t>
      </w:r>
      <w:r w:rsidRPr="1EBE8CDE">
        <w:rPr>
          <w:rFonts w:ascii="Aptos" w:eastAsia="Aptos" w:hAnsi="Aptos" w:cs="Aptos"/>
          <w:b/>
          <w:bCs/>
          <w:sz w:val="18"/>
          <w:szCs w:val="18"/>
          <w:lang w:val="fr-FR"/>
        </w:rPr>
        <w:t xml:space="preserve">Civ. Liège (div. Liège), 24 octobre 2024, 7e Ch., n° 23/4420/A </w:t>
      </w:r>
      <w:r w:rsidRPr="1EBE8CDE">
        <w:rPr>
          <w:rFonts w:ascii="Aptos" w:eastAsia="Aptos" w:hAnsi="Aptos" w:cs="Aptos"/>
          <w:i/>
          <w:iCs/>
          <w:sz w:val="18"/>
          <w:szCs w:val="18"/>
          <w:lang w:val="fr"/>
        </w:rPr>
        <w:t>S.M. et S.P. / Ville de Huy</w:t>
      </w:r>
    </w:p>
    <w:p w14:paraId="49D641CD" w14:textId="6D899852" w:rsidR="1EBE8CDE" w:rsidRDefault="1EBE8CDE" w:rsidP="1EBE8CDE">
      <w:pPr>
        <w:pStyle w:val="Notedebasdepage"/>
      </w:pPr>
    </w:p>
  </w:footnote>
  <w:footnote w:id="132">
    <w:p w14:paraId="6704E4E7" w14:textId="77777777" w:rsidR="00795C3E" w:rsidRPr="00E063FD" w:rsidRDefault="00795C3E" w:rsidP="00795C3E">
      <w:pPr>
        <w:pStyle w:val="Notedebasdepage"/>
      </w:pPr>
      <w:r>
        <w:rPr>
          <w:rStyle w:val="Appelnotedebasdep"/>
        </w:rPr>
        <w:footnoteRef/>
      </w:r>
      <w:r w:rsidRPr="008D7EB7">
        <w:t xml:space="preserve"> </w:t>
      </w:r>
      <w:r w:rsidRPr="00DA6BD2">
        <w:rPr>
          <w:rFonts w:cs="Calibri Light"/>
        </w:rPr>
        <w:t>Trib</w:t>
      </w:r>
      <w:r>
        <w:rPr>
          <w:rFonts w:cs="Calibri Light"/>
        </w:rPr>
        <w:t>unal</w:t>
      </w:r>
      <w:r w:rsidRPr="00DA6BD2">
        <w:rPr>
          <w:rFonts w:cs="Calibri Light"/>
        </w:rPr>
        <w:t xml:space="preserve"> Civ</w:t>
      </w:r>
      <w:r>
        <w:rPr>
          <w:rFonts w:cs="Calibri Light"/>
        </w:rPr>
        <w:t xml:space="preserve">il de </w:t>
      </w:r>
      <w:r w:rsidRPr="00DA6BD2">
        <w:rPr>
          <w:rFonts w:cs="Calibri Light"/>
        </w:rPr>
        <w:t>Namur, 25</w:t>
      </w:r>
      <w:r>
        <w:rPr>
          <w:rFonts w:cs="Calibri Light"/>
        </w:rPr>
        <w:t xml:space="preserve"> avril </w:t>
      </w:r>
      <w:r w:rsidRPr="00DA6BD2">
        <w:rPr>
          <w:rFonts w:cs="Calibri Light"/>
        </w:rPr>
        <w:t>2012</w:t>
      </w:r>
      <w:r>
        <w:rPr>
          <w:rFonts w:cs="Calibri Light"/>
        </w:rPr>
        <w:t>.</w:t>
      </w:r>
    </w:p>
  </w:footnote>
  <w:footnote w:id="133">
    <w:p w14:paraId="41CE5426" w14:textId="77777777" w:rsidR="00795C3E" w:rsidRPr="008D7EB7" w:rsidRDefault="00795C3E" w:rsidP="00795C3E">
      <w:pPr>
        <w:pStyle w:val="Notedebasdepage"/>
      </w:pPr>
      <w:r>
        <w:rPr>
          <w:rStyle w:val="Appelnotedebasdep"/>
        </w:rPr>
        <w:footnoteRef/>
      </w:r>
      <w:r w:rsidRPr="008D7EB7">
        <w:t xml:space="preserve"> </w:t>
      </w:r>
      <w:r w:rsidRPr="008D7EB7">
        <w:rPr>
          <w:rFonts w:cs="Calibri Light"/>
        </w:rPr>
        <w:t>Arrêts n°120.792 du 23.06.2003 et n°188.251 du 27.11.2008</w:t>
      </w:r>
    </w:p>
  </w:footnote>
  <w:footnote w:id="134">
    <w:p w14:paraId="237F14AA" w14:textId="77777777" w:rsidR="00795C3E" w:rsidRPr="008D7EB7" w:rsidRDefault="00795C3E" w:rsidP="00795C3E">
      <w:pPr>
        <w:pStyle w:val="Notedebasdepage"/>
      </w:pPr>
      <w:r>
        <w:rPr>
          <w:rStyle w:val="Appelnotedebasdep"/>
        </w:rPr>
        <w:footnoteRef/>
      </w:r>
      <w:r w:rsidRPr="008D7EB7">
        <w:t xml:space="preserve"> Cour de Cassation, 28 juin 2001, Liège/sa GB-UNIC.</w:t>
      </w:r>
    </w:p>
  </w:footnote>
  <w:footnote w:id="135">
    <w:p w14:paraId="5D4895F2" w14:textId="77777777" w:rsidR="00795C3E" w:rsidRPr="00AF2BBF" w:rsidRDefault="00795C3E" w:rsidP="00795C3E">
      <w:pPr>
        <w:pStyle w:val="Notedebasdepage"/>
      </w:pPr>
      <w:r w:rsidRPr="00AF2BBF">
        <w:rPr>
          <w:rStyle w:val="Appelnotedebasdep"/>
        </w:rPr>
        <w:footnoteRef/>
      </w:r>
      <w:r w:rsidRPr="00AF2BBF">
        <w:t xml:space="preserve"> </w:t>
      </w:r>
      <w:r w:rsidRPr="00AF2BBF">
        <w:rPr>
          <w:rFonts w:cs="Calibri Light"/>
          <w:spacing w:val="3"/>
        </w:rPr>
        <w:t>Cour d’Appel de Liège du 07.02.2017, Ville de LIEGE /THILMANY C.</w:t>
      </w:r>
    </w:p>
  </w:footnote>
  <w:footnote w:id="136">
    <w:p w14:paraId="3E983619" w14:textId="3AFF03D6" w:rsidR="6FFC1684" w:rsidRPr="00081ADF" w:rsidRDefault="6FFC1684" w:rsidP="00AF2BBF">
      <w:pPr>
        <w:rPr>
          <w:sz w:val="20"/>
          <w:szCs w:val="20"/>
        </w:rPr>
      </w:pPr>
      <w:r w:rsidRPr="00AF2BBF">
        <w:rPr>
          <w:rStyle w:val="Appelnotedebasdep"/>
          <w:sz w:val="20"/>
          <w:szCs w:val="20"/>
        </w:rPr>
        <w:footnoteRef/>
      </w:r>
      <w:r w:rsidRPr="00AF2BBF">
        <w:rPr>
          <w:b/>
          <w:bCs/>
          <w:sz w:val="20"/>
          <w:szCs w:val="20"/>
        </w:rPr>
        <w:t xml:space="preserve"> </w:t>
      </w:r>
      <w:r w:rsidRPr="00AF2BBF">
        <w:rPr>
          <w:color w:val="333840"/>
          <w:sz w:val="20"/>
          <w:szCs w:val="20"/>
        </w:rPr>
        <w:t>Cour de cassation – 02 mai 2024</w:t>
      </w:r>
      <w:r w:rsidR="00AF2BBF" w:rsidRPr="0013717D">
        <w:rPr>
          <w:color w:val="333840"/>
          <w:sz w:val="20"/>
          <w:szCs w:val="20"/>
        </w:rPr>
        <w:t xml:space="preserve"> </w:t>
      </w:r>
      <w:r w:rsidRPr="00AF2BBF">
        <w:rPr>
          <w:sz w:val="20"/>
          <w:szCs w:val="20"/>
        </w:rPr>
        <w:t>F.23.0096.N</w:t>
      </w:r>
      <w:r w:rsidRPr="00EE7B3D">
        <w:rPr>
          <w:sz w:val="20"/>
          <w:szCs w:val="20"/>
        </w:rPr>
        <w:t xml:space="preserve"> publié sur www.cass.be</w:t>
      </w:r>
    </w:p>
    <w:p w14:paraId="3C80F9DC" w14:textId="3D8D9BCA" w:rsidR="6FFC1684" w:rsidRDefault="6FFC1684" w:rsidP="6FFC1684">
      <w:pPr>
        <w:pStyle w:val="Notedebasdepage"/>
      </w:pPr>
    </w:p>
  </w:footnote>
  <w:footnote w:id="137">
    <w:p w14:paraId="44AD5D19" w14:textId="77777777" w:rsidR="00795C3E" w:rsidRPr="003167C2" w:rsidRDefault="00795C3E" w:rsidP="00795C3E">
      <w:pPr>
        <w:pStyle w:val="Notedebasdepage"/>
        <w:rPr>
          <w:lang w:val="fr-FR"/>
        </w:rPr>
      </w:pPr>
      <w:r>
        <w:rPr>
          <w:rStyle w:val="Appelnotedebasdep"/>
        </w:rPr>
        <w:footnoteRef/>
      </w:r>
      <w:r w:rsidRPr="003167C2">
        <w:rPr>
          <w:lang w:val="fr-FR"/>
        </w:rPr>
        <w:t xml:space="preserve"> </w:t>
      </w:r>
      <w:r w:rsidRPr="006E21E5">
        <w:rPr>
          <w:lang w:val="fr-FR"/>
        </w:rPr>
        <w:t>L.R.B. 2022 (sommaire DE JONCKHEERE, M., DE JONCKHEERE, T.), liv. 1, 63</w:t>
      </w:r>
    </w:p>
  </w:footnote>
  <w:footnote w:id="138">
    <w:p w14:paraId="49D96F68" w14:textId="77777777" w:rsidR="00795C3E" w:rsidRPr="00DF580A" w:rsidRDefault="00795C3E" w:rsidP="00795C3E">
      <w:pPr>
        <w:pStyle w:val="Notedebasdepage"/>
        <w:rPr>
          <w:lang w:val="fr-FR"/>
        </w:rPr>
      </w:pPr>
      <w:r>
        <w:rPr>
          <w:rStyle w:val="Appelnotedebasdep"/>
        </w:rPr>
        <w:footnoteRef/>
      </w:r>
      <w:r w:rsidRPr="00DF580A">
        <w:rPr>
          <w:lang w:val="fr-FR"/>
        </w:rPr>
        <w:t xml:space="preserve"> </w:t>
      </w:r>
      <w:r>
        <w:rPr>
          <w:lang w:val="fr-FR"/>
        </w:rPr>
        <w:t>Cour constitutionnelle, n°67/2000 du 14 juin 2000</w:t>
      </w:r>
    </w:p>
  </w:footnote>
  <w:footnote w:id="139">
    <w:p w14:paraId="3593D521" w14:textId="77777777" w:rsidR="00795C3E" w:rsidRPr="00DF580A" w:rsidRDefault="00795C3E" w:rsidP="00795C3E">
      <w:pPr>
        <w:pStyle w:val="Notedebasdepage"/>
        <w:rPr>
          <w:lang w:val="fr-FR"/>
        </w:rPr>
      </w:pPr>
      <w:r>
        <w:rPr>
          <w:rStyle w:val="Appelnotedebasdep"/>
        </w:rPr>
        <w:footnoteRef/>
      </w:r>
      <w:r w:rsidRPr="00DF580A">
        <w:rPr>
          <w:lang w:val="fr-FR"/>
        </w:rPr>
        <w:t xml:space="preserve"> </w:t>
      </w:r>
      <w:r>
        <w:rPr>
          <w:lang w:val="fr-FR"/>
        </w:rPr>
        <w:t>Conseil d’Etat, arrêt n°100.546 du 6 novembre 2001</w:t>
      </w:r>
    </w:p>
  </w:footnote>
  <w:footnote w:id="140">
    <w:p w14:paraId="03641F7E" w14:textId="77777777" w:rsidR="00795C3E" w:rsidRPr="00E063FD" w:rsidRDefault="00795C3E" w:rsidP="00795C3E">
      <w:pPr>
        <w:pStyle w:val="Notedebasdepage"/>
      </w:pPr>
      <w:r>
        <w:rPr>
          <w:rStyle w:val="Appelnotedebasdep"/>
        </w:rPr>
        <w:footnoteRef/>
      </w:r>
      <w:r w:rsidRPr="008D7EB7">
        <w:t xml:space="preserve"> </w:t>
      </w:r>
      <w:r w:rsidRPr="008D7EB7">
        <w:rPr>
          <w:rFonts w:cs="Calibri Light"/>
        </w:rPr>
        <w:t>Décret du 23 février 2006, Moniteur belge du 7 mars 2006</w:t>
      </w:r>
    </w:p>
  </w:footnote>
  <w:footnote w:id="141">
    <w:p w14:paraId="3318E9B5" w14:textId="77777777" w:rsidR="00795C3E" w:rsidRPr="00256E9F" w:rsidRDefault="00795C3E" w:rsidP="00795C3E">
      <w:pPr>
        <w:pStyle w:val="Notedebasdepage"/>
      </w:pPr>
      <w:r>
        <w:rPr>
          <w:rStyle w:val="Appelnotedebasdep"/>
        </w:rPr>
        <w:footnoteRef/>
      </w:r>
      <w:r w:rsidRPr="009665AF">
        <w:rPr>
          <w:lang w:val="fr-FR"/>
        </w:rPr>
        <w:t xml:space="preserve"> P.W. – </w:t>
      </w:r>
      <w:r>
        <w:t xml:space="preserve">C.R.A.C.N°22 (2019-2020) du 22 octobre 2019 p.36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5634" w14:textId="50ED961B" w:rsidR="001E3978" w:rsidRDefault="001E3978">
    <w:pPr>
      <w:pStyle w:val="En-tte"/>
    </w:pPr>
    <w:r>
      <w:t>14</w:t>
    </w:r>
  </w:p>
  <w:p w14:paraId="59C63501" w14:textId="77777777" w:rsidR="001E3978" w:rsidRDefault="001E3978">
    <w:pPr>
      <w:pStyle w:val="En-tte"/>
    </w:pPr>
  </w:p>
</w:hdr>
</file>

<file path=word/intelligence2.xml><?xml version="1.0" encoding="utf-8"?>
<int2:intelligence xmlns:int2="http://schemas.microsoft.com/office/intelligence/2020/intelligence" xmlns:oel="http://schemas.microsoft.com/office/2019/extlst">
  <int2:observations>
    <int2:bookmark int2:bookmarkName="_Int_jjGquC9n" int2:invalidationBookmarkName="" int2:hashCode="2oQlxKMLJE7U0x" int2:id="eD5QyWJ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E7BC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4302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7BA3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4"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tyl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lvl w:ilvl="0">
      <w:start w:val="1"/>
      <w:numFmt w:val="decimal"/>
      <w:pStyle w:val="Titre11"/>
      <w:suff w:val="nothing"/>
      <w:lvlText w:val="%1"/>
      <w:lvlJc w:val="left"/>
      <w:pPr>
        <w:tabs>
          <w:tab w:val="num" w:pos="0"/>
        </w:tabs>
        <w:ind w:left="0" w:firstLine="0"/>
      </w:pPr>
    </w:lvl>
    <w:lvl w:ilvl="1">
      <w:start w:val="1"/>
      <w:numFmt w:val="decimal"/>
      <w:pStyle w:val="Titre21"/>
      <w:suff w:val="nothing"/>
      <w:lvlText w:val="%2"/>
      <w:lvlJc w:val="left"/>
      <w:pPr>
        <w:tabs>
          <w:tab w:val="num" w:pos="0"/>
        </w:tabs>
        <w:ind w:left="0" w:firstLine="0"/>
      </w:pPr>
    </w:lvl>
    <w:lvl w:ilvl="2">
      <w:numFmt w:val="decimal"/>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pStyle w:val="Titre51"/>
      <w:suff w:val="nothing"/>
      <w:lvlText w:val="%5"/>
      <w:lvlJc w:val="left"/>
      <w:pPr>
        <w:tabs>
          <w:tab w:val="num" w:pos="0"/>
        </w:tabs>
        <w:ind w:left="0" w:firstLine="0"/>
      </w:pPr>
    </w:lvl>
    <w:lvl w:ilvl="5">
      <w:start w:val="1"/>
      <w:numFmt w:val="decimal"/>
      <w:pStyle w:val="Titre61"/>
      <w:suff w:val="nothing"/>
      <w:lvlText w:val="%6"/>
      <w:lvlJc w:val="left"/>
      <w:pPr>
        <w:tabs>
          <w:tab w:val="num" w:pos="0"/>
        </w:tabs>
        <w:ind w:left="0" w:firstLine="0"/>
      </w:pPr>
    </w:lvl>
    <w:lvl w:ilvl="6">
      <w:start w:val="1"/>
      <w:numFmt w:val="decimal"/>
      <w:pStyle w:val="Titre71"/>
      <w:suff w:val="nothing"/>
      <w:lvlText w:val="%7"/>
      <w:lvlJc w:val="left"/>
      <w:pPr>
        <w:tabs>
          <w:tab w:val="num" w:pos="0"/>
        </w:tabs>
        <w:ind w:left="0" w:firstLine="0"/>
      </w:pPr>
    </w:lvl>
    <w:lvl w:ilvl="7">
      <w:start w:val="1"/>
      <w:numFmt w:val="decimal"/>
      <w:pStyle w:val="Titre81"/>
      <w:suff w:val="nothing"/>
      <w:lvlText w:val="%8"/>
      <w:lvlJc w:val="left"/>
      <w:pPr>
        <w:tabs>
          <w:tab w:val="num" w:pos="0"/>
        </w:tabs>
        <w:ind w:left="0" w:firstLine="0"/>
      </w:pPr>
    </w:lvl>
    <w:lvl w:ilvl="8">
      <w:start w:val="1"/>
      <w:numFmt w:val="decimal"/>
      <w:pStyle w:val="Titre91"/>
      <w:suff w:val="nothing"/>
      <w:lvlText w:val="%9"/>
      <w:lvlJc w:val="left"/>
      <w:pPr>
        <w:tabs>
          <w:tab w:val="num" w:pos="0"/>
        </w:tabs>
        <w:ind w:left="0" w:firstLine="0"/>
      </w:pPr>
    </w:lvl>
  </w:abstractNum>
  <w:abstractNum w:abstractNumId="10" w15:restartNumberingAfterBreak="0">
    <w:nsid w:val="002B3290"/>
    <w:multiLevelType w:val="hybridMultilevel"/>
    <w:tmpl w:val="FD58D798"/>
    <w:lvl w:ilvl="0" w:tplc="C5A861E6">
      <w:start w:val="2"/>
      <w:numFmt w:val="lowerLetter"/>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08D3D09"/>
    <w:multiLevelType w:val="hybridMultilevel"/>
    <w:tmpl w:val="FFFFFFFF"/>
    <w:lvl w:ilvl="0" w:tplc="B2A05BDC">
      <w:start w:val="1"/>
      <w:numFmt w:val="bullet"/>
      <w:lvlText w:val="·"/>
      <w:lvlJc w:val="left"/>
      <w:pPr>
        <w:ind w:left="720" w:hanging="360"/>
      </w:pPr>
      <w:rPr>
        <w:rFonts w:ascii="Symbol" w:hAnsi="Symbol" w:hint="default"/>
      </w:rPr>
    </w:lvl>
    <w:lvl w:ilvl="1" w:tplc="A4E2E858">
      <w:start w:val="1"/>
      <w:numFmt w:val="bullet"/>
      <w:lvlText w:val="o"/>
      <w:lvlJc w:val="left"/>
      <w:pPr>
        <w:ind w:left="1440" w:hanging="360"/>
      </w:pPr>
      <w:rPr>
        <w:rFonts w:ascii="Courier New" w:hAnsi="Courier New" w:hint="default"/>
      </w:rPr>
    </w:lvl>
    <w:lvl w:ilvl="2" w:tplc="1A7C63B2">
      <w:start w:val="1"/>
      <w:numFmt w:val="bullet"/>
      <w:lvlText w:val=""/>
      <w:lvlJc w:val="left"/>
      <w:pPr>
        <w:ind w:left="2160" w:hanging="360"/>
      </w:pPr>
      <w:rPr>
        <w:rFonts w:ascii="Wingdings" w:hAnsi="Wingdings" w:hint="default"/>
      </w:rPr>
    </w:lvl>
    <w:lvl w:ilvl="3" w:tplc="FEDE1E22">
      <w:start w:val="1"/>
      <w:numFmt w:val="bullet"/>
      <w:lvlText w:val=""/>
      <w:lvlJc w:val="left"/>
      <w:pPr>
        <w:ind w:left="2880" w:hanging="360"/>
      </w:pPr>
      <w:rPr>
        <w:rFonts w:ascii="Symbol" w:hAnsi="Symbol" w:hint="default"/>
      </w:rPr>
    </w:lvl>
    <w:lvl w:ilvl="4" w:tplc="78605858">
      <w:start w:val="1"/>
      <w:numFmt w:val="bullet"/>
      <w:lvlText w:val="o"/>
      <w:lvlJc w:val="left"/>
      <w:pPr>
        <w:ind w:left="3600" w:hanging="360"/>
      </w:pPr>
      <w:rPr>
        <w:rFonts w:ascii="Courier New" w:hAnsi="Courier New" w:hint="default"/>
      </w:rPr>
    </w:lvl>
    <w:lvl w:ilvl="5" w:tplc="91C4B804">
      <w:start w:val="1"/>
      <w:numFmt w:val="bullet"/>
      <w:lvlText w:val=""/>
      <w:lvlJc w:val="left"/>
      <w:pPr>
        <w:ind w:left="4320" w:hanging="360"/>
      </w:pPr>
      <w:rPr>
        <w:rFonts w:ascii="Wingdings" w:hAnsi="Wingdings" w:hint="default"/>
      </w:rPr>
    </w:lvl>
    <w:lvl w:ilvl="6" w:tplc="1EC253C6">
      <w:start w:val="1"/>
      <w:numFmt w:val="bullet"/>
      <w:lvlText w:val=""/>
      <w:lvlJc w:val="left"/>
      <w:pPr>
        <w:ind w:left="5040" w:hanging="360"/>
      </w:pPr>
      <w:rPr>
        <w:rFonts w:ascii="Symbol" w:hAnsi="Symbol" w:hint="default"/>
      </w:rPr>
    </w:lvl>
    <w:lvl w:ilvl="7" w:tplc="459A8DCC">
      <w:start w:val="1"/>
      <w:numFmt w:val="bullet"/>
      <w:lvlText w:val="o"/>
      <w:lvlJc w:val="left"/>
      <w:pPr>
        <w:ind w:left="5760" w:hanging="360"/>
      </w:pPr>
      <w:rPr>
        <w:rFonts w:ascii="Courier New" w:hAnsi="Courier New" w:hint="default"/>
      </w:rPr>
    </w:lvl>
    <w:lvl w:ilvl="8" w:tplc="40D80D66">
      <w:start w:val="1"/>
      <w:numFmt w:val="bullet"/>
      <w:lvlText w:val=""/>
      <w:lvlJc w:val="left"/>
      <w:pPr>
        <w:ind w:left="6480" w:hanging="360"/>
      </w:pPr>
      <w:rPr>
        <w:rFonts w:ascii="Wingdings" w:hAnsi="Wingdings" w:hint="default"/>
      </w:rPr>
    </w:lvl>
  </w:abstractNum>
  <w:abstractNum w:abstractNumId="12" w15:restartNumberingAfterBreak="0">
    <w:nsid w:val="01252962"/>
    <w:multiLevelType w:val="hybridMultilevel"/>
    <w:tmpl w:val="8C9A926C"/>
    <w:lvl w:ilvl="0" w:tplc="CE645C9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1426235"/>
    <w:multiLevelType w:val="hybridMultilevel"/>
    <w:tmpl w:val="C1906A62"/>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17A4EE0"/>
    <w:multiLevelType w:val="multilevel"/>
    <w:tmpl w:val="A2DAFB80"/>
    <w:lvl w:ilvl="0">
      <w:start w:val="1"/>
      <w:numFmt w:val="lowerLetter"/>
      <w:lvlText w:val="%1)"/>
      <w:lvlJc w:val="left"/>
      <w:pPr>
        <w:tabs>
          <w:tab w:val="left" w:pos="360"/>
        </w:tabs>
        <w:ind w:left="720"/>
      </w:pPr>
      <w:rPr>
        <w:rFonts w:asciiTheme="minorHAnsi" w:eastAsiaTheme="minorEastAsia" w:hAnsiTheme="minorHAnsi" w:cs="Calibri Light"/>
        <w:strike w:val="0"/>
        <w:color w:val="000000"/>
        <w:spacing w:val="0"/>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23144D4"/>
    <w:multiLevelType w:val="multilevel"/>
    <w:tmpl w:val="67685F8E"/>
    <w:lvl w:ilvl="0">
      <w:start w:val="1"/>
      <w:numFmt w:val="bullet"/>
      <w:lvlText w:val=""/>
      <w:lvlJc w:val="left"/>
      <w:pPr>
        <w:tabs>
          <w:tab w:val="left" w:pos="-148"/>
        </w:tabs>
        <w:ind w:left="284"/>
      </w:pPr>
      <w:rPr>
        <w:rFonts w:ascii="Wingdings" w:hAnsi="Wingdings" w:hint="default"/>
        <w:strike w:val="0"/>
        <w:color w:val="000000"/>
        <w:spacing w:val="0"/>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25406FB"/>
    <w:multiLevelType w:val="hybridMultilevel"/>
    <w:tmpl w:val="FE968E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4B6EA5"/>
    <w:multiLevelType w:val="multilevel"/>
    <w:tmpl w:val="11EA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612773"/>
    <w:multiLevelType w:val="hybridMultilevel"/>
    <w:tmpl w:val="2E28164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9" w15:restartNumberingAfterBreak="0">
    <w:nsid w:val="06047DD3"/>
    <w:multiLevelType w:val="multilevel"/>
    <w:tmpl w:val="B882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6D3678"/>
    <w:multiLevelType w:val="hybridMultilevel"/>
    <w:tmpl w:val="CEEA79B8"/>
    <w:lvl w:ilvl="0" w:tplc="E9866BC6">
      <w:numFmt w:val="bullet"/>
      <w:lvlText w:val="-"/>
      <w:lvlJc w:val="left"/>
      <w:pPr>
        <w:ind w:left="360" w:hanging="360"/>
      </w:pPr>
      <w:rPr>
        <w:rFonts w:ascii="Calibri" w:eastAsia="Times New Roman"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06826983"/>
    <w:multiLevelType w:val="hybridMultilevel"/>
    <w:tmpl w:val="1ABABE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07C83DEA"/>
    <w:multiLevelType w:val="hybridMultilevel"/>
    <w:tmpl w:val="ED16F1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080566F4"/>
    <w:multiLevelType w:val="hybridMultilevel"/>
    <w:tmpl w:val="EB8E61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9B9328E"/>
    <w:multiLevelType w:val="hybridMultilevel"/>
    <w:tmpl w:val="40D0C2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0AA05A97"/>
    <w:multiLevelType w:val="hybridMultilevel"/>
    <w:tmpl w:val="0B54D95E"/>
    <w:lvl w:ilvl="0" w:tplc="571641EA">
      <w:start w:val="1"/>
      <w:numFmt w:val="decimal"/>
      <w:pStyle w:val="Titre2"/>
      <w:lvlText w:val="%1."/>
      <w:lvlJc w:val="left"/>
      <w:pPr>
        <w:ind w:left="786" w:hanging="360"/>
      </w:p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26" w15:restartNumberingAfterBreak="0">
    <w:nsid w:val="0ACA10DF"/>
    <w:multiLevelType w:val="hybridMultilevel"/>
    <w:tmpl w:val="1BF2521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0B53198F"/>
    <w:multiLevelType w:val="multilevel"/>
    <w:tmpl w:val="519C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BBCFED4"/>
    <w:multiLevelType w:val="hybridMultilevel"/>
    <w:tmpl w:val="A0F425D0"/>
    <w:lvl w:ilvl="0" w:tplc="0DCA6A00">
      <w:start w:val="1"/>
      <w:numFmt w:val="bullet"/>
      <w:lvlText w:val="-"/>
      <w:lvlJc w:val="left"/>
      <w:pPr>
        <w:ind w:left="720" w:hanging="360"/>
      </w:pPr>
      <w:rPr>
        <w:rFonts w:ascii="Aptos" w:hAnsi="Aptos" w:hint="default"/>
      </w:rPr>
    </w:lvl>
    <w:lvl w:ilvl="1" w:tplc="E45087B0">
      <w:start w:val="1"/>
      <w:numFmt w:val="bullet"/>
      <w:lvlText w:val="o"/>
      <w:lvlJc w:val="left"/>
      <w:pPr>
        <w:ind w:left="1440" w:hanging="360"/>
      </w:pPr>
      <w:rPr>
        <w:rFonts w:ascii="Courier New" w:hAnsi="Courier New" w:hint="default"/>
      </w:rPr>
    </w:lvl>
    <w:lvl w:ilvl="2" w:tplc="CC50A890">
      <w:start w:val="1"/>
      <w:numFmt w:val="bullet"/>
      <w:lvlText w:val=""/>
      <w:lvlJc w:val="left"/>
      <w:pPr>
        <w:ind w:left="2160" w:hanging="360"/>
      </w:pPr>
      <w:rPr>
        <w:rFonts w:ascii="Wingdings" w:hAnsi="Wingdings" w:hint="default"/>
      </w:rPr>
    </w:lvl>
    <w:lvl w:ilvl="3" w:tplc="3732CE6E">
      <w:start w:val="1"/>
      <w:numFmt w:val="bullet"/>
      <w:lvlText w:val=""/>
      <w:lvlJc w:val="left"/>
      <w:pPr>
        <w:ind w:left="2880" w:hanging="360"/>
      </w:pPr>
      <w:rPr>
        <w:rFonts w:ascii="Symbol" w:hAnsi="Symbol" w:hint="default"/>
      </w:rPr>
    </w:lvl>
    <w:lvl w:ilvl="4" w:tplc="ED7C6766">
      <w:start w:val="1"/>
      <w:numFmt w:val="bullet"/>
      <w:lvlText w:val="o"/>
      <w:lvlJc w:val="left"/>
      <w:pPr>
        <w:ind w:left="3600" w:hanging="360"/>
      </w:pPr>
      <w:rPr>
        <w:rFonts w:ascii="Courier New" w:hAnsi="Courier New" w:hint="default"/>
      </w:rPr>
    </w:lvl>
    <w:lvl w:ilvl="5" w:tplc="4D0C3842">
      <w:start w:val="1"/>
      <w:numFmt w:val="bullet"/>
      <w:lvlText w:val=""/>
      <w:lvlJc w:val="left"/>
      <w:pPr>
        <w:ind w:left="4320" w:hanging="360"/>
      </w:pPr>
      <w:rPr>
        <w:rFonts w:ascii="Wingdings" w:hAnsi="Wingdings" w:hint="default"/>
      </w:rPr>
    </w:lvl>
    <w:lvl w:ilvl="6" w:tplc="9FD43232">
      <w:start w:val="1"/>
      <w:numFmt w:val="bullet"/>
      <w:lvlText w:val=""/>
      <w:lvlJc w:val="left"/>
      <w:pPr>
        <w:ind w:left="5040" w:hanging="360"/>
      </w:pPr>
      <w:rPr>
        <w:rFonts w:ascii="Symbol" w:hAnsi="Symbol" w:hint="default"/>
      </w:rPr>
    </w:lvl>
    <w:lvl w:ilvl="7" w:tplc="F70AEADE">
      <w:start w:val="1"/>
      <w:numFmt w:val="bullet"/>
      <w:lvlText w:val="o"/>
      <w:lvlJc w:val="left"/>
      <w:pPr>
        <w:ind w:left="5760" w:hanging="360"/>
      </w:pPr>
      <w:rPr>
        <w:rFonts w:ascii="Courier New" w:hAnsi="Courier New" w:hint="default"/>
      </w:rPr>
    </w:lvl>
    <w:lvl w:ilvl="8" w:tplc="DB6E9744">
      <w:start w:val="1"/>
      <w:numFmt w:val="bullet"/>
      <w:lvlText w:val=""/>
      <w:lvlJc w:val="left"/>
      <w:pPr>
        <w:ind w:left="6480" w:hanging="360"/>
      </w:pPr>
      <w:rPr>
        <w:rFonts w:ascii="Wingdings" w:hAnsi="Wingdings" w:hint="default"/>
      </w:rPr>
    </w:lvl>
  </w:abstractNum>
  <w:abstractNum w:abstractNumId="29" w15:restartNumberingAfterBreak="0">
    <w:nsid w:val="0C8B5ECB"/>
    <w:multiLevelType w:val="hybridMultilevel"/>
    <w:tmpl w:val="20E0B8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CA41228"/>
    <w:multiLevelType w:val="hybridMultilevel"/>
    <w:tmpl w:val="591ABCD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CF70A27"/>
    <w:multiLevelType w:val="hybridMultilevel"/>
    <w:tmpl w:val="01BC00E6"/>
    <w:lvl w:ilvl="0" w:tplc="0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0DEF2CB0"/>
    <w:multiLevelType w:val="hybridMultilevel"/>
    <w:tmpl w:val="4FFE5D70"/>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E6D4365"/>
    <w:multiLevelType w:val="hybridMultilevel"/>
    <w:tmpl w:val="FFFFFFFF"/>
    <w:lvl w:ilvl="0" w:tplc="9E0C9D76">
      <w:start w:val="1"/>
      <w:numFmt w:val="bullet"/>
      <w:lvlText w:val="·"/>
      <w:lvlJc w:val="left"/>
      <w:pPr>
        <w:ind w:left="720" w:hanging="360"/>
      </w:pPr>
      <w:rPr>
        <w:rFonts w:ascii="Symbol" w:hAnsi="Symbol" w:hint="default"/>
      </w:rPr>
    </w:lvl>
    <w:lvl w:ilvl="1" w:tplc="4308D6CA">
      <w:start w:val="1"/>
      <w:numFmt w:val="bullet"/>
      <w:lvlText w:val="o"/>
      <w:lvlJc w:val="left"/>
      <w:pPr>
        <w:ind w:left="1440" w:hanging="360"/>
      </w:pPr>
      <w:rPr>
        <w:rFonts w:ascii="Courier New" w:hAnsi="Courier New" w:hint="default"/>
      </w:rPr>
    </w:lvl>
    <w:lvl w:ilvl="2" w:tplc="C682E74A">
      <w:start w:val="1"/>
      <w:numFmt w:val="bullet"/>
      <w:lvlText w:val=""/>
      <w:lvlJc w:val="left"/>
      <w:pPr>
        <w:ind w:left="2160" w:hanging="360"/>
      </w:pPr>
      <w:rPr>
        <w:rFonts w:ascii="Wingdings" w:hAnsi="Wingdings" w:hint="default"/>
      </w:rPr>
    </w:lvl>
    <w:lvl w:ilvl="3" w:tplc="925C77C0">
      <w:start w:val="1"/>
      <w:numFmt w:val="bullet"/>
      <w:lvlText w:val=""/>
      <w:lvlJc w:val="left"/>
      <w:pPr>
        <w:ind w:left="2880" w:hanging="360"/>
      </w:pPr>
      <w:rPr>
        <w:rFonts w:ascii="Symbol" w:hAnsi="Symbol" w:hint="default"/>
      </w:rPr>
    </w:lvl>
    <w:lvl w:ilvl="4" w:tplc="A5B24AC8">
      <w:start w:val="1"/>
      <w:numFmt w:val="bullet"/>
      <w:lvlText w:val="o"/>
      <w:lvlJc w:val="left"/>
      <w:pPr>
        <w:ind w:left="3600" w:hanging="360"/>
      </w:pPr>
      <w:rPr>
        <w:rFonts w:ascii="Courier New" w:hAnsi="Courier New" w:hint="default"/>
      </w:rPr>
    </w:lvl>
    <w:lvl w:ilvl="5" w:tplc="41C6C7B8">
      <w:start w:val="1"/>
      <w:numFmt w:val="bullet"/>
      <w:lvlText w:val=""/>
      <w:lvlJc w:val="left"/>
      <w:pPr>
        <w:ind w:left="4320" w:hanging="360"/>
      </w:pPr>
      <w:rPr>
        <w:rFonts w:ascii="Wingdings" w:hAnsi="Wingdings" w:hint="default"/>
      </w:rPr>
    </w:lvl>
    <w:lvl w:ilvl="6" w:tplc="5D702B74">
      <w:start w:val="1"/>
      <w:numFmt w:val="bullet"/>
      <w:lvlText w:val=""/>
      <w:lvlJc w:val="left"/>
      <w:pPr>
        <w:ind w:left="5040" w:hanging="360"/>
      </w:pPr>
      <w:rPr>
        <w:rFonts w:ascii="Symbol" w:hAnsi="Symbol" w:hint="default"/>
      </w:rPr>
    </w:lvl>
    <w:lvl w:ilvl="7" w:tplc="620A9312">
      <w:start w:val="1"/>
      <w:numFmt w:val="bullet"/>
      <w:lvlText w:val="o"/>
      <w:lvlJc w:val="left"/>
      <w:pPr>
        <w:ind w:left="5760" w:hanging="360"/>
      </w:pPr>
      <w:rPr>
        <w:rFonts w:ascii="Courier New" w:hAnsi="Courier New" w:hint="default"/>
      </w:rPr>
    </w:lvl>
    <w:lvl w:ilvl="8" w:tplc="C07602A8">
      <w:start w:val="1"/>
      <w:numFmt w:val="bullet"/>
      <w:lvlText w:val=""/>
      <w:lvlJc w:val="left"/>
      <w:pPr>
        <w:ind w:left="6480" w:hanging="360"/>
      </w:pPr>
      <w:rPr>
        <w:rFonts w:ascii="Wingdings" w:hAnsi="Wingdings" w:hint="default"/>
      </w:rPr>
    </w:lvl>
  </w:abstractNum>
  <w:abstractNum w:abstractNumId="34" w15:restartNumberingAfterBreak="0">
    <w:nsid w:val="0F1D79EC"/>
    <w:multiLevelType w:val="hybridMultilevel"/>
    <w:tmpl w:val="56F0CD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110C1F69"/>
    <w:multiLevelType w:val="hybridMultilevel"/>
    <w:tmpl w:val="7020F8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2BF453A"/>
    <w:multiLevelType w:val="hybridMultilevel"/>
    <w:tmpl w:val="FFFFFFFF"/>
    <w:lvl w:ilvl="0" w:tplc="42F077FE">
      <w:start w:val="1"/>
      <w:numFmt w:val="bullet"/>
      <w:lvlText w:val="·"/>
      <w:lvlJc w:val="left"/>
      <w:pPr>
        <w:ind w:left="720" w:hanging="360"/>
      </w:pPr>
      <w:rPr>
        <w:rFonts w:ascii="Symbol" w:hAnsi="Symbol" w:hint="default"/>
      </w:rPr>
    </w:lvl>
    <w:lvl w:ilvl="1" w:tplc="B874D734">
      <w:start w:val="1"/>
      <w:numFmt w:val="bullet"/>
      <w:lvlText w:val="o"/>
      <w:lvlJc w:val="left"/>
      <w:pPr>
        <w:ind w:left="1440" w:hanging="360"/>
      </w:pPr>
      <w:rPr>
        <w:rFonts w:ascii="Courier New" w:hAnsi="Courier New" w:hint="default"/>
      </w:rPr>
    </w:lvl>
    <w:lvl w:ilvl="2" w:tplc="74928628">
      <w:start w:val="1"/>
      <w:numFmt w:val="bullet"/>
      <w:lvlText w:val=""/>
      <w:lvlJc w:val="left"/>
      <w:pPr>
        <w:ind w:left="2160" w:hanging="360"/>
      </w:pPr>
      <w:rPr>
        <w:rFonts w:ascii="Wingdings" w:hAnsi="Wingdings" w:hint="default"/>
      </w:rPr>
    </w:lvl>
    <w:lvl w:ilvl="3" w:tplc="530C7C14">
      <w:start w:val="1"/>
      <w:numFmt w:val="bullet"/>
      <w:lvlText w:val=""/>
      <w:lvlJc w:val="left"/>
      <w:pPr>
        <w:ind w:left="2880" w:hanging="360"/>
      </w:pPr>
      <w:rPr>
        <w:rFonts w:ascii="Symbol" w:hAnsi="Symbol" w:hint="default"/>
      </w:rPr>
    </w:lvl>
    <w:lvl w:ilvl="4" w:tplc="90965B24">
      <w:start w:val="1"/>
      <w:numFmt w:val="bullet"/>
      <w:lvlText w:val="o"/>
      <w:lvlJc w:val="left"/>
      <w:pPr>
        <w:ind w:left="3600" w:hanging="360"/>
      </w:pPr>
      <w:rPr>
        <w:rFonts w:ascii="Courier New" w:hAnsi="Courier New" w:hint="default"/>
      </w:rPr>
    </w:lvl>
    <w:lvl w:ilvl="5" w:tplc="C5ACEA4C">
      <w:start w:val="1"/>
      <w:numFmt w:val="bullet"/>
      <w:lvlText w:val=""/>
      <w:lvlJc w:val="left"/>
      <w:pPr>
        <w:ind w:left="4320" w:hanging="360"/>
      </w:pPr>
      <w:rPr>
        <w:rFonts w:ascii="Wingdings" w:hAnsi="Wingdings" w:hint="default"/>
      </w:rPr>
    </w:lvl>
    <w:lvl w:ilvl="6" w:tplc="2B884900">
      <w:start w:val="1"/>
      <w:numFmt w:val="bullet"/>
      <w:lvlText w:val=""/>
      <w:lvlJc w:val="left"/>
      <w:pPr>
        <w:ind w:left="5040" w:hanging="360"/>
      </w:pPr>
      <w:rPr>
        <w:rFonts w:ascii="Symbol" w:hAnsi="Symbol" w:hint="default"/>
      </w:rPr>
    </w:lvl>
    <w:lvl w:ilvl="7" w:tplc="19009D28">
      <w:start w:val="1"/>
      <w:numFmt w:val="bullet"/>
      <w:lvlText w:val="o"/>
      <w:lvlJc w:val="left"/>
      <w:pPr>
        <w:ind w:left="5760" w:hanging="360"/>
      </w:pPr>
      <w:rPr>
        <w:rFonts w:ascii="Courier New" w:hAnsi="Courier New" w:hint="default"/>
      </w:rPr>
    </w:lvl>
    <w:lvl w:ilvl="8" w:tplc="6FD25628">
      <w:start w:val="1"/>
      <w:numFmt w:val="bullet"/>
      <w:lvlText w:val=""/>
      <w:lvlJc w:val="left"/>
      <w:pPr>
        <w:ind w:left="6480" w:hanging="360"/>
      </w:pPr>
      <w:rPr>
        <w:rFonts w:ascii="Wingdings" w:hAnsi="Wingdings" w:hint="default"/>
      </w:rPr>
    </w:lvl>
  </w:abstractNum>
  <w:abstractNum w:abstractNumId="37" w15:restartNumberingAfterBreak="0">
    <w:nsid w:val="12C1194D"/>
    <w:multiLevelType w:val="hybridMultilevel"/>
    <w:tmpl w:val="A9829320"/>
    <w:lvl w:ilvl="0" w:tplc="DB946C70">
      <w:start w:val="2"/>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1432721C"/>
    <w:multiLevelType w:val="hybridMultilevel"/>
    <w:tmpl w:val="B6380706"/>
    <w:lvl w:ilvl="0" w:tplc="A3162294">
      <w:start w:val="1"/>
      <w:numFmt w:val="upperRoman"/>
      <w:pStyle w:val="Titre1"/>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16FB5087"/>
    <w:multiLevelType w:val="hybridMultilevel"/>
    <w:tmpl w:val="0B5ABCB8"/>
    <w:lvl w:ilvl="0" w:tplc="D044566C">
      <w:start w:val="2"/>
      <w:numFmt w:val="lowerLetter"/>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17955B96"/>
    <w:multiLevelType w:val="hybridMultilevel"/>
    <w:tmpl w:val="981AB3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81C2178"/>
    <w:multiLevelType w:val="hybridMultilevel"/>
    <w:tmpl w:val="9BFE025E"/>
    <w:lvl w:ilvl="0" w:tplc="218EC864">
      <w:start w:val="1"/>
      <w:numFmt w:val="bullet"/>
      <w:lvlText w:val="-"/>
      <w:lvlJc w:val="left"/>
      <w:pPr>
        <w:ind w:left="720" w:hanging="360"/>
      </w:pPr>
      <w:rPr>
        <w:rFonts w:ascii="Aptos" w:hAnsi="Aptos" w:hint="default"/>
      </w:rPr>
    </w:lvl>
    <w:lvl w:ilvl="1" w:tplc="280220F0">
      <w:start w:val="1"/>
      <w:numFmt w:val="bullet"/>
      <w:lvlText w:val="o"/>
      <w:lvlJc w:val="left"/>
      <w:pPr>
        <w:ind w:left="1440" w:hanging="360"/>
      </w:pPr>
      <w:rPr>
        <w:rFonts w:ascii="Courier New" w:hAnsi="Courier New" w:hint="default"/>
      </w:rPr>
    </w:lvl>
    <w:lvl w:ilvl="2" w:tplc="F710C88C">
      <w:start w:val="1"/>
      <w:numFmt w:val="bullet"/>
      <w:lvlText w:val=""/>
      <w:lvlJc w:val="left"/>
      <w:pPr>
        <w:ind w:left="2160" w:hanging="360"/>
      </w:pPr>
      <w:rPr>
        <w:rFonts w:ascii="Wingdings" w:hAnsi="Wingdings" w:hint="default"/>
      </w:rPr>
    </w:lvl>
    <w:lvl w:ilvl="3" w:tplc="58460D28">
      <w:start w:val="1"/>
      <w:numFmt w:val="bullet"/>
      <w:lvlText w:val=""/>
      <w:lvlJc w:val="left"/>
      <w:pPr>
        <w:ind w:left="2880" w:hanging="360"/>
      </w:pPr>
      <w:rPr>
        <w:rFonts w:ascii="Symbol" w:hAnsi="Symbol" w:hint="default"/>
      </w:rPr>
    </w:lvl>
    <w:lvl w:ilvl="4" w:tplc="1B70DAD2">
      <w:start w:val="1"/>
      <w:numFmt w:val="bullet"/>
      <w:lvlText w:val="o"/>
      <w:lvlJc w:val="left"/>
      <w:pPr>
        <w:ind w:left="3600" w:hanging="360"/>
      </w:pPr>
      <w:rPr>
        <w:rFonts w:ascii="Courier New" w:hAnsi="Courier New" w:hint="default"/>
      </w:rPr>
    </w:lvl>
    <w:lvl w:ilvl="5" w:tplc="57FE47F4">
      <w:start w:val="1"/>
      <w:numFmt w:val="bullet"/>
      <w:lvlText w:val=""/>
      <w:lvlJc w:val="left"/>
      <w:pPr>
        <w:ind w:left="4320" w:hanging="360"/>
      </w:pPr>
      <w:rPr>
        <w:rFonts w:ascii="Wingdings" w:hAnsi="Wingdings" w:hint="default"/>
      </w:rPr>
    </w:lvl>
    <w:lvl w:ilvl="6" w:tplc="BB6A6FB4">
      <w:start w:val="1"/>
      <w:numFmt w:val="bullet"/>
      <w:lvlText w:val=""/>
      <w:lvlJc w:val="left"/>
      <w:pPr>
        <w:ind w:left="5040" w:hanging="360"/>
      </w:pPr>
      <w:rPr>
        <w:rFonts w:ascii="Symbol" w:hAnsi="Symbol" w:hint="default"/>
      </w:rPr>
    </w:lvl>
    <w:lvl w:ilvl="7" w:tplc="A4061F48">
      <w:start w:val="1"/>
      <w:numFmt w:val="bullet"/>
      <w:lvlText w:val="o"/>
      <w:lvlJc w:val="left"/>
      <w:pPr>
        <w:ind w:left="5760" w:hanging="360"/>
      </w:pPr>
      <w:rPr>
        <w:rFonts w:ascii="Courier New" w:hAnsi="Courier New" w:hint="default"/>
      </w:rPr>
    </w:lvl>
    <w:lvl w:ilvl="8" w:tplc="6B10DCCA">
      <w:start w:val="1"/>
      <w:numFmt w:val="bullet"/>
      <w:lvlText w:val=""/>
      <w:lvlJc w:val="left"/>
      <w:pPr>
        <w:ind w:left="6480" w:hanging="360"/>
      </w:pPr>
      <w:rPr>
        <w:rFonts w:ascii="Wingdings" w:hAnsi="Wingdings" w:hint="default"/>
      </w:rPr>
    </w:lvl>
  </w:abstractNum>
  <w:abstractNum w:abstractNumId="42" w15:restartNumberingAfterBreak="0">
    <w:nsid w:val="1A7D5913"/>
    <w:multiLevelType w:val="hybridMultilevel"/>
    <w:tmpl w:val="027212CC"/>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3" w15:restartNumberingAfterBreak="0">
    <w:nsid w:val="1AB71015"/>
    <w:multiLevelType w:val="hybridMultilevel"/>
    <w:tmpl w:val="6C1CDE9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4" w15:restartNumberingAfterBreak="0">
    <w:nsid w:val="1BD03924"/>
    <w:multiLevelType w:val="hybridMultilevel"/>
    <w:tmpl w:val="CC3EE1C0"/>
    <w:lvl w:ilvl="0" w:tplc="F86284B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1BDD2694"/>
    <w:multiLevelType w:val="hybridMultilevel"/>
    <w:tmpl w:val="4A840462"/>
    <w:lvl w:ilvl="0" w:tplc="7ADE0568">
      <w:start w:val="1"/>
      <w:numFmt w:val="decimal"/>
      <w:pStyle w:val="22"/>
      <w:lvlText w:val="II.%1"/>
      <w:lvlJc w:val="right"/>
      <w:pPr>
        <w:ind w:left="1077" w:hanging="360"/>
      </w:pPr>
      <w:rPr>
        <w:rFonts w:hint="default"/>
      </w:rPr>
    </w:lvl>
    <w:lvl w:ilvl="1" w:tplc="080C0019">
      <w:start w:val="1"/>
      <w:numFmt w:val="lowerLetter"/>
      <w:lvlText w:val="%2."/>
      <w:lvlJc w:val="left"/>
      <w:pPr>
        <w:ind w:left="1797" w:hanging="360"/>
      </w:pPr>
    </w:lvl>
    <w:lvl w:ilvl="2" w:tplc="080C001B" w:tentative="1">
      <w:start w:val="1"/>
      <w:numFmt w:val="lowerRoman"/>
      <w:lvlText w:val="%3."/>
      <w:lvlJc w:val="right"/>
      <w:pPr>
        <w:ind w:left="2517" w:hanging="180"/>
      </w:pPr>
    </w:lvl>
    <w:lvl w:ilvl="3" w:tplc="080C000F" w:tentative="1">
      <w:start w:val="1"/>
      <w:numFmt w:val="decimal"/>
      <w:lvlText w:val="%4."/>
      <w:lvlJc w:val="left"/>
      <w:pPr>
        <w:ind w:left="3237" w:hanging="360"/>
      </w:pPr>
    </w:lvl>
    <w:lvl w:ilvl="4" w:tplc="080C0019" w:tentative="1">
      <w:start w:val="1"/>
      <w:numFmt w:val="lowerLetter"/>
      <w:lvlText w:val="%5."/>
      <w:lvlJc w:val="left"/>
      <w:pPr>
        <w:ind w:left="3957" w:hanging="360"/>
      </w:pPr>
    </w:lvl>
    <w:lvl w:ilvl="5" w:tplc="080C001B" w:tentative="1">
      <w:start w:val="1"/>
      <w:numFmt w:val="lowerRoman"/>
      <w:lvlText w:val="%6."/>
      <w:lvlJc w:val="right"/>
      <w:pPr>
        <w:ind w:left="4677" w:hanging="180"/>
      </w:pPr>
    </w:lvl>
    <w:lvl w:ilvl="6" w:tplc="080C000F" w:tentative="1">
      <w:start w:val="1"/>
      <w:numFmt w:val="decimal"/>
      <w:lvlText w:val="%7."/>
      <w:lvlJc w:val="left"/>
      <w:pPr>
        <w:ind w:left="5397" w:hanging="360"/>
      </w:pPr>
    </w:lvl>
    <w:lvl w:ilvl="7" w:tplc="080C0019" w:tentative="1">
      <w:start w:val="1"/>
      <w:numFmt w:val="lowerLetter"/>
      <w:lvlText w:val="%8."/>
      <w:lvlJc w:val="left"/>
      <w:pPr>
        <w:ind w:left="6117" w:hanging="360"/>
      </w:pPr>
    </w:lvl>
    <w:lvl w:ilvl="8" w:tplc="080C001B" w:tentative="1">
      <w:start w:val="1"/>
      <w:numFmt w:val="lowerRoman"/>
      <w:lvlText w:val="%9."/>
      <w:lvlJc w:val="right"/>
      <w:pPr>
        <w:ind w:left="6837" w:hanging="180"/>
      </w:pPr>
    </w:lvl>
  </w:abstractNum>
  <w:abstractNum w:abstractNumId="46" w15:restartNumberingAfterBreak="0">
    <w:nsid w:val="1D2F45B8"/>
    <w:multiLevelType w:val="hybridMultilevel"/>
    <w:tmpl w:val="947823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EC2272E"/>
    <w:multiLevelType w:val="hybridMultilevel"/>
    <w:tmpl w:val="793667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0A63E35"/>
    <w:multiLevelType w:val="hybridMultilevel"/>
    <w:tmpl w:val="9D2E5BEE"/>
    <w:lvl w:ilvl="0" w:tplc="18827BEC">
      <w:start w:val="1"/>
      <w:numFmt w:val="bullet"/>
      <w:lvlText w:val="-"/>
      <w:lvlJc w:val="left"/>
      <w:pPr>
        <w:ind w:left="720" w:hanging="360"/>
      </w:pPr>
      <w:rPr>
        <w:rFonts w:ascii="Cambria" w:hAnsi="Cambria" w:hint="default"/>
      </w:rPr>
    </w:lvl>
    <w:lvl w:ilvl="1" w:tplc="7C9CCE72">
      <w:start w:val="1"/>
      <w:numFmt w:val="bullet"/>
      <w:lvlText w:val="o"/>
      <w:lvlJc w:val="left"/>
      <w:pPr>
        <w:ind w:left="1440" w:hanging="360"/>
      </w:pPr>
      <w:rPr>
        <w:rFonts w:ascii="Courier New" w:hAnsi="Courier New" w:hint="default"/>
      </w:rPr>
    </w:lvl>
    <w:lvl w:ilvl="2" w:tplc="795A03B6">
      <w:start w:val="1"/>
      <w:numFmt w:val="bullet"/>
      <w:lvlText w:val=""/>
      <w:lvlJc w:val="left"/>
      <w:pPr>
        <w:ind w:left="2160" w:hanging="360"/>
      </w:pPr>
      <w:rPr>
        <w:rFonts w:ascii="Wingdings" w:hAnsi="Wingdings" w:hint="default"/>
      </w:rPr>
    </w:lvl>
    <w:lvl w:ilvl="3" w:tplc="A1027A02">
      <w:start w:val="1"/>
      <w:numFmt w:val="bullet"/>
      <w:lvlText w:val=""/>
      <w:lvlJc w:val="left"/>
      <w:pPr>
        <w:ind w:left="2880" w:hanging="360"/>
      </w:pPr>
      <w:rPr>
        <w:rFonts w:ascii="Symbol" w:hAnsi="Symbol" w:hint="default"/>
      </w:rPr>
    </w:lvl>
    <w:lvl w:ilvl="4" w:tplc="3362C1D8">
      <w:start w:val="1"/>
      <w:numFmt w:val="bullet"/>
      <w:lvlText w:val="o"/>
      <w:lvlJc w:val="left"/>
      <w:pPr>
        <w:ind w:left="3600" w:hanging="360"/>
      </w:pPr>
      <w:rPr>
        <w:rFonts w:ascii="Courier New" w:hAnsi="Courier New" w:hint="default"/>
      </w:rPr>
    </w:lvl>
    <w:lvl w:ilvl="5" w:tplc="060E8232">
      <w:start w:val="1"/>
      <w:numFmt w:val="bullet"/>
      <w:lvlText w:val=""/>
      <w:lvlJc w:val="left"/>
      <w:pPr>
        <w:ind w:left="4320" w:hanging="360"/>
      </w:pPr>
      <w:rPr>
        <w:rFonts w:ascii="Wingdings" w:hAnsi="Wingdings" w:hint="default"/>
      </w:rPr>
    </w:lvl>
    <w:lvl w:ilvl="6" w:tplc="5E6829AA">
      <w:start w:val="1"/>
      <w:numFmt w:val="bullet"/>
      <w:lvlText w:val=""/>
      <w:lvlJc w:val="left"/>
      <w:pPr>
        <w:ind w:left="5040" w:hanging="360"/>
      </w:pPr>
      <w:rPr>
        <w:rFonts w:ascii="Symbol" w:hAnsi="Symbol" w:hint="default"/>
      </w:rPr>
    </w:lvl>
    <w:lvl w:ilvl="7" w:tplc="EC02ABD2">
      <w:start w:val="1"/>
      <w:numFmt w:val="bullet"/>
      <w:lvlText w:val="o"/>
      <w:lvlJc w:val="left"/>
      <w:pPr>
        <w:ind w:left="5760" w:hanging="360"/>
      </w:pPr>
      <w:rPr>
        <w:rFonts w:ascii="Courier New" w:hAnsi="Courier New" w:hint="default"/>
      </w:rPr>
    </w:lvl>
    <w:lvl w:ilvl="8" w:tplc="282A231E">
      <w:start w:val="1"/>
      <w:numFmt w:val="bullet"/>
      <w:lvlText w:val=""/>
      <w:lvlJc w:val="left"/>
      <w:pPr>
        <w:ind w:left="6480" w:hanging="360"/>
      </w:pPr>
      <w:rPr>
        <w:rFonts w:ascii="Wingdings" w:hAnsi="Wingdings" w:hint="default"/>
      </w:rPr>
    </w:lvl>
  </w:abstractNum>
  <w:abstractNum w:abstractNumId="49" w15:restartNumberingAfterBreak="0">
    <w:nsid w:val="21836426"/>
    <w:multiLevelType w:val="hybridMultilevel"/>
    <w:tmpl w:val="1FEE33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19E6C66"/>
    <w:multiLevelType w:val="hybridMultilevel"/>
    <w:tmpl w:val="A6D6128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cs="Wingdings" w:hint="default"/>
      </w:rPr>
    </w:lvl>
    <w:lvl w:ilvl="3" w:tplc="080C0001">
      <w:start w:val="1"/>
      <w:numFmt w:val="bullet"/>
      <w:lvlText w:val=""/>
      <w:lvlJc w:val="left"/>
      <w:pPr>
        <w:ind w:left="2880" w:hanging="360"/>
      </w:pPr>
      <w:rPr>
        <w:rFonts w:ascii="Symbol" w:hAnsi="Symbol" w:cs="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cs="Wingdings" w:hint="default"/>
      </w:rPr>
    </w:lvl>
    <w:lvl w:ilvl="6" w:tplc="080C0001">
      <w:start w:val="1"/>
      <w:numFmt w:val="bullet"/>
      <w:lvlText w:val=""/>
      <w:lvlJc w:val="left"/>
      <w:pPr>
        <w:ind w:left="5040" w:hanging="360"/>
      </w:pPr>
      <w:rPr>
        <w:rFonts w:ascii="Symbol" w:hAnsi="Symbol" w:cs="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cs="Wingdings" w:hint="default"/>
      </w:rPr>
    </w:lvl>
  </w:abstractNum>
  <w:abstractNum w:abstractNumId="51" w15:restartNumberingAfterBreak="0">
    <w:nsid w:val="22776A5F"/>
    <w:multiLevelType w:val="multilevel"/>
    <w:tmpl w:val="37FABC62"/>
    <w:lvl w:ilvl="0">
      <w:start w:val="1"/>
      <w:numFmt w:val="decimal"/>
      <w:pStyle w:val="3"/>
      <w:lvlText w:val="%1."/>
      <w:lvlJc w:val="right"/>
      <w:pPr>
        <w:ind w:left="927" w:hanging="360"/>
      </w:pPr>
      <w:rPr>
        <w:rFonts w:hint="default"/>
        <w:b/>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15:restartNumberingAfterBreak="0">
    <w:nsid w:val="23617CD3"/>
    <w:multiLevelType w:val="hybridMultilevel"/>
    <w:tmpl w:val="E402DA1A"/>
    <w:lvl w:ilvl="0" w:tplc="9B5A3438">
      <w:start w:val="1"/>
      <w:numFmt w:val="upperLetter"/>
      <w:pStyle w:val="Titre3"/>
      <w:lvlText w:val="%1."/>
      <w:lvlJc w:val="left"/>
      <w:pPr>
        <w:ind w:left="786" w:hanging="360"/>
      </w:pPr>
      <w:rPr>
        <w:rFonts w:hint="default"/>
        <w:caps w:val="0"/>
        <w:smallCaps/>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261241CC"/>
    <w:multiLevelType w:val="hybridMultilevel"/>
    <w:tmpl w:val="F26C9E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262E6AB1"/>
    <w:multiLevelType w:val="hybridMultilevel"/>
    <w:tmpl w:val="DFE87BF6"/>
    <w:lvl w:ilvl="0" w:tplc="806A0916">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55" w15:restartNumberingAfterBreak="0">
    <w:nsid w:val="27E70CCC"/>
    <w:multiLevelType w:val="multilevel"/>
    <w:tmpl w:val="2E40A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81B47ED"/>
    <w:multiLevelType w:val="hybridMultilevel"/>
    <w:tmpl w:val="033688D0"/>
    <w:lvl w:ilvl="0" w:tplc="080C000D">
      <w:start w:val="1"/>
      <w:numFmt w:val="bullet"/>
      <w:lvlText w:val=""/>
      <w:lvlJc w:val="left"/>
      <w:pPr>
        <w:ind w:left="864" w:hanging="360"/>
      </w:pPr>
      <w:rPr>
        <w:rFonts w:ascii="Wingdings" w:hAnsi="Wingdings" w:hint="default"/>
      </w:rPr>
    </w:lvl>
    <w:lvl w:ilvl="1" w:tplc="080C0003" w:tentative="1">
      <w:start w:val="1"/>
      <w:numFmt w:val="bullet"/>
      <w:lvlText w:val="o"/>
      <w:lvlJc w:val="left"/>
      <w:pPr>
        <w:ind w:left="1584" w:hanging="360"/>
      </w:pPr>
      <w:rPr>
        <w:rFonts w:ascii="Courier New" w:hAnsi="Courier New" w:cs="Courier New" w:hint="default"/>
      </w:rPr>
    </w:lvl>
    <w:lvl w:ilvl="2" w:tplc="080C0005" w:tentative="1">
      <w:start w:val="1"/>
      <w:numFmt w:val="bullet"/>
      <w:lvlText w:val=""/>
      <w:lvlJc w:val="left"/>
      <w:pPr>
        <w:ind w:left="2304" w:hanging="360"/>
      </w:pPr>
      <w:rPr>
        <w:rFonts w:ascii="Wingdings" w:hAnsi="Wingdings" w:hint="default"/>
      </w:rPr>
    </w:lvl>
    <w:lvl w:ilvl="3" w:tplc="080C0001" w:tentative="1">
      <w:start w:val="1"/>
      <w:numFmt w:val="bullet"/>
      <w:lvlText w:val=""/>
      <w:lvlJc w:val="left"/>
      <w:pPr>
        <w:ind w:left="3024" w:hanging="360"/>
      </w:pPr>
      <w:rPr>
        <w:rFonts w:ascii="Symbol" w:hAnsi="Symbol" w:hint="default"/>
      </w:rPr>
    </w:lvl>
    <w:lvl w:ilvl="4" w:tplc="080C0003" w:tentative="1">
      <w:start w:val="1"/>
      <w:numFmt w:val="bullet"/>
      <w:lvlText w:val="o"/>
      <w:lvlJc w:val="left"/>
      <w:pPr>
        <w:ind w:left="3744" w:hanging="360"/>
      </w:pPr>
      <w:rPr>
        <w:rFonts w:ascii="Courier New" w:hAnsi="Courier New" w:cs="Courier New" w:hint="default"/>
      </w:rPr>
    </w:lvl>
    <w:lvl w:ilvl="5" w:tplc="080C0005" w:tentative="1">
      <w:start w:val="1"/>
      <w:numFmt w:val="bullet"/>
      <w:lvlText w:val=""/>
      <w:lvlJc w:val="left"/>
      <w:pPr>
        <w:ind w:left="4464" w:hanging="360"/>
      </w:pPr>
      <w:rPr>
        <w:rFonts w:ascii="Wingdings" w:hAnsi="Wingdings" w:hint="default"/>
      </w:rPr>
    </w:lvl>
    <w:lvl w:ilvl="6" w:tplc="080C0001" w:tentative="1">
      <w:start w:val="1"/>
      <w:numFmt w:val="bullet"/>
      <w:lvlText w:val=""/>
      <w:lvlJc w:val="left"/>
      <w:pPr>
        <w:ind w:left="5184" w:hanging="360"/>
      </w:pPr>
      <w:rPr>
        <w:rFonts w:ascii="Symbol" w:hAnsi="Symbol" w:hint="default"/>
      </w:rPr>
    </w:lvl>
    <w:lvl w:ilvl="7" w:tplc="080C0003" w:tentative="1">
      <w:start w:val="1"/>
      <w:numFmt w:val="bullet"/>
      <w:lvlText w:val="o"/>
      <w:lvlJc w:val="left"/>
      <w:pPr>
        <w:ind w:left="5904" w:hanging="360"/>
      </w:pPr>
      <w:rPr>
        <w:rFonts w:ascii="Courier New" w:hAnsi="Courier New" w:cs="Courier New" w:hint="default"/>
      </w:rPr>
    </w:lvl>
    <w:lvl w:ilvl="8" w:tplc="080C0005" w:tentative="1">
      <w:start w:val="1"/>
      <w:numFmt w:val="bullet"/>
      <w:lvlText w:val=""/>
      <w:lvlJc w:val="left"/>
      <w:pPr>
        <w:ind w:left="6624" w:hanging="360"/>
      </w:pPr>
      <w:rPr>
        <w:rFonts w:ascii="Wingdings" w:hAnsi="Wingdings" w:hint="default"/>
      </w:rPr>
    </w:lvl>
  </w:abstractNum>
  <w:abstractNum w:abstractNumId="57" w15:restartNumberingAfterBreak="0">
    <w:nsid w:val="2A373C6E"/>
    <w:multiLevelType w:val="hybridMultilevel"/>
    <w:tmpl w:val="C0C27DA0"/>
    <w:lvl w:ilvl="0" w:tplc="00C00A22">
      <w:start w:val="1"/>
      <w:numFmt w:val="decimal"/>
      <w:pStyle w:val="2BIS"/>
      <w:lvlText w:val="II.8.%1"/>
      <w:lvlJc w:val="right"/>
      <w:pPr>
        <w:ind w:left="1069" w:hanging="360"/>
      </w:pPr>
      <w:rPr>
        <w:rFonts w:hint="default"/>
      </w:rPr>
    </w:lvl>
    <w:lvl w:ilvl="1" w:tplc="080C0019" w:tentative="1">
      <w:start w:val="1"/>
      <w:numFmt w:val="lowerLetter"/>
      <w:lvlText w:val="%2."/>
      <w:lvlJc w:val="left"/>
      <w:pPr>
        <w:ind w:left="1797" w:hanging="360"/>
      </w:pPr>
    </w:lvl>
    <w:lvl w:ilvl="2" w:tplc="080C001B" w:tentative="1">
      <w:start w:val="1"/>
      <w:numFmt w:val="lowerRoman"/>
      <w:lvlText w:val="%3."/>
      <w:lvlJc w:val="right"/>
      <w:pPr>
        <w:ind w:left="2517" w:hanging="180"/>
      </w:pPr>
    </w:lvl>
    <w:lvl w:ilvl="3" w:tplc="080C000F" w:tentative="1">
      <w:start w:val="1"/>
      <w:numFmt w:val="decimal"/>
      <w:lvlText w:val="%4."/>
      <w:lvlJc w:val="left"/>
      <w:pPr>
        <w:ind w:left="3237" w:hanging="360"/>
      </w:pPr>
    </w:lvl>
    <w:lvl w:ilvl="4" w:tplc="080C0019" w:tentative="1">
      <w:start w:val="1"/>
      <w:numFmt w:val="lowerLetter"/>
      <w:lvlText w:val="%5."/>
      <w:lvlJc w:val="left"/>
      <w:pPr>
        <w:ind w:left="3957" w:hanging="360"/>
      </w:pPr>
    </w:lvl>
    <w:lvl w:ilvl="5" w:tplc="080C001B" w:tentative="1">
      <w:start w:val="1"/>
      <w:numFmt w:val="lowerRoman"/>
      <w:lvlText w:val="%6."/>
      <w:lvlJc w:val="right"/>
      <w:pPr>
        <w:ind w:left="4677" w:hanging="180"/>
      </w:pPr>
    </w:lvl>
    <w:lvl w:ilvl="6" w:tplc="080C000F" w:tentative="1">
      <w:start w:val="1"/>
      <w:numFmt w:val="decimal"/>
      <w:lvlText w:val="%7."/>
      <w:lvlJc w:val="left"/>
      <w:pPr>
        <w:ind w:left="5397" w:hanging="360"/>
      </w:pPr>
    </w:lvl>
    <w:lvl w:ilvl="7" w:tplc="080C0019" w:tentative="1">
      <w:start w:val="1"/>
      <w:numFmt w:val="lowerLetter"/>
      <w:lvlText w:val="%8."/>
      <w:lvlJc w:val="left"/>
      <w:pPr>
        <w:ind w:left="6117" w:hanging="360"/>
      </w:pPr>
    </w:lvl>
    <w:lvl w:ilvl="8" w:tplc="080C001B" w:tentative="1">
      <w:start w:val="1"/>
      <w:numFmt w:val="lowerRoman"/>
      <w:lvlText w:val="%9."/>
      <w:lvlJc w:val="right"/>
      <w:pPr>
        <w:ind w:left="6837" w:hanging="180"/>
      </w:pPr>
    </w:lvl>
  </w:abstractNum>
  <w:abstractNum w:abstractNumId="58" w15:restartNumberingAfterBreak="0">
    <w:nsid w:val="2B1F6D01"/>
    <w:multiLevelType w:val="hybridMultilevel"/>
    <w:tmpl w:val="35C89D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2B97500D"/>
    <w:multiLevelType w:val="hybridMultilevel"/>
    <w:tmpl w:val="B4768A6A"/>
    <w:lvl w:ilvl="0" w:tplc="080C0001">
      <w:start w:val="1"/>
      <w:numFmt w:val="bullet"/>
      <w:lvlText w:val=""/>
      <w:lvlJc w:val="left"/>
      <w:pPr>
        <w:ind w:left="720" w:hanging="360"/>
      </w:pPr>
      <w:rPr>
        <w:rFonts w:ascii="Symbol" w:hAnsi="Symbol" w:hint="default"/>
      </w:rPr>
    </w:lvl>
    <w:lvl w:ilvl="1" w:tplc="14903338">
      <w:start w:val="1"/>
      <w:numFmt w:val="bullet"/>
      <w:lvlText w:val="o"/>
      <w:lvlJc w:val="left"/>
      <w:pPr>
        <w:ind w:left="1440" w:hanging="360"/>
      </w:pPr>
      <w:rPr>
        <w:rFonts w:ascii="Courier New" w:hAnsi="Courier New" w:hint="default"/>
      </w:rPr>
    </w:lvl>
    <w:lvl w:ilvl="2" w:tplc="4FAAA89A">
      <w:start w:val="1"/>
      <w:numFmt w:val="bullet"/>
      <w:lvlText w:val=""/>
      <w:lvlJc w:val="left"/>
      <w:pPr>
        <w:ind w:left="2160" w:hanging="360"/>
      </w:pPr>
      <w:rPr>
        <w:rFonts w:ascii="Wingdings" w:hAnsi="Wingdings" w:hint="default"/>
      </w:rPr>
    </w:lvl>
    <w:lvl w:ilvl="3" w:tplc="AC9EA1DE">
      <w:start w:val="1"/>
      <w:numFmt w:val="bullet"/>
      <w:lvlText w:val=""/>
      <w:lvlJc w:val="left"/>
      <w:pPr>
        <w:ind w:left="2880" w:hanging="360"/>
      </w:pPr>
      <w:rPr>
        <w:rFonts w:ascii="Symbol" w:hAnsi="Symbol" w:hint="default"/>
      </w:rPr>
    </w:lvl>
    <w:lvl w:ilvl="4" w:tplc="6D3617D6">
      <w:start w:val="1"/>
      <w:numFmt w:val="bullet"/>
      <w:lvlText w:val="o"/>
      <w:lvlJc w:val="left"/>
      <w:pPr>
        <w:ind w:left="3600" w:hanging="360"/>
      </w:pPr>
      <w:rPr>
        <w:rFonts w:ascii="Courier New" w:hAnsi="Courier New" w:hint="default"/>
      </w:rPr>
    </w:lvl>
    <w:lvl w:ilvl="5" w:tplc="DFB26536">
      <w:start w:val="1"/>
      <w:numFmt w:val="bullet"/>
      <w:lvlText w:val=""/>
      <w:lvlJc w:val="left"/>
      <w:pPr>
        <w:ind w:left="4320" w:hanging="360"/>
      </w:pPr>
      <w:rPr>
        <w:rFonts w:ascii="Wingdings" w:hAnsi="Wingdings" w:hint="default"/>
      </w:rPr>
    </w:lvl>
    <w:lvl w:ilvl="6" w:tplc="65C6C39C">
      <w:start w:val="1"/>
      <w:numFmt w:val="bullet"/>
      <w:lvlText w:val=""/>
      <w:lvlJc w:val="left"/>
      <w:pPr>
        <w:ind w:left="5040" w:hanging="360"/>
      </w:pPr>
      <w:rPr>
        <w:rFonts w:ascii="Symbol" w:hAnsi="Symbol" w:hint="default"/>
      </w:rPr>
    </w:lvl>
    <w:lvl w:ilvl="7" w:tplc="B406ED1A">
      <w:start w:val="1"/>
      <w:numFmt w:val="bullet"/>
      <w:lvlText w:val="o"/>
      <w:lvlJc w:val="left"/>
      <w:pPr>
        <w:ind w:left="5760" w:hanging="360"/>
      </w:pPr>
      <w:rPr>
        <w:rFonts w:ascii="Courier New" w:hAnsi="Courier New" w:hint="default"/>
      </w:rPr>
    </w:lvl>
    <w:lvl w:ilvl="8" w:tplc="BBF09374">
      <w:start w:val="1"/>
      <w:numFmt w:val="bullet"/>
      <w:lvlText w:val=""/>
      <w:lvlJc w:val="left"/>
      <w:pPr>
        <w:ind w:left="6480" w:hanging="360"/>
      </w:pPr>
      <w:rPr>
        <w:rFonts w:ascii="Wingdings" w:hAnsi="Wingdings" w:hint="default"/>
      </w:rPr>
    </w:lvl>
  </w:abstractNum>
  <w:abstractNum w:abstractNumId="60" w15:restartNumberingAfterBreak="0">
    <w:nsid w:val="2C002ED3"/>
    <w:multiLevelType w:val="multilevel"/>
    <w:tmpl w:val="25B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C6E3AFE"/>
    <w:multiLevelType w:val="hybridMultilevel"/>
    <w:tmpl w:val="16E495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DE9099C"/>
    <w:multiLevelType w:val="hybridMultilevel"/>
    <w:tmpl w:val="98766E52"/>
    <w:lvl w:ilvl="0" w:tplc="080C0017">
      <w:start w:val="1"/>
      <w:numFmt w:val="lowerLetter"/>
      <w:lvlText w:val="%1)"/>
      <w:lvlJc w:val="left"/>
      <w:pPr>
        <w:ind w:left="108" w:hanging="360"/>
      </w:pPr>
    </w:lvl>
    <w:lvl w:ilvl="1" w:tplc="080C0019">
      <w:start w:val="1"/>
      <w:numFmt w:val="lowerLetter"/>
      <w:lvlText w:val="%2."/>
      <w:lvlJc w:val="left"/>
      <w:pPr>
        <w:ind w:left="828" w:hanging="360"/>
      </w:pPr>
    </w:lvl>
    <w:lvl w:ilvl="2" w:tplc="080C001B">
      <w:start w:val="1"/>
      <w:numFmt w:val="lowerRoman"/>
      <w:lvlText w:val="%3."/>
      <w:lvlJc w:val="right"/>
      <w:pPr>
        <w:ind w:left="1548" w:hanging="180"/>
      </w:pPr>
    </w:lvl>
    <w:lvl w:ilvl="3" w:tplc="080C000F">
      <w:start w:val="1"/>
      <w:numFmt w:val="decimal"/>
      <w:lvlText w:val="%4."/>
      <w:lvlJc w:val="left"/>
      <w:pPr>
        <w:ind w:left="2268" w:hanging="360"/>
      </w:pPr>
    </w:lvl>
    <w:lvl w:ilvl="4" w:tplc="080C0019">
      <w:start w:val="1"/>
      <w:numFmt w:val="lowerLetter"/>
      <w:lvlText w:val="%5."/>
      <w:lvlJc w:val="left"/>
      <w:pPr>
        <w:ind w:left="2988" w:hanging="360"/>
      </w:pPr>
    </w:lvl>
    <w:lvl w:ilvl="5" w:tplc="080C001B">
      <w:start w:val="1"/>
      <w:numFmt w:val="lowerRoman"/>
      <w:lvlText w:val="%6."/>
      <w:lvlJc w:val="right"/>
      <w:pPr>
        <w:ind w:left="3708" w:hanging="180"/>
      </w:pPr>
    </w:lvl>
    <w:lvl w:ilvl="6" w:tplc="080C000F">
      <w:start w:val="1"/>
      <w:numFmt w:val="decimal"/>
      <w:lvlText w:val="%7."/>
      <w:lvlJc w:val="left"/>
      <w:pPr>
        <w:ind w:left="4428" w:hanging="360"/>
      </w:pPr>
    </w:lvl>
    <w:lvl w:ilvl="7" w:tplc="080C0019">
      <w:start w:val="1"/>
      <w:numFmt w:val="lowerLetter"/>
      <w:lvlText w:val="%8."/>
      <w:lvlJc w:val="left"/>
      <w:pPr>
        <w:ind w:left="5148" w:hanging="360"/>
      </w:pPr>
    </w:lvl>
    <w:lvl w:ilvl="8" w:tplc="080C001B">
      <w:start w:val="1"/>
      <w:numFmt w:val="lowerRoman"/>
      <w:lvlText w:val="%9."/>
      <w:lvlJc w:val="right"/>
      <w:pPr>
        <w:ind w:left="5868" w:hanging="180"/>
      </w:pPr>
    </w:lvl>
  </w:abstractNum>
  <w:abstractNum w:abstractNumId="63" w15:restartNumberingAfterBreak="0">
    <w:nsid w:val="2E8B4DF8"/>
    <w:multiLevelType w:val="hybridMultilevel"/>
    <w:tmpl w:val="D83E84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2F0C29BA"/>
    <w:multiLevelType w:val="hybridMultilevel"/>
    <w:tmpl w:val="AEFA44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0710D1F"/>
    <w:multiLevelType w:val="hybridMultilevel"/>
    <w:tmpl w:val="FE2C6900"/>
    <w:lvl w:ilvl="0" w:tplc="080C0001">
      <w:start w:val="1"/>
      <w:numFmt w:val="bullet"/>
      <w:lvlText w:val=""/>
      <w:lvlJc w:val="left"/>
      <w:pPr>
        <w:ind w:left="721" w:hanging="360"/>
      </w:pPr>
      <w:rPr>
        <w:rFonts w:ascii="Symbol" w:hAnsi="Symbol" w:hint="default"/>
      </w:rPr>
    </w:lvl>
    <w:lvl w:ilvl="1" w:tplc="080C0003" w:tentative="1">
      <w:start w:val="1"/>
      <w:numFmt w:val="bullet"/>
      <w:lvlText w:val="o"/>
      <w:lvlJc w:val="left"/>
      <w:pPr>
        <w:ind w:left="1441" w:hanging="360"/>
      </w:pPr>
      <w:rPr>
        <w:rFonts w:ascii="Courier New" w:hAnsi="Courier New" w:cs="Courier New" w:hint="default"/>
      </w:rPr>
    </w:lvl>
    <w:lvl w:ilvl="2" w:tplc="080C0005" w:tentative="1">
      <w:start w:val="1"/>
      <w:numFmt w:val="bullet"/>
      <w:lvlText w:val=""/>
      <w:lvlJc w:val="left"/>
      <w:pPr>
        <w:ind w:left="2161" w:hanging="360"/>
      </w:pPr>
      <w:rPr>
        <w:rFonts w:ascii="Wingdings" w:hAnsi="Wingdings" w:hint="default"/>
      </w:rPr>
    </w:lvl>
    <w:lvl w:ilvl="3" w:tplc="080C0001" w:tentative="1">
      <w:start w:val="1"/>
      <w:numFmt w:val="bullet"/>
      <w:lvlText w:val=""/>
      <w:lvlJc w:val="left"/>
      <w:pPr>
        <w:ind w:left="2881" w:hanging="360"/>
      </w:pPr>
      <w:rPr>
        <w:rFonts w:ascii="Symbol" w:hAnsi="Symbol" w:hint="default"/>
      </w:rPr>
    </w:lvl>
    <w:lvl w:ilvl="4" w:tplc="080C0003" w:tentative="1">
      <w:start w:val="1"/>
      <w:numFmt w:val="bullet"/>
      <w:lvlText w:val="o"/>
      <w:lvlJc w:val="left"/>
      <w:pPr>
        <w:ind w:left="3601" w:hanging="360"/>
      </w:pPr>
      <w:rPr>
        <w:rFonts w:ascii="Courier New" w:hAnsi="Courier New" w:cs="Courier New" w:hint="default"/>
      </w:rPr>
    </w:lvl>
    <w:lvl w:ilvl="5" w:tplc="080C0005" w:tentative="1">
      <w:start w:val="1"/>
      <w:numFmt w:val="bullet"/>
      <w:lvlText w:val=""/>
      <w:lvlJc w:val="left"/>
      <w:pPr>
        <w:ind w:left="4321" w:hanging="360"/>
      </w:pPr>
      <w:rPr>
        <w:rFonts w:ascii="Wingdings" w:hAnsi="Wingdings" w:hint="default"/>
      </w:rPr>
    </w:lvl>
    <w:lvl w:ilvl="6" w:tplc="080C0001" w:tentative="1">
      <w:start w:val="1"/>
      <w:numFmt w:val="bullet"/>
      <w:lvlText w:val=""/>
      <w:lvlJc w:val="left"/>
      <w:pPr>
        <w:ind w:left="5041" w:hanging="360"/>
      </w:pPr>
      <w:rPr>
        <w:rFonts w:ascii="Symbol" w:hAnsi="Symbol" w:hint="default"/>
      </w:rPr>
    </w:lvl>
    <w:lvl w:ilvl="7" w:tplc="080C0003" w:tentative="1">
      <w:start w:val="1"/>
      <w:numFmt w:val="bullet"/>
      <w:lvlText w:val="o"/>
      <w:lvlJc w:val="left"/>
      <w:pPr>
        <w:ind w:left="5761" w:hanging="360"/>
      </w:pPr>
      <w:rPr>
        <w:rFonts w:ascii="Courier New" w:hAnsi="Courier New" w:cs="Courier New" w:hint="default"/>
      </w:rPr>
    </w:lvl>
    <w:lvl w:ilvl="8" w:tplc="080C0005" w:tentative="1">
      <w:start w:val="1"/>
      <w:numFmt w:val="bullet"/>
      <w:lvlText w:val=""/>
      <w:lvlJc w:val="left"/>
      <w:pPr>
        <w:ind w:left="6481" w:hanging="360"/>
      </w:pPr>
      <w:rPr>
        <w:rFonts w:ascii="Wingdings" w:hAnsi="Wingdings" w:hint="default"/>
      </w:rPr>
    </w:lvl>
  </w:abstractNum>
  <w:abstractNum w:abstractNumId="66" w15:restartNumberingAfterBreak="0">
    <w:nsid w:val="30CE217C"/>
    <w:multiLevelType w:val="hybridMultilevel"/>
    <w:tmpl w:val="09A43896"/>
    <w:lvl w:ilvl="0" w:tplc="46384108">
      <w:start w:val="1"/>
      <w:numFmt w:val="bullet"/>
      <w:lvlText w:val="-"/>
      <w:lvlJc w:val="left"/>
      <w:pPr>
        <w:ind w:left="720" w:hanging="360"/>
      </w:pPr>
      <w:rPr>
        <w:rFonts w:ascii="Aptos" w:hAnsi="Aptos" w:hint="default"/>
      </w:rPr>
    </w:lvl>
    <w:lvl w:ilvl="1" w:tplc="579EC2FE">
      <w:start w:val="1"/>
      <w:numFmt w:val="bullet"/>
      <w:lvlText w:val="o"/>
      <w:lvlJc w:val="left"/>
      <w:pPr>
        <w:ind w:left="1440" w:hanging="360"/>
      </w:pPr>
      <w:rPr>
        <w:rFonts w:ascii="Courier New" w:hAnsi="Courier New" w:hint="default"/>
      </w:rPr>
    </w:lvl>
    <w:lvl w:ilvl="2" w:tplc="2F9CD4B2">
      <w:start w:val="1"/>
      <w:numFmt w:val="bullet"/>
      <w:lvlText w:val=""/>
      <w:lvlJc w:val="left"/>
      <w:pPr>
        <w:ind w:left="2160" w:hanging="360"/>
      </w:pPr>
      <w:rPr>
        <w:rFonts w:ascii="Wingdings" w:hAnsi="Wingdings" w:hint="default"/>
      </w:rPr>
    </w:lvl>
    <w:lvl w:ilvl="3" w:tplc="70EC87DA">
      <w:start w:val="1"/>
      <w:numFmt w:val="bullet"/>
      <w:lvlText w:val=""/>
      <w:lvlJc w:val="left"/>
      <w:pPr>
        <w:ind w:left="2880" w:hanging="360"/>
      </w:pPr>
      <w:rPr>
        <w:rFonts w:ascii="Symbol" w:hAnsi="Symbol" w:hint="default"/>
      </w:rPr>
    </w:lvl>
    <w:lvl w:ilvl="4" w:tplc="48DC90BC">
      <w:start w:val="1"/>
      <w:numFmt w:val="bullet"/>
      <w:lvlText w:val="o"/>
      <w:lvlJc w:val="left"/>
      <w:pPr>
        <w:ind w:left="3600" w:hanging="360"/>
      </w:pPr>
      <w:rPr>
        <w:rFonts w:ascii="Courier New" w:hAnsi="Courier New" w:hint="default"/>
      </w:rPr>
    </w:lvl>
    <w:lvl w:ilvl="5" w:tplc="04D6DACC">
      <w:start w:val="1"/>
      <w:numFmt w:val="bullet"/>
      <w:lvlText w:val=""/>
      <w:lvlJc w:val="left"/>
      <w:pPr>
        <w:ind w:left="4320" w:hanging="360"/>
      </w:pPr>
      <w:rPr>
        <w:rFonts w:ascii="Wingdings" w:hAnsi="Wingdings" w:hint="default"/>
      </w:rPr>
    </w:lvl>
    <w:lvl w:ilvl="6" w:tplc="60ECCCBC">
      <w:start w:val="1"/>
      <w:numFmt w:val="bullet"/>
      <w:lvlText w:val=""/>
      <w:lvlJc w:val="left"/>
      <w:pPr>
        <w:ind w:left="5040" w:hanging="360"/>
      </w:pPr>
      <w:rPr>
        <w:rFonts w:ascii="Symbol" w:hAnsi="Symbol" w:hint="default"/>
      </w:rPr>
    </w:lvl>
    <w:lvl w:ilvl="7" w:tplc="C4CC69CA">
      <w:start w:val="1"/>
      <w:numFmt w:val="bullet"/>
      <w:lvlText w:val="o"/>
      <w:lvlJc w:val="left"/>
      <w:pPr>
        <w:ind w:left="5760" w:hanging="360"/>
      </w:pPr>
      <w:rPr>
        <w:rFonts w:ascii="Courier New" w:hAnsi="Courier New" w:hint="default"/>
      </w:rPr>
    </w:lvl>
    <w:lvl w:ilvl="8" w:tplc="06706704">
      <w:start w:val="1"/>
      <w:numFmt w:val="bullet"/>
      <w:lvlText w:val=""/>
      <w:lvlJc w:val="left"/>
      <w:pPr>
        <w:ind w:left="6480" w:hanging="360"/>
      </w:pPr>
      <w:rPr>
        <w:rFonts w:ascii="Wingdings" w:hAnsi="Wingdings" w:hint="default"/>
      </w:rPr>
    </w:lvl>
  </w:abstractNum>
  <w:abstractNum w:abstractNumId="67" w15:restartNumberingAfterBreak="0">
    <w:nsid w:val="30D80F3B"/>
    <w:multiLevelType w:val="hybridMultilevel"/>
    <w:tmpl w:val="E67A5D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0DF13B3"/>
    <w:multiLevelType w:val="hybridMultilevel"/>
    <w:tmpl w:val="E8861F6E"/>
    <w:lvl w:ilvl="0" w:tplc="7CB4642E">
      <w:start w:val="2"/>
      <w:numFmt w:val="lowerLetter"/>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9" w15:restartNumberingAfterBreak="0">
    <w:nsid w:val="31A42A78"/>
    <w:multiLevelType w:val="hybridMultilevel"/>
    <w:tmpl w:val="ED92B43C"/>
    <w:lvl w:ilvl="0" w:tplc="46B05CBC">
      <w:start w:val="2"/>
      <w:numFmt w:val="lowerLetter"/>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0" w15:restartNumberingAfterBreak="0">
    <w:nsid w:val="31B93766"/>
    <w:multiLevelType w:val="hybridMultilevel"/>
    <w:tmpl w:val="74685E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1EE337D"/>
    <w:multiLevelType w:val="hybridMultilevel"/>
    <w:tmpl w:val="11DC8F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32424B67"/>
    <w:multiLevelType w:val="hybridMultilevel"/>
    <w:tmpl w:val="EA7AF43E"/>
    <w:lvl w:ilvl="0" w:tplc="63CE3D4C">
      <w:start w:val="1"/>
      <w:numFmt w:val="decimal"/>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3" w15:restartNumberingAfterBreak="0">
    <w:nsid w:val="338B0C28"/>
    <w:multiLevelType w:val="hybridMultilevel"/>
    <w:tmpl w:val="38E035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375F7E6D"/>
    <w:multiLevelType w:val="hybridMultilevel"/>
    <w:tmpl w:val="0C0208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7CA0663"/>
    <w:multiLevelType w:val="hybridMultilevel"/>
    <w:tmpl w:val="1CF686B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6" w15:restartNumberingAfterBreak="0">
    <w:nsid w:val="384167DD"/>
    <w:multiLevelType w:val="hybridMultilevel"/>
    <w:tmpl w:val="BDBC66A8"/>
    <w:lvl w:ilvl="0" w:tplc="F86284B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39C2007D"/>
    <w:multiLevelType w:val="hybridMultilevel"/>
    <w:tmpl w:val="42D687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A4D4B7E"/>
    <w:multiLevelType w:val="hybridMultilevel"/>
    <w:tmpl w:val="655633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B8E015C"/>
    <w:multiLevelType w:val="hybridMultilevel"/>
    <w:tmpl w:val="8D28E2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3C3B70A1"/>
    <w:multiLevelType w:val="hybridMultilevel"/>
    <w:tmpl w:val="B3BCB4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DB46997"/>
    <w:multiLevelType w:val="hybridMultilevel"/>
    <w:tmpl w:val="647AFB64"/>
    <w:lvl w:ilvl="0" w:tplc="C8BC50F0">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F1F40AA"/>
    <w:multiLevelType w:val="multilevel"/>
    <w:tmpl w:val="EF1A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F555A0B"/>
    <w:multiLevelType w:val="hybridMultilevel"/>
    <w:tmpl w:val="2AA68024"/>
    <w:lvl w:ilvl="0" w:tplc="080C0001">
      <w:start w:val="1"/>
      <w:numFmt w:val="bullet"/>
      <w:lvlText w:val=""/>
      <w:lvlJc w:val="left"/>
      <w:pPr>
        <w:ind w:left="720" w:hanging="360"/>
      </w:pPr>
      <w:rPr>
        <w:rFonts w:ascii="Symbol" w:hAnsi="Symbol" w:cs="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cs="Wingdings" w:hint="default"/>
      </w:rPr>
    </w:lvl>
    <w:lvl w:ilvl="3" w:tplc="080C0001">
      <w:start w:val="1"/>
      <w:numFmt w:val="bullet"/>
      <w:lvlText w:val=""/>
      <w:lvlJc w:val="left"/>
      <w:pPr>
        <w:ind w:left="2880" w:hanging="360"/>
      </w:pPr>
      <w:rPr>
        <w:rFonts w:ascii="Symbol" w:hAnsi="Symbol" w:cs="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cs="Wingdings" w:hint="default"/>
      </w:rPr>
    </w:lvl>
    <w:lvl w:ilvl="6" w:tplc="080C0001">
      <w:start w:val="1"/>
      <w:numFmt w:val="bullet"/>
      <w:lvlText w:val=""/>
      <w:lvlJc w:val="left"/>
      <w:pPr>
        <w:ind w:left="5040" w:hanging="360"/>
      </w:pPr>
      <w:rPr>
        <w:rFonts w:ascii="Symbol" w:hAnsi="Symbol" w:cs="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cs="Wingdings" w:hint="default"/>
      </w:rPr>
    </w:lvl>
  </w:abstractNum>
  <w:abstractNum w:abstractNumId="84" w15:restartNumberingAfterBreak="0">
    <w:nsid w:val="4083344E"/>
    <w:multiLevelType w:val="hybridMultilevel"/>
    <w:tmpl w:val="4AD8C9CE"/>
    <w:lvl w:ilvl="0" w:tplc="0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5" w15:restartNumberingAfterBreak="0">
    <w:nsid w:val="43485C7E"/>
    <w:multiLevelType w:val="hybridMultilevel"/>
    <w:tmpl w:val="4FFE5D70"/>
    <w:lvl w:ilvl="0" w:tplc="C8D66A12">
      <w:start w:val="1"/>
      <w:numFmt w:val="lowerLetter"/>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6" w15:restartNumberingAfterBreak="0">
    <w:nsid w:val="436D60BA"/>
    <w:multiLevelType w:val="hybridMultilevel"/>
    <w:tmpl w:val="152A30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44606A0A"/>
    <w:multiLevelType w:val="hybridMultilevel"/>
    <w:tmpl w:val="715075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4BA48EE"/>
    <w:multiLevelType w:val="hybridMultilevel"/>
    <w:tmpl w:val="1CC87B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15:restartNumberingAfterBreak="0">
    <w:nsid w:val="44CEBC01"/>
    <w:multiLevelType w:val="hybridMultilevel"/>
    <w:tmpl w:val="F926E0B8"/>
    <w:lvl w:ilvl="0" w:tplc="92C28FE0">
      <w:start w:val="1"/>
      <w:numFmt w:val="bullet"/>
      <w:lvlText w:val=""/>
      <w:lvlJc w:val="left"/>
      <w:pPr>
        <w:ind w:left="720" w:hanging="360"/>
      </w:pPr>
      <w:rPr>
        <w:rFonts w:ascii="Symbol" w:hAnsi="Symbol" w:hint="default"/>
      </w:rPr>
    </w:lvl>
    <w:lvl w:ilvl="1" w:tplc="A27E5D12">
      <w:start w:val="1"/>
      <w:numFmt w:val="bullet"/>
      <w:lvlText w:val="o"/>
      <w:lvlJc w:val="left"/>
      <w:pPr>
        <w:ind w:left="1440" w:hanging="360"/>
      </w:pPr>
      <w:rPr>
        <w:rFonts w:ascii="Courier New" w:hAnsi="Courier New" w:hint="default"/>
      </w:rPr>
    </w:lvl>
    <w:lvl w:ilvl="2" w:tplc="DF847038">
      <w:start w:val="1"/>
      <w:numFmt w:val="bullet"/>
      <w:lvlText w:val=""/>
      <w:lvlJc w:val="left"/>
      <w:pPr>
        <w:ind w:left="2160" w:hanging="360"/>
      </w:pPr>
      <w:rPr>
        <w:rFonts w:ascii="Wingdings" w:hAnsi="Wingdings" w:hint="default"/>
      </w:rPr>
    </w:lvl>
    <w:lvl w:ilvl="3" w:tplc="92C28FE0">
      <w:start w:val="1"/>
      <w:numFmt w:val="bullet"/>
      <w:lvlText w:val=""/>
      <w:lvlJc w:val="left"/>
      <w:pPr>
        <w:ind w:left="2880" w:hanging="360"/>
      </w:pPr>
      <w:rPr>
        <w:rFonts w:ascii="Symbol" w:hAnsi="Symbol" w:hint="default"/>
      </w:rPr>
    </w:lvl>
    <w:lvl w:ilvl="4" w:tplc="012690C2">
      <w:start w:val="1"/>
      <w:numFmt w:val="bullet"/>
      <w:lvlText w:val="o"/>
      <w:lvlJc w:val="left"/>
      <w:pPr>
        <w:ind w:left="3600" w:hanging="360"/>
      </w:pPr>
      <w:rPr>
        <w:rFonts w:ascii="Courier New" w:hAnsi="Courier New" w:hint="default"/>
      </w:rPr>
    </w:lvl>
    <w:lvl w:ilvl="5" w:tplc="D62AABD2">
      <w:start w:val="1"/>
      <w:numFmt w:val="bullet"/>
      <w:lvlText w:val=""/>
      <w:lvlJc w:val="left"/>
      <w:pPr>
        <w:ind w:left="4320" w:hanging="360"/>
      </w:pPr>
      <w:rPr>
        <w:rFonts w:ascii="Wingdings" w:hAnsi="Wingdings" w:hint="default"/>
      </w:rPr>
    </w:lvl>
    <w:lvl w:ilvl="6" w:tplc="29309D7A">
      <w:start w:val="1"/>
      <w:numFmt w:val="bullet"/>
      <w:lvlText w:val=""/>
      <w:lvlJc w:val="left"/>
      <w:pPr>
        <w:ind w:left="5040" w:hanging="360"/>
      </w:pPr>
      <w:rPr>
        <w:rFonts w:ascii="Symbol" w:hAnsi="Symbol" w:hint="default"/>
      </w:rPr>
    </w:lvl>
    <w:lvl w:ilvl="7" w:tplc="EEC23974">
      <w:start w:val="1"/>
      <w:numFmt w:val="bullet"/>
      <w:lvlText w:val="o"/>
      <w:lvlJc w:val="left"/>
      <w:pPr>
        <w:ind w:left="5760" w:hanging="360"/>
      </w:pPr>
      <w:rPr>
        <w:rFonts w:ascii="Courier New" w:hAnsi="Courier New" w:hint="default"/>
      </w:rPr>
    </w:lvl>
    <w:lvl w:ilvl="8" w:tplc="8F1CABF4">
      <w:start w:val="1"/>
      <w:numFmt w:val="bullet"/>
      <w:lvlText w:val=""/>
      <w:lvlJc w:val="left"/>
      <w:pPr>
        <w:ind w:left="6480" w:hanging="360"/>
      </w:pPr>
      <w:rPr>
        <w:rFonts w:ascii="Wingdings" w:hAnsi="Wingdings" w:hint="default"/>
      </w:rPr>
    </w:lvl>
  </w:abstractNum>
  <w:abstractNum w:abstractNumId="90" w15:restartNumberingAfterBreak="0">
    <w:nsid w:val="45CC5C27"/>
    <w:multiLevelType w:val="hybridMultilevel"/>
    <w:tmpl w:val="06648132"/>
    <w:lvl w:ilvl="0" w:tplc="F86284B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15:restartNumberingAfterBreak="0">
    <w:nsid w:val="475E297D"/>
    <w:multiLevelType w:val="hybridMultilevel"/>
    <w:tmpl w:val="B0AE7C58"/>
    <w:lvl w:ilvl="0" w:tplc="11425A50">
      <w:start w:val="2"/>
      <w:numFmt w:val="lowerLetter"/>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2" w15:restartNumberingAfterBreak="0">
    <w:nsid w:val="47722700"/>
    <w:multiLevelType w:val="hybridMultilevel"/>
    <w:tmpl w:val="948A20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91866C7"/>
    <w:multiLevelType w:val="hybridMultilevel"/>
    <w:tmpl w:val="82E06CC4"/>
    <w:lvl w:ilvl="0" w:tplc="3D626BBE">
      <w:start w:val="1"/>
      <w:numFmt w:val="decimal"/>
      <w:pStyle w:val="bis"/>
      <w:lvlText w:val="II.22.%1"/>
      <w:lvlJc w:val="right"/>
      <w:pPr>
        <w:ind w:left="993"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4" w15:restartNumberingAfterBreak="0">
    <w:nsid w:val="4991717D"/>
    <w:multiLevelType w:val="hybridMultilevel"/>
    <w:tmpl w:val="3FB454F6"/>
    <w:lvl w:ilvl="0" w:tplc="E39EDBF0">
      <w:start w:val="31"/>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5" w15:restartNumberingAfterBreak="0">
    <w:nsid w:val="49C3AC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15:restartNumberingAfterBreak="0">
    <w:nsid w:val="4A8804D4"/>
    <w:multiLevelType w:val="multilevel"/>
    <w:tmpl w:val="CC44EA36"/>
    <w:lvl w:ilvl="0">
      <w:start w:val="1"/>
      <w:numFmt w:val="bullet"/>
      <w:lvlText w:val="o"/>
      <w:lvlJc w:val="left"/>
      <w:pPr>
        <w:tabs>
          <w:tab w:val="left" w:pos="-148"/>
        </w:tabs>
        <w:ind w:left="284" w:firstLine="0"/>
      </w:pPr>
      <w:rPr>
        <w:rFonts w:ascii="Courier New" w:hAnsi="Courier New" w:cs="Courier New" w:hint="default"/>
        <w:strike w:val="0"/>
        <w:dstrike w:val="0"/>
        <w:color w:val="000000"/>
        <w:spacing w:val="0"/>
        <w:w w:val="100"/>
        <w:sz w:val="24"/>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7" w15:restartNumberingAfterBreak="0">
    <w:nsid w:val="4AA14B76"/>
    <w:multiLevelType w:val="multilevel"/>
    <w:tmpl w:val="4496A78C"/>
    <w:lvl w:ilvl="0">
      <w:start w:val="1"/>
      <w:numFmt w:val="upperRoman"/>
      <w:lvlText w:val="%1."/>
      <w:lvlJc w:val="left"/>
      <w:pPr>
        <w:ind w:left="567" w:hanging="567"/>
      </w:pPr>
      <w:rPr>
        <w:rFonts w:ascii="Calibri" w:hAnsi="Calibri" w:hint="default"/>
        <w:b/>
        <w:i w:val="0"/>
        <w:caps/>
        <w:sz w:val="26"/>
        <w:u w:val="none"/>
      </w:rPr>
    </w:lvl>
    <w:lvl w:ilvl="1">
      <w:start w:val="1"/>
      <w:numFmt w:val="decimal"/>
      <w:lvlRestart w:val="0"/>
      <w:pStyle w:val="2"/>
      <w:lvlText w:val="I.%2."/>
      <w:lvlJc w:val="left"/>
      <w:pPr>
        <w:ind w:left="567" w:hanging="567"/>
      </w:pPr>
      <w:rPr>
        <w:rFonts w:ascii="Calibri" w:hAnsi="Calibri" w:hint="default"/>
        <w:b/>
        <w:i w:val="0"/>
        <w:caps w:val="0"/>
        <w:sz w:val="26"/>
        <w:u w:val="none"/>
        <w:lang w:val="fr-FR"/>
      </w:rPr>
    </w:lvl>
    <w:lvl w:ilvl="2">
      <w:start w:val="1"/>
      <w:numFmt w:val="decimal"/>
      <w:lvlText w:val="I.1.%3"/>
      <w:lvlJc w:val="left"/>
      <w:pPr>
        <w:tabs>
          <w:tab w:val="num" w:pos="624"/>
        </w:tabs>
        <w:ind w:left="567" w:hanging="567"/>
      </w:pPr>
      <w:rPr>
        <w:rFonts w:ascii="Calibri" w:hAnsi="Calibri" w:hint="default"/>
        <w:b/>
        <w:bCs w:val="0"/>
        <w:i w:val="0"/>
        <w:color w:val="auto"/>
        <w:sz w:val="26"/>
        <w:szCs w:val="26"/>
      </w:rPr>
    </w:lvl>
    <w:lvl w:ilvl="3">
      <w:start w:val="1"/>
      <w:numFmt w:val="decimal"/>
      <w:lvlText w:val="%4."/>
      <w:lvlJc w:val="left"/>
      <w:pPr>
        <w:ind w:left="567" w:hanging="283"/>
      </w:pPr>
      <w:rPr>
        <w:rFonts w:ascii="Calibri" w:hAnsi="Calibri" w:hint="default"/>
        <w:b/>
        <w:i w:val="0"/>
        <w:sz w:val="24"/>
        <w:u w:val="none"/>
      </w:rPr>
    </w:lvl>
    <w:lvl w:ilvl="4">
      <w:start w:val="1"/>
      <w:numFmt w:val="decimal"/>
      <w:lvlText w:val="1.%5."/>
      <w:lvlJc w:val="left"/>
      <w:pPr>
        <w:ind w:left="567" w:hanging="283"/>
      </w:pPr>
      <w:rPr>
        <w:rFonts w:ascii="Calibri" w:hAnsi="Calibri" w:hint="default"/>
        <w:b w:val="0"/>
        <w:bCs/>
        <w:i/>
        <w:sz w:val="24"/>
        <w:u w:val="single"/>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8" w15:restartNumberingAfterBreak="0">
    <w:nsid w:val="4AF8497C"/>
    <w:multiLevelType w:val="multilevel"/>
    <w:tmpl w:val="42EA59E8"/>
    <w:lvl w:ilvl="0">
      <w:start w:val="1"/>
      <w:numFmt w:val="decimal"/>
      <w:lvlText w:val="%1."/>
      <w:lvlJc w:val="left"/>
      <w:pPr>
        <w:tabs>
          <w:tab w:val="left" w:pos="360"/>
        </w:tabs>
        <w:ind w:left="720"/>
      </w:pPr>
      <w:rPr>
        <w:rFonts w:asciiTheme="minorHAnsi" w:eastAsia="Times New Roman" w:hAnsiTheme="minorHAnsi" w:cstheme="minorHAnsi" w:hint="default"/>
        <w:strike w:val="0"/>
        <w:color w:val="000000"/>
        <w:spacing w:val="-2"/>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B58E8CF"/>
    <w:multiLevelType w:val="hybridMultilevel"/>
    <w:tmpl w:val="6C18359C"/>
    <w:lvl w:ilvl="0" w:tplc="05FA9E4C">
      <w:start w:val="1"/>
      <w:numFmt w:val="bullet"/>
      <w:lvlText w:val="-"/>
      <w:lvlJc w:val="left"/>
      <w:pPr>
        <w:ind w:left="720" w:hanging="360"/>
      </w:pPr>
      <w:rPr>
        <w:rFonts w:ascii="Aptos" w:hAnsi="Aptos" w:hint="default"/>
      </w:rPr>
    </w:lvl>
    <w:lvl w:ilvl="1" w:tplc="7A50E19E">
      <w:start w:val="1"/>
      <w:numFmt w:val="bullet"/>
      <w:lvlText w:val="o"/>
      <w:lvlJc w:val="left"/>
      <w:pPr>
        <w:ind w:left="1440" w:hanging="360"/>
      </w:pPr>
      <w:rPr>
        <w:rFonts w:ascii="Courier New" w:hAnsi="Courier New" w:hint="default"/>
      </w:rPr>
    </w:lvl>
    <w:lvl w:ilvl="2" w:tplc="1996FC16">
      <w:start w:val="1"/>
      <w:numFmt w:val="bullet"/>
      <w:lvlText w:val=""/>
      <w:lvlJc w:val="left"/>
      <w:pPr>
        <w:ind w:left="2160" w:hanging="360"/>
      </w:pPr>
      <w:rPr>
        <w:rFonts w:ascii="Wingdings" w:hAnsi="Wingdings" w:hint="default"/>
      </w:rPr>
    </w:lvl>
    <w:lvl w:ilvl="3" w:tplc="5F74654A">
      <w:start w:val="1"/>
      <w:numFmt w:val="bullet"/>
      <w:lvlText w:val=""/>
      <w:lvlJc w:val="left"/>
      <w:pPr>
        <w:ind w:left="2880" w:hanging="360"/>
      </w:pPr>
      <w:rPr>
        <w:rFonts w:ascii="Symbol" w:hAnsi="Symbol" w:hint="default"/>
      </w:rPr>
    </w:lvl>
    <w:lvl w:ilvl="4" w:tplc="4F1A329E">
      <w:start w:val="1"/>
      <w:numFmt w:val="bullet"/>
      <w:lvlText w:val="o"/>
      <w:lvlJc w:val="left"/>
      <w:pPr>
        <w:ind w:left="3600" w:hanging="360"/>
      </w:pPr>
      <w:rPr>
        <w:rFonts w:ascii="Courier New" w:hAnsi="Courier New" w:hint="default"/>
      </w:rPr>
    </w:lvl>
    <w:lvl w:ilvl="5" w:tplc="321E19B2">
      <w:start w:val="1"/>
      <w:numFmt w:val="bullet"/>
      <w:lvlText w:val=""/>
      <w:lvlJc w:val="left"/>
      <w:pPr>
        <w:ind w:left="4320" w:hanging="360"/>
      </w:pPr>
      <w:rPr>
        <w:rFonts w:ascii="Wingdings" w:hAnsi="Wingdings" w:hint="default"/>
      </w:rPr>
    </w:lvl>
    <w:lvl w:ilvl="6" w:tplc="188E59EE">
      <w:start w:val="1"/>
      <w:numFmt w:val="bullet"/>
      <w:lvlText w:val=""/>
      <w:lvlJc w:val="left"/>
      <w:pPr>
        <w:ind w:left="5040" w:hanging="360"/>
      </w:pPr>
      <w:rPr>
        <w:rFonts w:ascii="Symbol" w:hAnsi="Symbol" w:hint="default"/>
      </w:rPr>
    </w:lvl>
    <w:lvl w:ilvl="7" w:tplc="55CCE264">
      <w:start w:val="1"/>
      <w:numFmt w:val="bullet"/>
      <w:lvlText w:val="o"/>
      <w:lvlJc w:val="left"/>
      <w:pPr>
        <w:ind w:left="5760" w:hanging="360"/>
      </w:pPr>
      <w:rPr>
        <w:rFonts w:ascii="Courier New" w:hAnsi="Courier New" w:hint="default"/>
      </w:rPr>
    </w:lvl>
    <w:lvl w:ilvl="8" w:tplc="ABEC1E9E">
      <w:start w:val="1"/>
      <w:numFmt w:val="bullet"/>
      <w:lvlText w:val=""/>
      <w:lvlJc w:val="left"/>
      <w:pPr>
        <w:ind w:left="6480" w:hanging="360"/>
      </w:pPr>
      <w:rPr>
        <w:rFonts w:ascii="Wingdings" w:hAnsi="Wingdings" w:hint="default"/>
      </w:rPr>
    </w:lvl>
  </w:abstractNum>
  <w:abstractNum w:abstractNumId="100" w15:restartNumberingAfterBreak="0">
    <w:nsid w:val="4D0E8E4D"/>
    <w:multiLevelType w:val="hybridMultilevel"/>
    <w:tmpl w:val="14508164"/>
    <w:lvl w:ilvl="0" w:tplc="4404A824">
      <w:start w:val="1"/>
      <w:numFmt w:val="bullet"/>
      <w:lvlText w:val="-"/>
      <w:lvlJc w:val="left"/>
      <w:pPr>
        <w:ind w:left="720" w:hanging="360"/>
      </w:pPr>
      <w:rPr>
        <w:rFonts w:ascii="Aptos" w:hAnsi="Aptos" w:hint="default"/>
      </w:rPr>
    </w:lvl>
    <w:lvl w:ilvl="1" w:tplc="1F18674C">
      <w:start w:val="1"/>
      <w:numFmt w:val="bullet"/>
      <w:lvlText w:val="o"/>
      <w:lvlJc w:val="left"/>
      <w:pPr>
        <w:ind w:left="1440" w:hanging="360"/>
      </w:pPr>
      <w:rPr>
        <w:rFonts w:ascii="Courier New" w:hAnsi="Courier New" w:hint="default"/>
      </w:rPr>
    </w:lvl>
    <w:lvl w:ilvl="2" w:tplc="4BEC0DFE">
      <w:start w:val="1"/>
      <w:numFmt w:val="bullet"/>
      <w:lvlText w:val=""/>
      <w:lvlJc w:val="left"/>
      <w:pPr>
        <w:ind w:left="2160" w:hanging="360"/>
      </w:pPr>
      <w:rPr>
        <w:rFonts w:ascii="Wingdings" w:hAnsi="Wingdings" w:hint="default"/>
      </w:rPr>
    </w:lvl>
    <w:lvl w:ilvl="3" w:tplc="3F6A26A0">
      <w:start w:val="1"/>
      <w:numFmt w:val="bullet"/>
      <w:lvlText w:val=""/>
      <w:lvlJc w:val="left"/>
      <w:pPr>
        <w:ind w:left="2880" w:hanging="360"/>
      </w:pPr>
      <w:rPr>
        <w:rFonts w:ascii="Symbol" w:hAnsi="Symbol" w:hint="default"/>
      </w:rPr>
    </w:lvl>
    <w:lvl w:ilvl="4" w:tplc="1DCC99E4">
      <w:start w:val="1"/>
      <w:numFmt w:val="bullet"/>
      <w:lvlText w:val="o"/>
      <w:lvlJc w:val="left"/>
      <w:pPr>
        <w:ind w:left="3600" w:hanging="360"/>
      </w:pPr>
      <w:rPr>
        <w:rFonts w:ascii="Courier New" w:hAnsi="Courier New" w:hint="default"/>
      </w:rPr>
    </w:lvl>
    <w:lvl w:ilvl="5" w:tplc="2DFEC8F8">
      <w:start w:val="1"/>
      <w:numFmt w:val="bullet"/>
      <w:lvlText w:val=""/>
      <w:lvlJc w:val="left"/>
      <w:pPr>
        <w:ind w:left="4320" w:hanging="360"/>
      </w:pPr>
      <w:rPr>
        <w:rFonts w:ascii="Wingdings" w:hAnsi="Wingdings" w:hint="default"/>
      </w:rPr>
    </w:lvl>
    <w:lvl w:ilvl="6" w:tplc="63148BD2">
      <w:start w:val="1"/>
      <w:numFmt w:val="bullet"/>
      <w:lvlText w:val=""/>
      <w:lvlJc w:val="left"/>
      <w:pPr>
        <w:ind w:left="5040" w:hanging="360"/>
      </w:pPr>
      <w:rPr>
        <w:rFonts w:ascii="Symbol" w:hAnsi="Symbol" w:hint="default"/>
      </w:rPr>
    </w:lvl>
    <w:lvl w:ilvl="7" w:tplc="77300B68">
      <w:start w:val="1"/>
      <w:numFmt w:val="bullet"/>
      <w:lvlText w:val="o"/>
      <w:lvlJc w:val="left"/>
      <w:pPr>
        <w:ind w:left="5760" w:hanging="360"/>
      </w:pPr>
      <w:rPr>
        <w:rFonts w:ascii="Courier New" w:hAnsi="Courier New" w:hint="default"/>
      </w:rPr>
    </w:lvl>
    <w:lvl w:ilvl="8" w:tplc="DE366828">
      <w:start w:val="1"/>
      <w:numFmt w:val="bullet"/>
      <w:lvlText w:val=""/>
      <w:lvlJc w:val="left"/>
      <w:pPr>
        <w:ind w:left="6480" w:hanging="360"/>
      </w:pPr>
      <w:rPr>
        <w:rFonts w:ascii="Wingdings" w:hAnsi="Wingdings" w:hint="default"/>
      </w:rPr>
    </w:lvl>
  </w:abstractNum>
  <w:abstractNum w:abstractNumId="101" w15:restartNumberingAfterBreak="0">
    <w:nsid w:val="4D284D88"/>
    <w:multiLevelType w:val="hybridMultilevel"/>
    <w:tmpl w:val="13761D5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2" w15:restartNumberingAfterBreak="0">
    <w:nsid w:val="4EB123B1"/>
    <w:multiLevelType w:val="multilevel"/>
    <w:tmpl w:val="FC16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C3D774"/>
    <w:multiLevelType w:val="hybridMultilevel"/>
    <w:tmpl w:val="8814D222"/>
    <w:lvl w:ilvl="0" w:tplc="14F8E2AA">
      <w:start w:val="1"/>
      <w:numFmt w:val="bullet"/>
      <w:lvlText w:val="-"/>
      <w:lvlJc w:val="left"/>
      <w:pPr>
        <w:ind w:left="720" w:hanging="360"/>
      </w:pPr>
      <w:rPr>
        <w:rFonts w:ascii="Aptos" w:hAnsi="Aptos" w:hint="default"/>
      </w:rPr>
    </w:lvl>
    <w:lvl w:ilvl="1" w:tplc="5380B852">
      <w:start w:val="1"/>
      <w:numFmt w:val="bullet"/>
      <w:lvlText w:val="o"/>
      <w:lvlJc w:val="left"/>
      <w:pPr>
        <w:ind w:left="1440" w:hanging="360"/>
      </w:pPr>
      <w:rPr>
        <w:rFonts w:ascii="Courier New" w:hAnsi="Courier New" w:hint="default"/>
      </w:rPr>
    </w:lvl>
    <w:lvl w:ilvl="2" w:tplc="B970AC52">
      <w:start w:val="1"/>
      <w:numFmt w:val="bullet"/>
      <w:lvlText w:val=""/>
      <w:lvlJc w:val="left"/>
      <w:pPr>
        <w:ind w:left="2160" w:hanging="360"/>
      </w:pPr>
      <w:rPr>
        <w:rFonts w:ascii="Wingdings" w:hAnsi="Wingdings" w:hint="default"/>
      </w:rPr>
    </w:lvl>
    <w:lvl w:ilvl="3" w:tplc="6EE00042">
      <w:start w:val="1"/>
      <w:numFmt w:val="bullet"/>
      <w:lvlText w:val=""/>
      <w:lvlJc w:val="left"/>
      <w:pPr>
        <w:ind w:left="2880" w:hanging="360"/>
      </w:pPr>
      <w:rPr>
        <w:rFonts w:ascii="Symbol" w:hAnsi="Symbol" w:hint="default"/>
      </w:rPr>
    </w:lvl>
    <w:lvl w:ilvl="4" w:tplc="1CE03F92">
      <w:start w:val="1"/>
      <w:numFmt w:val="bullet"/>
      <w:lvlText w:val="o"/>
      <w:lvlJc w:val="left"/>
      <w:pPr>
        <w:ind w:left="3600" w:hanging="360"/>
      </w:pPr>
      <w:rPr>
        <w:rFonts w:ascii="Courier New" w:hAnsi="Courier New" w:hint="default"/>
      </w:rPr>
    </w:lvl>
    <w:lvl w:ilvl="5" w:tplc="3CDC44B8">
      <w:start w:val="1"/>
      <w:numFmt w:val="bullet"/>
      <w:lvlText w:val=""/>
      <w:lvlJc w:val="left"/>
      <w:pPr>
        <w:ind w:left="4320" w:hanging="360"/>
      </w:pPr>
      <w:rPr>
        <w:rFonts w:ascii="Wingdings" w:hAnsi="Wingdings" w:hint="default"/>
      </w:rPr>
    </w:lvl>
    <w:lvl w:ilvl="6" w:tplc="BD4A6CD2">
      <w:start w:val="1"/>
      <w:numFmt w:val="bullet"/>
      <w:lvlText w:val=""/>
      <w:lvlJc w:val="left"/>
      <w:pPr>
        <w:ind w:left="5040" w:hanging="360"/>
      </w:pPr>
      <w:rPr>
        <w:rFonts w:ascii="Symbol" w:hAnsi="Symbol" w:hint="default"/>
      </w:rPr>
    </w:lvl>
    <w:lvl w:ilvl="7" w:tplc="55306CA4">
      <w:start w:val="1"/>
      <w:numFmt w:val="bullet"/>
      <w:lvlText w:val="o"/>
      <w:lvlJc w:val="left"/>
      <w:pPr>
        <w:ind w:left="5760" w:hanging="360"/>
      </w:pPr>
      <w:rPr>
        <w:rFonts w:ascii="Courier New" w:hAnsi="Courier New" w:hint="default"/>
      </w:rPr>
    </w:lvl>
    <w:lvl w:ilvl="8" w:tplc="4E26A058">
      <w:start w:val="1"/>
      <w:numFmt w:val="bullet"/>
      <w:lvlText w:val=""/>
      <w:lvlJc w:val="left"/>
      <w:pPr>
        <w:ind w:left="6480" w:hanging="360"/>
      </w:pPr>
      <w:rPr>
        <w:rFonts w:ascii="Wingdings" w:hAnsi="Wingdings" w:hint="default"/>
      </w:rPr>
    </w:lvl>
  </w:abstractNum>
  <w:abstractNum w:abstractNumId="104" w15:restartNumberingAfterBreak="0">
    <w:nsid w:val="4F7D4544"/>
    <w:multiLevelType w:val="hybridMultilevel"/>
    <w:tmpl w:val="5D1C4D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FB23405"/>
    <w:multiLevelType w:val="hybridMultilevel"/>
    <w:tmpl w:val="C81EA6E4"/>
    <w:lvl w:ilvl="0" w:tplc="D98A2B14">
      <w:start w:val="2"/>
      <w:numFmt w:val="lowerLetter"/>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6" w15:restartNumberingAfterBreak="0">
    <w:nsid w:val="4FC5F42B"/>
    <w:multiLevelType w:val="hybridMultilevel"/>
    <w:tmpl w:val="FFFFFFFF"/>
    <w:lvl w:ilvl="0" w:tplc="1C400C6E">
      <w:start w:val="1"/>
      <w:numFmt w:val="bullet"/>
      <w:lvlText w:val="·"/>
      <w:lvlJc w:val="left"/>
      <w:pPr>
        <w:ind w:left="720" w:hanging="360"/>
      </w:pPr>
      <w:rPr>
        <w:rFonts w:ascii="Symbol" w:hAnsi="Symbol" w:hint="default"/>
      </w:rPr>
    </w:lvl>
    <w:lvl w:ilvl="1" w:tplc="48C0603A">
      <w:start w:val="1"/>
      <w:numFmt w:val="bullet"/>
      <w:lvlText w:val="o"/>
      <w:lvlJc w:val="left"/>
      <w:pPr>
        <w:ind w:left="1440" w:hanging="360"/>
      </w:pPr>
      <w:rPr>
        <w:rFonts w:ascii="Courier New" w:hAnsi="Courier New" w:hint="default"/>
      </w:rPr>
    </w:lvl>
    <w:lvl w:ilvl="2" w:tplc="19DC60A0">
      <w:start w:val="1"/>
      <w:numFmt w:val="bullet"/>
      <w:lvlText w:val=""/>
      <w:lvlJc w:val="left"/>
      <w:pPr>
        <w:ind w:left="2160" w:hanging="360"/>
      </w:pPr>
      <w:rPr>
        <w:rFonts w:ascii="Wingdings" w:hAnsi="Wingdings" w:hint="default"/>
      </w:rPr>
    </w:lvl>
    <w:lvl w:ilvl="3" w:tplc="711469B6">
      <w:start w:val="1"/>
      <w:numFmt w:val="bullet"/>
      <w:lvlText w:val=""/>
      <w:lvlJc w:val="left"/>
      <w:pPr>
        <w:ind w:left="2880" w:hanging="360"/>
      </w:pPr>
      <w:rPr>
        <w:rFonts w:ascii="Symbol" w:hAnsi="Symbol" w:hint="default"/>
      </w:rPr>
    </w:lvl>
    <w:lvl w:ilvl="4" w:tplc="CC78A61A">
      <w:start w:val="1"/>
      <w:numFmt w:val="bullet"/>
      <w:lvlText w:val="o"/>
      <w:lvlJc w:val="left"/>
      <w:pPr>
        <w:ind w:left="3600" w:hanging="360"/>
      </w:pPr>
      <w:rPr>
        <w:rFonts w:ascii="Courier New" w:hAnsi="Courier New" w:hint="default"/>
      </w:rPr>
    </w:lvl>
    <w:lvl w:ilvl="5" w:tplc="CA828212">
      <w:start w:val="1"/>
      <w:numFmt w:val="bullet"/>
      <w:lvlText w:val=""/>
      <w:lvlJc w:val="left"/>
      <w:pPr>
        <w:ind w:left="4320" w:hanging="360"/>
      </w:pPr>
      <w:rPr>
        <w:rFonts w:ascii="Wingdings" w:hAnsi="Wingdings" w:hint="default"/>
      </w:rPr>
    </w:lvl>
    <w:lvl w:ilvl="6" w:tplc="85E2D9F0">
      <w:start w:val="1"/>
      <w:numFmt w:val="bullet"/>
      <w:lvlText w:val=""/>
      <w:lvlJc w:val="left"/>
      <w:pPr>
        <w:ind w:left="5040" w:hanging="360"/>
      </w:pPr>
      <w:rPr>
        <w:rFonts w:ascii="Symbol" w:hAnsi="Symbol" w:hint="default"/>
      </w:rPr>
    </w:lvl>
    <w:lvl w:ilvl="7" w:tplc="48BCDD54">
      <w:start w:val="1"/>
      <w:numFmt w:val="bullet"/>
      <w:lvlText w:val="o"/>
      <w:lvlJc w:val="left"/>
      <w:pPr>
        <w:ind w:left="5760" w:hanging="360"/>
      </w:pPr>
      <w:rPr>
        <w:rFonts w:ascii="Courier New" w:hAnsi="Courier New" w:hint="default"/>
      </w:rPr>
    </w:lvl>
    <w:lvl w:ilvl="8" w:tplc="84AE9762">
      <w:start w:val="1"/>
      <w:numFmt w:val="bullet"/>
      <w:lvlText w:val=""/>
      <w:lvlJc w:val="left"/>
      <w:pPr>
        <w:ind w:left="6480" w:hanging="360"/>
      </w:pPr>
      <w:rPr>
        <w:rFonts w:ascii="Wingdings" w:hAnsi="Wingdings" w:hint="default"/>
      </w:rPr>
    </w:lvl>
  </w:abstractNum>
  <w:abstractNum w:abstractNumId="107" w15:restartNumberingAfterBreak="0">
    <w:nsid w:val="50156B48"/>
    <w:multiLevelType w:val="hybridMultilevel"/>
    <w:tmpl w:val="57C45CF4"/>
    <w:lvl w:ilvl="0" w:tplc="C4FECA02">
      <w:start w:val="3"/>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8" w15:restartNumberingAfterBreak="0">
    <w:nsid w:val="50B319D3"/>
    <w:multiLevelType w:val="hybridMultilevel"/>
    <w:tmpl w:val="C74AE8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9" w15:restartNumberingAfterBreak="0">
    <w:nsid w:val="517714A0"/>
    <w:multiLevelType w:val="hybridMultilevel"/>
    <w:tmpl w:val="1362D5B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1B96BED"/>
    <w:multiLevelType w:val="hybridMultilevel"/>
    <w:tmpl w:val="909AC5E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23869AA"/>
    <w:multiLevelType w:val="multilevel"/>
    <w:tmpl w:val="B314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28E462E"/>
    <w:multiLevelType w:val="hybridMultilevel"/>
    <w:tmpl w:val="402C2FDE"/>
    <w:lvl w:ilvl="0" w:tplc="080C0001">
      <w:start w:val="1"/>
      <w:numFmt w:val="bullet"/>
      <w:lvlText w:val=""/>
      <w:lvlJc w:val="left"/>
      <w:pPr>
        <w:ind w:left="504" w:hanging="360"/>
      </w:pPr>
      <w:rPr>
        <w:rFonts w:ascii="Symbol" w:hAnsi="Symbol" w:hint="default"/>
      </w:rPr>
    </w:lvl>
    <w:lvl w:ilvl="1" w:tplc="080C0003">
      <w:start w:val="1"/>
      <w:numFmt w:val="bullet"/>
      <w:lvlText w:val="o"/>
      <w:lvlJc w:val="left"/>
      <w:pPr>
        <w:ind w:left="1224" w:hanging="360"/>
      </w:pPr>
      <w:rPr>
        <w:rFonts w:ascii="Courier New" w:hAnsi="Courier New" w:cs="Courier New" w:hint="default"/>
      </w:rPr>
    </w:lvl>
    <w:lvl w:ilvl="2" w:tplc="080C0005" w:tentative="1">
      <w:start w:val="1"/>
      <w:numFmt w:val="bullet"/>
      <w:lvlText w:val=""/>
      <w:lvlJc w:val="left"/>
      <w:pPr>
        <w:ind w:left="1944" w:hanging="360"/>
      </w:pPr>
      <w:rPr>
        <w:rFonts w:ascii="Wingdings" w:hAnsi="Wingdings" w:hint="default"/>
      </w:rPr>
    </w:lvl>
    <w:lvl w:ilvl="3" w:tplc="080C0001" w:tentative="1">
      <w:start w:val="1"/>
      <w:numFmt w:val="bullet"/>
      <w:lvlText w:val=""/>
      <w:lvlJc w:val="left"/>
      <w:pPr>
        <w:ind w:left="2664" w:hanging="360"/>
      </w:pPr>
      <w:rPr>
        <w:rFonts w:ascii="Symbol" w:hAnsi="Symbol" w:hint="default"/>
      </w:rPr>
    </w:lvl>
    <w:lvl w:ilvl="4" w:tplc="080C0003" w:tentative="1">
      <w:start w:val="1"/>
      <w:numFmt w:val="bullet"/>
      <w:lvlText w:val="o"/>
      <w:lvlJc w:val="left"/>
      <w:pPr>
        <w:ind w:left="3384" w:hanging="360"/>
      </w:pPr>
      <w:rPr>
        <w:rFonts w:ascii="Courier New" w:hAnsi="Courier New" w:cs="Courier New" w:hint="default"/>
      </w:rPr>
    </w:lvl>
    <w:lvl w:ilvl="5" w:tplc="080C0005" w:tentative="1">
      <w:start w:val="1"/>
      <w:numFmt w:val="bullet"/>
      <w:lvlText w:val=""/>
      <w:lvlJc w:val="left"/>
      <w:pPr>
        <w:ind w:left="4104" w:hanging="360"/>
      </w:pPr>
      <w:rPr>
        <w:rFonts w:ascii="Wingdings" w:hAnsi="Wingdings" w:hint="default"/>
      </w:rPr>
    </w:lvl>
    <w:lvl w:ilvl="6" w:tplc="080C0001" w:tentative="1">
      <w:start w:val="1"/>
      <w:numFmt w:val="bullet"/>
      <w:lvlText w:val=""/>
      <w:lvlJc w:val="left"/>
      <w:pPr>
        <w:ind w:left="4824" w:hanging="360"/>
      </w:pPr>
      <w:rPr>
        <w:rFonts w:ascii="Symbol" w:hAnsi="Symbol" w:hint="default"/>
      </w:rPr>
    </w:lvl>
    <w:lvl w:ilvl="7" w:tplc="080C0003" w:tentative="1">
      <w:start w:val="1"/>
      <w:numFmt w:val="bullet"/>
      <w:lvlText w:val="o"/>
      <w:lvlJc w:val="left"/>
      <w:pPr>
        <w:ind w:left="5544" w:hanging="360"/>
      </w:pPr>
      <w:rPr>
        <w:rFonts w:ascii="Courier New" w:hAnsi="Courier New" w:cs="Courier New" w:hint="default"/>
      </w:rPr>
    </w:lvl>
    <w:lvl w:ilvl="8" w:tplc="080C0005" w:tentative="1">
      <w:start w:val="1"/>
      <w:numFmt w:val="bullet"/>
      <w:lvlText w:val=""/>
      <w:lvlJc w:val="left"/>
      <w:pPr>
        <w:ind w:left="6264" w:hanging="360"/>
      </w:pPr>
      <w:rPr>
        <w:rFonts w:ascii="Wingdings" w:hAnsi="Wingdings" w:hint="default"/>
      </w:rPr>
    </w:lvl>
  </w:abstractNum>
  <w:abstractNum w:abstractNumId="113" w15:restartNumberingAfterBreak="0">
    <w:nsid w:val="53467C2E"/>
    <w:multiLevelType w:val="hybridMultilevel"/>
    <w:tmpl w:val="F9388070"/>
    <w:lvl w:ilvl="0" w:tplc="0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4" w15:restartNumberingAfterBreak="0">
    <w:nsid w:val="541E3CA8"/>
    <w:multiLevelType w:val="multilevel"/>
    <w:tmpl w:val="9030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4730CE1"/>
    <w:multiLevelType w:val="hybridMultilevel"/>
    <w:tmpl w:val="74685E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48C41D0"/>
    <w:multiLevelType w:val="hybridMultilevel"/>
    <w:tmpl w:val="1BF252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4F7602E"/>
    <w:multiLevelType w:val="multilevel"/>
    <w:tmpl w:val="90126CF0"/>
    <w:lvl w:ilvl="0">
      <w:start w:val="1"/>
      <w:numFmt w:val="upperRoman"/>
      <w:pStyle w:val="Sam1"/>
      <w:lvlText w:val="%1."/>
      <w:lvlJc w:val="left"/>
      <w:pPr>
        <w:ind w:left="1135" w:hanging="851"/>
      </w:pPr>
    </w:lvl>
    <w:lvl w:ilvl="1">
      <w:start w:val="1"/>
      <w:numFmt w:val="decimal"/>
      <w:pStyle w:val="Sam2"/>
      <w:lvlText w:val="%1.%2."/>
      <w:lvlJc w:val="left"/>
      <w:pPr>
        <w:ind w:left="851" w:hanging="851"/>
      </w:pPr>
      <w:rPr>
        <w:rFonts w:hint="default"/>
        <w:lang w:val="fr-FR"/>
      </w:rPr>
    </w:lvl>
    <w:lvl w:ilvl="2">
      <w:start w:val="1"/>
      <w:numFmt w:val="decimal"/>
      <w:pStyle w:val="Sam4"/>
      <w:lvlText w:val="%1.%2.%3."/>
      <w:lvlJc w:val="right"/>
      <w:pPr>
        <w:ind w:left="851" w:hanging="851"/>
      </w:pPr>
      <w:rPr>
        <w:rFonts w:hint="default"/>
        <w:b/>
        <w:bCs w:val="0"/>
        <w:color w:val="auto"/>
        <w:sz w:val="26"/>
        <w:szCs w:val="26"/>
      </w:rPr>
    </w:lvl>
    <w:lvl w:ilvl="3">
      <w:start w:val="1"/>
      <w:numFmt w:val="lowerLetter"/>
      <w:lvlText w:val="%4)"/>
      <w:lvlJc w:val="left"/>
      <w:pPr>
        <w:ind w:left="1843" w:hanging="567"/>
      </w:pPr>
      <w:rPr>
        <w:rFonts w:hint="default"/>
        <w:b w:val="0"/>
        <w:i/>
      </w:rPr>
    </w:lvl>
    <w:lvl w:ilvl="4">
      <w:start w:val="1"/>
      <w:numFmt w:val="decimal"/>
      <w:lvlText w:val="%5."/>
      <w:lvlJc w:val="left"/>
      <w:pPr>
        <w:ind w:left="1985" w:hanging="567"/>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55597E43"/>
    <w:multiLevelType w:val="multilevel"/>
    <w:tmpl w:val="3A98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5A85717"/>
    <w:multiLevelType w:val="hybridMultilevel"/>
    <w:tmpl w:val="C8BC5C62"/>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5CB0B4C"/>
    <w:multiLevelType w:val="hybridMultilevel"/>
    <w:tmpl w:val="2B0E06A0"/>
    <w:lvl w:ilvl="0" w:tplc="080C0001">
      <w:start w:val="1"/>
      <w:numFmt w:val="bullet"/>
      <w:lvlText w:val=""/>
      <w:lvlJc w:val="left"/>
      <w:pPr>
        <w:ind w:left="720" w:hanging="360"/>
      </w:pPr>
      <w:rPr>
        <w:rFonts w:ascii="Symbol" w:hAnsi="Symbol" w:cs="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cs="Wingdings" w:hint="default"/>
      </w:rPr>
    </w:lvl>
    <w:lvl w:ilvl="3" w:tplc="080C0001">
      <w:start w:val="1"/>
      <w:numFmt w:val="bullet"/>
      <w:lvlText w:val=""/>
      <w:lvlJc w:val="left"/>
      <w:pPr>
        <w:ind w:left="2880" w:hanging="360"/>
      </w:pPr>
      <w:rPr>
        <w:rFonts w:ascii="Symbol" w:hAnsi="Symbol" w:cs="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cs="Wingdings" w:hint="default"/>
      </w:rPr>
    </w:lvl>
    <w:lvl w:ilvl="6" w:tplc="080C0001">
      <w:start w:val="1"/>
      <w:numFmt w:val="bullet"/>
      <w:lvlText w:val=""/>
      <w:lvlJc w:val="left"/>
      <w:pPr>
        <w:ind w:left="5040" w:hanging="360"/>
      </w:pPr>
      <w:rPr>
        <w:rFonts w:ascii="Symbol" w:hAnsi="Symbol" w:cs="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cs="Wingdings" w:hint="default"/>
      </w:rPr>
    </w:lvl>
  </w:abstractNum>
  <w:abstractNum w:abstractNumId="121" w15:restartNumberingAfterBreak="0">
    <w:nsid w:val="5782715A"/>
    <w:multiLevelType w:val="hybridMultilevel"/>
    <w:tmpl w:val="5B32F00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2" w15:restartNumberingAfterBreak="0">
    <w:nsid w:val="57FA4F4A"/>
    <w:multiLevelType w:val="hybridMultilevel"/>
    <w:tmpl w:val="D59080B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90F4F3A"/>
    <w:multiLevelType w:val="hybridMultilevel"/>
    <w:tmpl w:val="795079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4" w15:restartNumberingAfterBreak="0">
    <w:nsid w:val="5AFF3F72"/>
    <w:multiLevelType w:val="hybridMultilevel"/>
    <w:tmpl w:val="3EAEEAF4"/>
    <w:lvl w:ilvl="0" w:tplc="080C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5" w15:restartNumberingAfterBreak="0">
    <w:nsid w:val="5B7D11A1"/>
    <w:multiLevelType w:val="hybridMultilevel"/>
    <w:tmpl w:val="25BAD2A8"/>
    <w:lvl w:ilvl="0" w:tplc="080C0015">
      <w:start w:val="1"/>
      <w:numFmt w:val="upp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126" w15:restartNumberingAfterBreak="0">
    <w:nsid w:val="5D38665B"/>
    <w:multiLevelType w:val="hybridMultilevel"/>
    <w:tmpl w:val="E1D8C09C"/>
    <w:lvl w:ilvl="0" w:tplc="F72C0734">
      <w:start w:val="2"/>
      <w:numFmt w:val="lowerLetter"/>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7" w15:restartNumberingAfterBreak="0">
    <w:nsid w:val="5DFE2E05"/>
    <w:multiLevelType w:val="hybridMultilevel"/>
    <w:tmpl w:val="A202CC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E343A0C"/>
    <w:multiLevelType w:val="hybridMultilevel"/>
    <w:tmpl w:val="5366CD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9" w15:restartNumberingAfterBreak="0">
    <w:nsid w:val="5EE53183"/>
    <w:multiLevelType w:val="hybridMultilevel"/>
    <w:tmpl w:val="577462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0" w15:restartNumberingAfterBreak="0">
    <w:nsid w:val="604578DD"/>
    <w:multiLevelType w:val="hybridMultilevel"/>
    <w:tmpl w:val="24E4A7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1" w15:restartNumberingAfterBreak="0">
    <w:nsid w:val="618278BD"/>
    <w:multiLevelType w:val="hybridMultilevel"/>
    <w:tmpl w:val="E9C03142"/>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2634960"/>
    <w:multiLevelType w:val="hybridMultilevel"/>
    <w:tmpl w:val="3A7401B8"/>
    <w:lvl w:ilvl="0" w:tplc="63CE3D4C">
      <w:start w:val="1"/>
      <w:numFmt w:val="decimal"/>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3" w15:restartNumberingAfterBreak="0">
    <w:nsid w:val="626E527E"/>
    <w:multiLevelType w:val="hybridMultilevel"/>
    <w:tmpl w:val="94888C3C"/>
    <w:lvl w:ilvl="0" w:tplc="223A84F4">
      <w:numFmt w:val="bullet"/>
      <w:lvlText w:val="-"/>
      <w:lvlJc w:val="left"/>
      <w:pPr>
        <w:ind w:left="360" w:hanging="360"/>
      </w:pPr>
      <w:rPr>
        <w:rFonts w:ascii="Times New Roman" w:eastAsia="Times New Roman" w:hAnsi="Times New Roman" w:cs="Times New Roman" w:hint="default"/>
        <w:strike w:val="0"/>
        <w:dstrike w:val="0"/>
        <w:u w:val="none"/>
        <w:effect w:val="none"/>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34" w15:restartNumberingAfterBreak="0">
    <w:nsid w:val="62CE3195"/>
    <w:multiLevelType w:val="hybridMultilevel"/>
    <w:tmpl w:val="76F4F164"/>
    <w:lvl w:ilvl="0" w:tplc="27986420">
      <w:start w:val="1"/>
      <w:numFmt w:val="lowerLetter"/>
      <w:pStyle w:val="Sam5"/>
      <w:lvlText w:val="%1)"/>
      <w:lvlJc w:val="left"/>
      <w:pPr>
        <w:ind w:left="1789" w:hanging="360"/>
      </w:pPr>
      <w:rPr>
        <w:rFonts w:hint="default"/>
      </w:rPr>
    </w:lvl>
    <w:lvl w:ilvl="1" w:tplc="080C0019" w:tentative="1">
      <w:start w:val="1"/>
      <w:numFmt w:val="lowerLetter"/>
      <w:lvlText w:val="%2."/>
      <w:lvlJc w:val="left"/>
      <w:pPr>
        <w:ind w:left="2509" w:hanging="360"/>
      </w:pPr>
    </w:lvl>
    <w:lvl w:ilvl="2" w:tplc="080C001B" w:tentative="1">
      <w:start w:val="1"/>
      <w:numFmt w:val="lowerRoman"/>
      <w:lvlText w:val="%3."/>
      <w:lvlJc w:val="right"/>
      <w:pPr>
        <w:ind w:left="3229" w:hanging="180"/>
      </w:pPr>
    </w:lvl>
    <w:lvl w:ilvl="3" w:tplc="080C000F" w:tentative="1">
      <w:start w:val="1"/>
      <w:numFmt w:val="decimal"/>
      <w:lvlText w:val="%4."/>
      <w:lvlJc w:val="left"/>
      <w:pPr>
        <w:ind w:left="3949" w:hanging="360"/>
      </w:pPr>
    </w:lvl>
    <w:lvl w:ilvl="4" w:tplc="080C0019" w:tentative="1">
      <w:start w:val="1"/>
      <w:numFmt w:val="lowerLetter"/>
      <w:lvlText w:val="%5."/>
      <w:lvlJc w:val="left"/>
      <w:pPr>
        <w:ind w:left="4669" w:hanging="360"/>
      </w:pPr>
    </w:lvl>
    <w:lvl w:ilvl="5" w:tplc="080C001B" w:tentative="1">
      <w:start w:val="1"/>
      <w:numFmt w:val="lowerRoman"/>
      <w:lvlText w:val="%6."/>
      <w:lvlJc w:val="right"/>
      <w:pPr>
        <w:ind w:left="5389" w:hanging="180"/>
      </w:pPr>
    </w:lvl>
    <w:lvl w:ilvl="6" w:tplc="080C000F" w:tentative="1">
      <w:start w:val="1"/>
      <w:numFmt w:val="decimal"/>
      <w:lvlText w:val="%7."/>
      <w:lvlJc w:val="left"/>
      <w:pPr>
        <w:ind w:left="6109" w:hanging="360"/>
      </w:pPr>
    </w:lvl>
    <w:lvl w:ilvl="7" w:tplc="080C0019" w:tentative="1">
      <w:start w:val="1"/>
      <w:numFmt w:val="lowerLetter"/>
      <w:lvlText w:val="%8."/>
      <w:lvlJc w:val="left"/>
      <w:pPr>
        <w:ind w:left="6829" w:hanging="360"/>
      </w:pPr>
    </w:lvl>
    <w:lvl w:ilvl="8" w:tplc="080C001B" w:tentative="1">
      <w:start w:val="1"/>
      <w:numFmt w:val="lowerRoman"/>
      <w:lvlText w:val="%9."/>
      <w:lvlJc w:val="right"/>
      <w:pPr>
        <w:ind w:left="7549" w:hanging="180"/>
      </w:pPr>
    </w:lvl>
  </w:abstractNum>
  <w:abstractNum w:abstractNumId="135" w15:restartNumberingAfterBreak="0">
    <w:nsid w:val="62E95A0C"/>
    <w:multiLevelType w:val="hybridMultilevel"/>
    <w:tmpl w:val="C1906A62"/>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38C339C"/>
    <w:multiLevelType w:val="hybridMultilevel"/>
    <w:tmpl w:val="58B6A8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7" w15:restartNumberingAfterBreak="0">
    <w:nsid w:val="6413778E"/>
    <w:multiLevelType w:val="hybridMultilevel"/>
    <w:tmpl w:val="929874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8" w15:restartNumberingAfterBreak="0">
    <w:nsid w:val="64BB2841"/>
    <w:multiLevelType w:val="hybridMultilevel"/>
    <w:tmpl w:val="B27847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9" w15:restartNumberingAfterBreak="0">
    <w:nsid w:val="64D47036"/>
    <w:multiLevelType w:val="multilevel"/>
    <w:tmpl w:val="726ABD7E"/>
    <w:styleLink w:val="Style3"/>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40" w15:restartNumberingAfterBreak="0">
    <w:nsid w:val="6549792D"/>
    <w:multiLevelType w:val="hybridMultilevel"/>
    <w:tmpl w:val="832A55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65E42992"/>
    <w:multiLevelType w:val="hybridMultilevel"/>
    <w:tmpl w:val="3A1E21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2" w15:restartNumberingAfterBreak="0">
    <w:nsid w:val="671317A7"/>
    <w:multiLevelType w:val="hybridMultilevel"/>
    <w:tmpl w:val="1734820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3" w15:restartNumberingAfterBreak="0">
    <w:nsid w:val="673D61D2"/>
    <w:multiLevelType w:val="multilevel"/>
    <w:tmpl w:val="FF5A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86245E3"/>
    <w:multiLevelType w:val="multilevel"/>
    <w:tmpl w:val="A75E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9EB3A78"/>
    <w:multiLevelType w:val="hybridMultilevel"/>
    <w:tmpl w:val="B8BE07C6"/>
    <w:lvl w:ilvl="0" w:tplc="716A5A48">
      <w:start w:val="2"/>
      <w:numFmt w:val="lowerLetter"/>
      <w:lvlText w:val="%1)"/>
      <w:lvlJc w:val="left"/>
      <w:pPr>
        <w:ind w:left="786"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6" w15:restartNumberingAfterBreak="0">
    <w:nsid w:val="6AD83117"/>
    <w:multiLevelType w:val="multilevel"/>
    <w:tmpl w:val="ABDEEA3A"/>
    <w:lvl w:ilvl="0">
      <w:start w:val="1"/>
      <w:numFmt w:val="upperRoman"/>
      <w:lvlText w:val="%1."/>
      <w:lvlJc w:val="left"/>
      <w:pPr>
        <w:ind w:left="567" w:hanging="567"/>
      </w:pPr>
      <w:rPr>
        <w:rFonts w:ascii="Calibri" w:hAnsi="Calibri" w:hint="default"/>
        <w:b/>
        <w:i w:val="0"/>
        <w:caps/>
        <w:sz w:val="26"/>
        <w:u w:val="none"/>
      </w:rPr>
    </w:lvl>
    <w:lvl w:ilvl="1">
      <w:start w:val="1"/>
      <w:numFmt w:val="decimal"/>
      <w:lvlText w:val="%1.%2."/>
      <w:lvlJc w:val="left"/>
      <w:pPr>
        <w:ind w:left="567" w:hanging="567"/>
      </w:pPr>
      <w:rPr>
        <w:rFonts w:ascii="Calibri" w:hAnsi="Calibri" w:hint="default"/>
        <w:b/>
        <w:i w:val="0"/>
        <w:caps w:val="0"/>
        <w:sz w:val="26"/>
        <w:u w:val="none"/>
        <w:lang w:val="fr-FR"/>
      </w:rPr>
    </w:lvl>
    <w:lvl w:ilvl="2">
      <w:start w:val="1"/>
      <w:numFmt w:val="decimal"/>
      <w:lvlText w:val="%1.%2.%3."/>
      <w:lvlJc w:val="left"/>
      <w:pPr>
        <w:ind w:left="567" w:hanging="283"/>
      </w:pPr>
      <w:rPr>
        <w:rFonts w:ascii="Calibri" w:hAnsi="Calibri" w:hint="default"/>
        <w:b/>
        <w:bCs w:val="0"/>
        <w:i w:val="0"/>
        <w:color w:val="auto"/>
        <w:sz w:val="26"/>
        <w:szCs w:val="26"/>
      </w:rPr>
    </w:lvl>
    <w:lvl w:ilvl="3">
      <w:start w:val="1"/>
      <w:numFmt w:val="decimal"/>
      <w:lvlText w:val="%4."/>
      <w:lvlJc w:val="left"/>
      <w:pPr>
        <w:ind w:left="567" w:hanging="283"/>
      </w:pPr>
      <w:rPr>
        <w:rFonts w:ascii="Calibri" w:hAnsi="Calibri" w:hint="default"/>
        <w:b/>
        <w:i w:val="0"/>
        <w:sz w:val="24"/>
        <w:u w:val="none"/>
      </w:rPr>
    </w:lvl>
    <w:lvl w:ilvl="4">
      <w:start w:val="1"/>
      <w:numFmt w:val="none"/>
      <w:lvlText w:val="1.1."/>
      <w:lvlJc w:val="left"/>
      <w:pPr>
        <w:ind w:left="567" w:hanging="283"/>
      </w:pPr>
      <w:rPr>
        <w:rFonts w:ascii="Calibri" w:hAnsi="Calibri" w:hint="default"/>
        <w:b w:val="0"/>
        <w:bCs/>
        <w:i w:val="0"/>
        <w:sz w:val="24"/>
        <w:u w:val="none"/>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47" w15:restartNumberingAfterBreak="0">
    <w:nsid w:val="6B154C94"/>
    <w:multiLevelType w:val="hybridMultilevel"/>
    <w:tmpl w:val="F806A5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8" w15:restartNumberingAfterBreak="0">
    <w:nsid w:val="6B6F618B"/>
    <w:multiLevelType w:val="hybridMultilevel"/>
    <w:tmpl w:val="8642F792"/>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B706C7B"/>
    <w:multiLevelType w:val="multilevel"/>
    <w:tmpl w:val="4E707FCC"/>
    <w:lvl w:ilvl="0">
      <w:start w:val="1"/>
      <w:numFmt w:val="lowerLetter"/>
      <w:lvlText w:val="%1)"/>
      <w:lvlJc w:val="left"/>
      <w:pPr>
        <w:tabs>
          <w:tab w:val="left" w:pos="288"/>
        </w:tabs>
        <w:ind w:left="576"/>
      </w:pPr>
      <w:rPr>
        <w:strike w:val="0"/>
        <w:color w:val="000000"/>
        <w:spacing w:val="0"/>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C473276"/>
    <w:multiLevelType w:val="multilevel"/>
    <w:tmpl w:val="3FB4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C56783B"/>
    <w:multiLevelType w:val="hybridMultilevel"/>
    <w:tmpl w:val="EDA8CE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6C7B6B2D"/>
    <w:multiLevelType w:val="multilevel"/>
    <w:tmpl w:val="227663BC"/>
    <w:lvl w:ilvl="0">
      <w:start w:val="1"/>
      <w:numFmt w:val="lowerLetter"/>
      <w:lvlText w:val="%1)"/>
      <w:lvlJc w:val="left"/>
      <w:pPr>
        <w:tabs>
          <w:tab w:val="left" w:pos="720"/>
        </w:tabs>
        <w:ind w:left="1080"/>
      </w:pPr>
      <w:rPr>
        <w:rFonts w:asciiTheme="minorHAnsi" w:eastAsiaTheme="minorEastAsia" w:hAnsiTheme="minorHAnsi" w:cs="Calibri Light"/>
        <w:strike w:val="0"/>
        <w:color w:val="000000"/>
        <w:spacing w:val="0"/>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D3A7A65"/>
    <w:multiLevelType w:val="hybridMultilevel"/>
    <w:tmpl w:val="FFFFFFFF"/>
    <w:lvl w:ilvl="0" w:tplc="1DCC885A">
      <w:start w:val="1"/>
      <w:numFmt w:val="bullet"/>
      <w:lvlText w:val=""/>
      <w:lvlJc w:val="left"/>
      <w:pPr>
        <w:ind w:left="720" w:hanging="360"/>
      </w:pPr>
      <w:rPr>
        <w:rFonts w:ascii="Symbol" w:hAnsi="Symbol" w:hint="default"/>
      </w:rPr>
    </w:lvl>
    <w:lvl w:ilvl="1" w:tplc="8042F0CC">
      <w:start w:val="1"/>
      <w:numFmt w:val="bullet"/>
      <w:lvlText w:val="o"/>
      <w:lvlJc w:val="left"/>
      <w:pPr>
        <w:ind w:left="1440" w:hanging="360"/>
      </w:pPr>
      <w:rPr>
        <w:rFonts w:ascii="Courier New" w:hAnsi="Courier New" w:hint="default"/>
      </w:rPr>
    </w:lvl>
    <w:lvl w:ilvl="2" w:tplc="51440878">
      <w:start w:val="1"/>
      <w:numFmt w:val="bullet"/>
      <w:lvlText w:val=""/>
      <w:lvlJc w:val="left"/>
      <w:pPr>
        <w:ind w:left="2160" w:hanging="360"/>
      </w:pPr>
      <w:rPr>
        <w:rFonts w:ascii="Wingdings" w:hAnsi="Wingdings" w:hint="default"/>
      </w:rPr>
    </w:lvl>
    <w:lvl w:ilvl="3" w:tplc="447CC93C">
      <w:start w:val="1"/>
      <w:numFmt w:val="bullet"/>
      <w:lvlText w:val=""/>
      <w:lvlJc w:val="left"/>
      <w:pPr>
        <w:ind w:left="2880" w:hanging="360"/>
      </w:pPr>
      <w:rPr>
        <w:rFonts w:ascii="Symbol" w:hAnsi="Symbol" w:hint="default"/>
      </w:rPr>
    </w:lvl>
    <w:lvl w:ilvl="4" w:tplc="AF68C52A">
      <w:start w:val="1"/>
      <w:numFmt w:val="bullet"/>
      <w:lvlText w:val="o"/>
      <w:lvlJc w:val="left"/>
      <w:pPr>
        <w:ind w:left="3600" w:hanging="360"/>
      </w:pPr>
      <w:rPr>
        <w:rFonts w:ascii="Courier New" w:hAnsi="Courier New" w:hint="default"/>
      </w:rPr>
    </w:lvl>
    <w:lvl w:ilvl="5" w:tplc="7728D850">
      <w:start w:val="1"/>
      <w:numFmt w:val="bullet"/>
      <w:lvlText w:val=""/>
      <w:lvlJc w:val="left"/>
      <w:pPr>
        <w:ind w:left="4320" w:hanging="360"/>
      </w:pPr>
      <w:rPr>
        <w:rFonts w:ascii="Wingdings" w:hAnsi="Wingdings" w:hint="default"/>
      </w:rPr>
    </w:lvl>
    <w:lvl w:ilvl="6" w:tplc="386E22E6">
      <w:start w:val="1"/>
      <w:numFmt w:val="bullet"/>
      <w:lvlText w:val=""/>
      <w:lvlJc w:val="left"/>
      <w:pPr>
        <w:ind w:left="5040" w:hanging="360"/>
      </w:pPr>
      <w:rPr>
        <w:rFonts w:ascii="Symbol" w:hAnsi="Symbol" w:hint="default"/>
      </w:rPr>
    </w:lvl>
    <w:lvl w:ilvl="7" w:tplc="3FD89700">
      <w:start w:val="1"/>
      <w:numFmt w:val="bullet"/>
      <w:lvlText w:val="o"/>
      <w:lvlJc w:val="left"/>
      <w:pPr>
        <w:ind w:left="5760" w:hanging="360"/>
      </w:pPr>
      <w:rPr>
        <w:rFonts w:ascii="Courier New" w:hAnsi="Courier New" w:hint="default"/>
      </w:rPr>
    </w:lvl>
    <w:lvl w:ilvl="8" w:tplc="6B0C141E">
      <w:start w:val="1"/>
      <w:numFmt w:val="bullet"/>
      <w:lvlText w:val=""/>
      <w:lvlJc w:val="left"/>
      <w:pPr>
        <w:ind w:left="6480" w:hanging="360"/>
      </w:pPr>
      <w:rPr>
        <w:rFonts w:ascii="Wingdings" w:hAnsi="Wingdings" w:hint="default"/>
      </w:rPr>
    </w:lvl>
  </w:abstractNum>
  <w:abstractNum w:abstractNumId="154" w15:restartNumberingAfterBreak="0">
    <w:nsid w:val="6DC749B0"/>
    <w:multiLevelType w:val="hybridMultilevel"/>
    <w:tmpl w:val="30963C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5" w15:restartNumberingAfterBreak="0">
    <w:nsid w:val="705E05BB"/>
    <w:multiLevelType w:val="hybridMultilevel"/>
    <w:tmpl w:val="306858DE"/>
    <w:lvl w:ilvl="0" w:tplc="06B23E36">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15:restartNumberingAfterBreak="0">
    <w:nsid w:val="717268D1"/>
    <w:multiLevelType w:val="hybridMultilevel"/>
    <w:tmpl w:val="47AE3286"/>
    <w:lvl w:ilvl="0" w:tplc="ACBA0DAA">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7" w15:restartNumberingAfterBreak="0">
    <w:nsid w:val="71F773AB"/>
    <w:multiLevelType w:val="hybridMultilevel"/>
    <w:tmpl w:val="E9C03142"/>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723C394A"/>
    <w:multiLevelType w:val="hybridMultilevel"/>
    <w:tmpl w:val="0CD2298A"/>
    <w:lvl w:ilvl="0" w:tplc="223A84F4">
      <w:numFmt w:val="bullet"/>
      <w:lvlText w:val="-"/>
      <w:lvlJc w:val="left"/>
      <w:pPr>
        <w:ind w:left="720" w:hanging="360"/>
      </w:pPr>
      <w:rPr>
        <w:rFonts w:ascii="Times New Roman" w:eastAsia="Times New Roman" w:hAnsi="Times New Roman" w:cs="Times New Roman" w:hint="default"/>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9" w15:restartNumberingAfterBreak="0">
    <w:nsid w:val="73A12B84"/>
    <w:multiLevelType w:val="hybridMultilevel"/>
    <w:tmpl w:val="591ABCD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73A13F12"/>
    <w:multiLevelType w:val="hybridMultilevel"/>
    <w:tmpl w:val="C3868B7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1" w15:restartNumberingAfterBreak="0">
    <w:nsid w:val="74BE67C3"/>
    <w:multiLevelType w:val="hybridMultilevel"/>
    <w:tmpl w:val="FE968E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74CA4BEF"/>
    <w:multiLevelType w:val="hybridMultilevel"/>
    <w:tmpl w:val="90E4E566"/>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163" w15:restartNumberingAfterBreak="0">
    <w:nsid w:val="76322C24"/>
    <w:multiLevelType w:val="hybridMultilevel"/>
    <w:tmpl w:val="33DE2900"/>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64" w15:restartNumberingAfterBreak="0">
    <w:nsid w:val="768CA679"/>
    <w:multiLevelType w:val="hybridMultilevel"/>
    <w:tmpl w:val="C4AA5596"/>
    <w:lvl w:ilvl="0" w:tplc="CABABBDA">
      <w:start w:val="1"/>
      <w:numFmt w:val="lowerLetter"/>
      <w:lvlText w:val="%1)"/>
      <w:lvlJc w:val="left"/>
      <w:pPr>
        <w:ind w:left="720" w:hanging="360"/>
      </w:pPr>
      <w:rPr>
        <w:b w:val="0"/>
        <w:bCs w:val="0"/>
      </w:rPr>
    </w:lvl>
    <w:lvl w:ilvl="1" w:tplc="7AC42F26">
      <w:start w:val="1"/>
      <w:numFmt w:val="lowerLetter"/>
      <w:lvlText w:val="%2."/>
      <w:lvlJc w:val="left"/>
      <w:pPr>
        <w:ind w:left="1440" w:hanging="360"/>
      </w:pPr>
    </w:lvl>
    <w:lvl w:ilvl="2" w:tplc="468E27C4">
      <w:start w:val="1"/>
      <w:numFmt w:val="lowerRoman"/>
      <w:lvlText w:val="%3."/>
      <w:lvlJc w:val="right"/>
      <w:pPr>
        <w:ind w:left="2160" w:hanging="180"/>
      </w:pPr>
    </w:lvl>
    <w:lvl w:ilvl="3" w:tplc="F5E61862">
      <w:start w:val="1"/>
      <w:numFmt w:val="decimal"/>
      <w:lvlText w:val="%4."/>
      <w:lvlJc w:val="left"/>
      <w:pPr>
        <w:ind w:left="2880" w:hanging="360"/>
      </w:pPr>
    </w:lvl>
    <w:lvl w:ilvl="4" w:tplc="E33E8022">
      <w:start w:val="1"/>
      <w:numFmt w:val="lowerLetter"/>
      <w:lvlText w:val="%5."/>
      <w:lvlJc w:val="left"/>
      <w:pPr>
        <w:ind w:left="3600" w:hanging="360"/>
      </w:pPr>
    </w:lvl>
    <w:lvl w:ilvl="5" w:tplc="17EC29DE">
      <w:start w:val="1"/>
      <w:numFmt w:val="lowerRoman"/>
      <w:lvlText w:val="%6."/>
      <w:lvlJc w:val="right"/>
      <w:pPr>
        <w:ind w:left="4320" w:hanging="180"/>
      </w:pPr>
    </w:lvl>
    <w:lvl w:ilvl="6" w:tplc="AE601012">
      <w:start w:val="1"/>
      <w:numFmt w:val="decimal"/>
      <w:lvlText w:val="%7."/>
      <w:lvlJc w:val="left"/>
      <w:pPr>
        <w:ind w:left="5040" w:hanging="360"/>
      </w:pPr>
    </w:lvl>
    <w:lvl w:ilvl="7" w:tplc="DD9652DE">
      <w:start w:val="1"/>
      <w:numFmt w:val="lowerLetter"/>
      <w:lvlText w:val="%8."/>
      <w:lvlJc w:val="left"/>
      <w:pPr>
        <w:ind w:left="5760" w:hanging="360"/>
      </w:pPr>
    </w:lvl>
    <w:lvl w:ilvl="8" w:tplc="87B25044">
      <w:start w:val="1"/>
      <w:numFmt w:val="lowerRoman"/>
      <w:lvlText w:val="%9."/>
      <w:lvlJc w:val="right"/>
      <w:pPr>
        <w:ind w:left="6480" w:hanging="180"/>
      </w:pPr>
    </w:lvl>
  </w:abstractNum>
  <w:abstractNum w:abstractNumId="165" w15:restartNumberingAfterBreak="0">
    <w:nsid w:val="76992C69"/>
    <w:multiLevelType w:val="hybridMultilevel"/>
    <w:tmpl w:val="E06C4056"/>
    <w:lvl w:ilvl="0" w:tplc="82AECBAE">
      <w:start w:val="1"/>
      <w:numFmt w:val="lowerLetter"/>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6" w15:restartNumberingAfterBreak="0">
    <w:nsid w:val="781A4627"/>
    <w:multiLevelType w:val="hybridMultilevel"/>
    <w:tmpl w:val="2AAA00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78CA2283"/>
    <w:multiLevelType w:val="hybridMultilevel"/>
    <w:tmpl w:val="B0960656"/>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68" w15:restartNumberingAfterBreak="0">
    <w:nsid w:val="78F527BF"/>
    <w:multiLevelType w:val="hybridMultilevel"/>
    <w:tmpl w:val="E45C51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9" w15:restartNumberingAfterBreak="0">
    <w:nsid w:val="7A316B1E"/>
    <w:multiLevelType w:val="multilevel"/>
    <w:tmpl w:val="9A901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A3F09CA"/>
    <w:multiLevelType w:val="hybridMultilevel"/>
    <w:tmpl w:val="4E74363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71" w15:restartNumberingAfterBreak="0">
    <w:nsid w:val="7A711B69"/>
    <w:multiLevelType w:val="hybridMultilevel"/>
    <w:tmpl w:val="FB7C6312"/>
    <w:lvl w:ilvl="0" w:tplc="182C97F4">
      <w:start w:val="2"/>
      <w:numFmt w:val="bullet"/>
      <w:lvlText w:val="-"/>
      <w:lvlJc w:val="left"/>
      <w:pPr>
        <w:ind w:left="720" w:hanging="360"/>
      </w:pPr>
      <w:rPr>
        <w:rFonts w:ascii="Cambria" w:eastAsia="MS Mincho" w:hAnsi="Cambr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2" w15:restartNumberingAfterBreak="0">
    <w:nsid w:val="7B681CE8"/>
    <w:multiLevelType w:val="hybridMultilevel"/>
    <w:tmpl w:val="F3883B26"/>
    <w:lvl w:ilvl="0" w:tplc="B868EF0C">
      <w:start w:val="1"/>
      <w:numFmt w:val="decimal"/>
      <w:pStyle w:val="titre2bis"/>
      <w:lvlText w:val="II.22.%1"/>
      <w:lvlJc w:val="right"/>
      <w:pPr>
        <w:ind w:left="1069"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3" w15:restartNumberingAfterBreak="0">
    <w:nsid w:val="7B81480A"/>
    <w:multiLevelType w:val="hybridMultilevel"/>
    <w:tmpl w:val="909AC5E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7BDB51C3"/>
    <w:multiLevelType w:val="hybridMultilevel"/>
    <w:tmpl w:val="319440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5" w15:restartNumberingAfterBreak="0">
    <w:nsid w:val="7C67614C"/>
    <w:multiLevelType w:val="hybridMultilevel"/>
    <w:tmpl w:val="C1C40A4A"/>
    <w:lvl w:ilvl="0" w:tplc="58E6DDC8">
      <w:start w:val="2"/>
      <w:numFmt w:val="lowerLetter"/>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6" w15:restartNumberingAfterBreak="0">
    <w:nsid w:val="7CA16D7A"/>
    <w:multiLevelType w:val="multilevel"/>
    <w:tmpl w:val="82AA5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CF506A1"/>
    <w:multiLevelType w:val="hybridMultilevel"/>
    <w:tmpl w:val="F39438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8" w15:restartNumberingAfterBreak="0">
    <w:nsid w:val="7E20672E"/>
    <w:multiLevelType w:val="hybridMultilevel"/>
    <w:tmpl w:val="3EAA8D6A"/>
    <w:lvl w:ilvl="0" w:tplc="50065E08">
      <w:start w:val="2"/>
      <w:numFmt w:val="lowerLetter"/>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9" w15:restartNumberingAfterBreak="0">
    <w:nsid w:val="7EA01CFA"/>
    <w:multiLevelType w:val="hybridMultilevel"/>
    <w:tmpl w:val="D9149070"/>
    <w:lvl w:ilvl="0" w:tplc="080C0001">
      <w:start w:val="1"/>
      <w:numFmt w:val="bullet"/>
      <w:lvlText w:val=""/>
      <w:lvlJc w:val="left"/>
      <w:pPr>
        <w:ind w:left="720" w:hanging="360"/>
      </w:pPr>
      <w:rPr>
        <w:rFonts w:ascii="Symbol" w:hAnsi="Symbol" w:cs="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cs="Wingdings" w:hint="default"/>
      </w:rPr>
    </w:lvl>
    <w:lvl w:ilvl="3" w:tplc="080C0001">
      <w:start w:val="1"/>
      <w:numFmt w:val="bullet"/>
      <w:lvlText w:val=""/>
      <w:lvlJc w:val="left"/>
      <w:pPr>
        <w:ind w:left="2880" w:hanging="360"/>
      </w:pPr>
      <w:rPr>
        <w:rFonts w:ascii="Symbol" w:hAnsi="Symbol" w:cs="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cs="Wingdings" w:hint="default"/>
      </w:rPr>
    </w:lvl>
    <w:lvl w:ilvl="6" w:tplc="080C0001">
      <w:start w:val="1"/>
      <w:numFmt w:val="bullet"/>
      <w:lvlText w:val=""/>
      <w:lvlJc w:val="left"/>
      <w:pPr>
        <w:ind w:left="5040" w:hanging="360"/>
      </w:pPr>
      <w:rPr>
        <w:rFonts w:ascii="Symbol" w:hAnsi="Symbol" w:cs="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cs="Wingdings" w:hint="default"/>
      </w:rPr>
    </w:lvl>
  </w:abstractNum>
  <w:abstractNum w:abstractNumId="180" w15:restartNumberingAfterBreak="0">
    <w:nsid w:val="7F8D149B"/>
    <w:multiLevelType w:val="hybridMultilevel"/>
    <w:tmpl w:val="5246AC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7FAB1EC0"/>
    <w:multiLevelType w:val="multilevel"/>
    <w:tmpl w:val="CA7EBA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3152671">
    <w:abstractNumId w:val="164"/>
  </w:num>
  <w:num w:numId="2" w16cid:durableId="1381395625">
    <w:abstractNumId w:val="8"/>
  </w:num>
  <w:num w:numId="3" w16cid:durableId="811599469">
    <w:abstractNumId w:val="6"/>
  </w:num>
  <w:num w:numId="4" w16cid:durableId="1437674303">
    <w:abstractNumId w:val="5"/>
  </w:num>
  <w:num w:numId="5" w16cid:durableId="129634229">
    <w:abstractNumId w:val="7"/>
  </w:num>
  <w:num w:numId="6" w16cid:durableId="745611025">
    <w:abstractNumId w:val="4"/>
  </w:num>
  <w:num w:numId="7" w16cid:durableId="1456682484">
    <w:abstractNumId w:val="3"/>
  </w:num>
  <w:num w:numId="8" w16cid:durableId="1385251802">
    <w:abstractNumId w:val="117"/>
  </w:num>
  <w:num w:numId="9" w16cid:durableId="345642568">
    <w:abstractNumId w:val="171"/>
  </w:num>
  <w:num w:numId="10" w16cid:durableId="1374841879">
    <w:abstractNumId w:val="51"/>
  </w:num>
  <w:num w:numId="11" w16cid:durableId="1910194200">
    <w:abstractNumId w:val="38"/>
  </w:num>
  <w:num w:numId="12" w16cid:durableId="103574369">
    <w:abstractNumId w:val="25"/>
  </w:num>
  <w:num w:numId="13" w16cid:durableId="1524125177">
    <w:abstractNumId w:val="85"/>
  </w:num>
  <w:num w:numId="14" w16cid:durableId="1379931754">
    <w:abstractNumId w:val="158"/>
  </w:num>
  <w:num w:numId="15" w16cid:durableId="1550872233">
    <w:abstractNumId w:val="9"/>
  </w:num>
  <w:num w:numId="16" w16cid:durableId="602615885">
    <w:abstractNumId w:val="98"/>
  </w:num>
  <w:num w:numId="17" w16cid:durableId="940645629">
    <w:abstractNumId w:val="14"/>
  </w:num>
  <w:num w:numId="18" w16cid:durableId="805241110">
    <w:abstractNumId w:val="149"/>
  </w:num>
  <w:num w:numId="19" w16cid:durableId="1998217909">
    <w:abstractNumId w:val="143"/>
  </w:num>
  <w:num w:numId="20" w16cid:durableId="1375152297">
    <w:abstractNumId w:val="20"/>
  </w:num>
  <w:num w:numId="21" w16cid:durableId="1311516074">
    <w:abstractNumId w:val="167"/>
  </w:num>
  <w:num w:numId="22" w16cid:durableId="1250196161">
    <w:abstractNumId w:val="133"/>
  </w:num>
  <w:num w:numId="23" w16cid:durableId="117187282">
    <w:abstractNumId w:val="43"/>
  </w:num>
  <w:num w:numId="24" w16cid:durableId="112650380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646853">
    <w:abstractNumId w:val="50"/>
  </w:num>
  <w:num w:numId="26" w16cid:durableId="2048988064">
    <w:abstractNumId w:val="120"/>
  </w:num>
  <w:num w:numId="27" w16cid:durableId="391462750">
    <w:abstractNumId w:val="83"/>
  </w:num>
  <w:num w:numId="28" w16cid:durableId="1857421633">
    <w:abstractNumId w:val="179"/>
  </w:num>
  <w:num w:numId="29" w16cid:durableId="34205107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8414062">
    <w:abstractNumId w:val="130"/>
  </w:num>
  <w:num w:numId="31" w16cid:durableId="1100175857">
    <w:abstractNumId w:val="65"/>
  </w:num>
  <w:num w:numId="32" w16cid:durableId="1136490179">
    <w:abstractNumId w:val="112"/>
  </w:num>
  <w:num w:numId="33" w16cid:durableId="1426000720">
    <w:abstractNumId w:val="15"/>
  </w:num>
  <w:num w:numId="34" w16cid:durableId="622730332">
    <w:abstractNumId w:val="56"/>
  </w:num>
  <w:num w:numId="35" w16cid:durableId="236748505">
    <w:abstractNumId w:val="152"/>
  </w:num>
  <w:num w:numId="36" w16cid:durableId="315957998">
    <w:abstractNumId w:val="107"/>
  </w:num>
  <w:num w:numId="37" w16cid:durableId="1880556812">
    <w:abstractNumId w:val="12"/>
  </w:num>
  <w:num w:numId="38" w16cid:durableId="847333580">
    <w:abstractNumId w:val="134"/>
  </w:num>
  <w:num w:numId="39" w16cid:durableId="706104624">
    <w:abstractNumId w:val="139"/>
  </w:num>
  <w:num w:numId="40" w16cid:durableId="67656025">
    <w:abstractNumId w:val="172"/>
  </w:num>
  <w:num w:numId="41" w16cid:durableId="1827163662">
    <w:abstractNumId w:val="57"/>
  </w:num>
  <w:num w:numId="42" w16cid:durableId="362555079">
    <w:abstractNumId w:val="93"/>
    <w:lvlOverride w:ilvl="0">
      <w:startOverride w:val="1"/>
    </w:lvlOverride>
  </w:num>
  <w:num w:numId="43" w16cid:durableId="2068915055">
    <w:abstractNumId w:val="45"/>
  </w:num>
  <w:num w:numId="44" w16cid:durableId="842663584">
    <w:abstractNumId w:val="97"/>
  </w:num>
  <w:num w:numId="45" w16cid:durableId="1879851598">
    <w:abstractNumId w:val="146"/>
    <w:lvlOverride w:ilvl="0">
      <w:lvl w:ilvl="0">
        <w:start w:val="1"/>
        <w:numFmt w:val="upperRoman"/>
        <w:lvlText w:val="%1."/>
        <w:lvlJc w:val="left"/>
        <w:pPr>
          <w:ind w:left="567" w:hanging="567"/>
        </w:pPr>
        <w:rPr>
          <w:rFonts w:ascii="Calibri" w:hAnsi="Calibri" w:hint="default"/>
          <w:b/>
          <w:i w:val="0"/>
          <w:caps/>
          <w:sz w:val="26"/>
          <w:u w:val="none"/>
        </w:rPr>
      </w:lvl>
    </w:lvlOverride>
    <w:lvlOverride w:ilvl="1">
      <w:lvl w:ilvl="1">
        <w:start w:val="1"/>
        <w:numFmt w:val="decimal"/>
        <w:lvlText w:val="%1.%2."/>
        <w:lvlJc w:val="left"/>
        <w:pPr>
          <w:ind w:left="567" w:hanging="567"/>
        </w:pPr>
        <w:rPr>
          <w:rFonts w:ascii="Calibri" w:hAnsi="Calibri" w:hint="default"/>
          <w:b/>
          <w:i w:val="0"/>
          <w:caps w:val="0"/>
          <w:sz w:val="26"/>
          <w:u w:val="none"/>
        </w:rPr>
      </w:lvl>
    </w:lvlOverride>
    <w:lvlOverride w:ilvl="2">
      <w:lvl w:ilvl="2">
        <w:start w:val="1"/>
        <w:numFmt w:val="decimal"/>
        <w:suff w:val="space"/>
        <w:lvlText w:val="%1.%2.%3."/>
        <w:lvlJc w:val="left"/>
        <w:pPr>
          <w:ind w:left="567" w:hanging="283"/>
        </w:pPr>
        <w:rPr>
          <w:rFonts w:ascii="Calibri" w:hAnsi="Calibri" w:hint="default"/>
          <w:b/>
          <w:bCs w:val="0"/>
          <w:i w:val="0"/>
          <w:color w:val="auto"/>
          <w:sz w:val="26"/>
          <w:szCs w:val="26"/>
          <w:u w:val="none"/>
        </w:rPr>
      </w:lvl>
    </w:lvlOverride>
    <w:lvlOverride w:ilvl="3">
      <w:lvl w:ilvl="3">
        <w:start w:val="1"/>
        <w:numFmt w:val="decimal"/>
        <w:lvlText w:val="%4."/>
        <w:lvlJc w:val="left"/>
        <w:pPr>
          <w:ind w:left="567" w:hanging="567"/>
        </w:pPr>
        <w:rPr>
          <w:rFonts w:ascii="Calibri" w:hAnsi="Calibri" w:hint="default"/>
          <w:b w:val="0"/>
          <w:bCs/>
          <w:i w:val="0"/>
          <w:sz w:val="24"/>
          <w:u w:val="none"/>
        </w:rPr>
      </w:lvl>
    </w:lvlOverride>
    <w:lvlOverride w:ilvl="4">
      <w:lvl w:ilvl="4">
        <w:start w:val="1"/>
        <w:numFmt w:val="none"/>
        <w:lvlText w:val="1.1."/>
        <w:lvlJc w:val="left"/>
        <w:pPr>
          <w:ind w:left="567" w:hanging="567"/>
        </w:pPr>
        <w:rPr>
          <w:rFonts w:ascii="Calibri" w:hAnsi="Calibri" w:hint="default"/>
          <w:b w:val="0"/>
          <w:bCs/>
          <w:i w:val="0"/>
          <w:sz w:val="24"/>
          <w:u w:val="none"/>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46" w16cid:durableId="970135959">
    <w:abstractNumId w:val="168"/>
  </w:num>
  <w:num w:numId="47" w16cid:durableId="1838955748">
    <w:abstractNumId w:val="73"/>
  </w:num>
  <w:num w:numId="48" w16cid:durableId="1678801800">
    <w:abstractNumId w:val="128"/>
  </w:num>
  <w:num w:numId="49" w16cid:durableId="965620096">
    <w:abstractNumId w:val="86"/>
  </w:num>
  <w:num w:numId="50" w16cid:durableId="326831633">
    <w:abstractNumId w:val="138"/>
  </w:num>
  <w:num w:numId="51" w16cid:durableId="1108433008">
    <w:abstractNumId w:val="21"/>
  </w:num>
  <w:num w:numId="52" w16cid:durableId="1586456944">
    <w:abstractNumId w:val="48"/>
  </w:num>
  <w:num w:numId="53" w16cid:durableId="1799108397">
    <w:abstractNumId w:val="85"/>
    <w:lvlOverride w:ilvl="0">
      <w:startOverride w:val="1"/>
    </w:lvlOverride>
  </w:num>
  <w:num w:numId="54" w16cid:durableId="955908903">
    <w:abstractNumId w:val="37"/>
  </w:num>
  <w:num w:numId="55" w16cid:durableId="201326992">
    <w:abstractNumId w:val="140"/>
  </w:num>
  <w:num w:numId="56" w16cid:durableId="29232533">
    <w:abstractNumId w:val="170"/>
  </w:num>
  <w:num w:numId="57" w16cid:durableId="911506689">
    <w:abstractNumId w:val="162"/>
  </w:num>
  <w:num w:numId="58" w16cid:durableId="1846550915">
    <w:abstractNumId w:val="129"/>
  </w:num>
  <w:num w:numId="59" w16cid:durableId="1792478926">
    <w:abstractNumId w:val="61"/>
  </w:num>
  <w:num w:numId="60" w16cid:durableId="1095518965">
    <w:abstractNumId w:val="127"/>
  </w:num>
  <w:num w:numId="61" w16cid:durableId="1276131653">
    <w:abstractNumId w:val="96"/>
  </w:num>
  <w:num w:numId="62" w16cid:durableId="140008217">
    <w:abstractNumId w:val="166"/>
  </w:num>
  <w:num w:numId="63" w16cid:durableId="1565792310">
    <w:abstractNumId w:val="40"/>
  </w:num>
  <w:num w:numId="64" w16cid:durableId="171653364">
    <w:abstractNumId w:val="67"/>
  </w:num>
  <w:num w:numId="65" w16cid:durableId="1541429563">
    <w:abstractNumId w:val="46"/>
  </w:num>
  <w:num w:numId="66" w16cid:durableId="1537042921">
    <w:abstractNumId w:val="123"/>
  </w:num>
  <w:num w:numId="67" w16cid:durableId="1636132962">
    <w:abstractNumId w:val="29"/>
  </w:num>
  <w:num w:numId="68" w16cid:durableId="272129136">
    <w:abstractNumId w:val="177"/>
  </w:num>
  <w:num w:numId="69" w16cid:durableId="1661153752">
    <w:abstractNumId w:val="74"/>
  </w:num>
  <w:num w:numId="70" w16cid:durableId="1135173898">
    <w:abstractNumId w:val="35"/>
  </w:num>
  <w:num w:numId="71" w16cid:durableId="1408652601">
    <w:abstractNumId w:val="18"/>
  </w:num>
  <w:num w:numId="72" w16cid:durableId="269818842">
    <w:abstractNumId w:val="81"/>
  </w:num>
  <w:num w:numId="73" w16cid:durableId="1750804039">
    <w:abstractNumId w:val="160"/>
  </w:num>
  <w:num w:numId="74" w16cid:durableId="1628194192">
    <w:abstractNumId w:val="87"/>
  </w:num>
  <w:num w:numId="75" w16cid:durableId="1820077468">
    <w:abstractNumId w:val="155"/>
  </w:num>
  <w:num w:numId="76" w16cid:durableId="885607443">
    <w:abstractNumId w:val="54"/>
  </w:num>
  <w:num w:numId="77" w16cid:durableId="64108145">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60538275">
    <w:abstractNumId w:val="42"/>
  </w:num>
  <w:num w:numId="79" w16cid:durableId="1429349328">
    <w:abstractNumId w:val="156"/>
  </w:num>
  <w:num w:numId="80" w16cid:durableId="1814565584">
    <w:abstractNumId w:val="145"/>
  </w:num>
  <w:num w:numId="81" w16cid:durableId="1742361806">
    <w:abstractNumId w:val="153"/>
  </w:num>
  <w:num w:numId="82" w16cid:durableId="1780566180">
    <w:abstractNumId w:val="11"/>
  </w:num>
  <w:num w:numId="83" w16cid:durableId="981346303">
    <w:abstractNumId w:val="33"/>
  </w:num>
  <w:num w:numId="84" w16cid:durableId="449276387">
    <w:abstractNumId w:val="106"/>
  </w:num>
  <w:num w:numId="85" w16cid:durableId="1669214200">
    <w:abstractNumId w:val="36"/>
  </w:num>
  <w:num w:numId="86" w16cid:durableId="1576626355">
    <w:abstractNumId w:val="23"/>
  </w:num>
  <w:num w:numId="87" w16cid:durableId="955017344">
    <w:abstractNumId w:val="47"/>
  </w:num>
  <w:num w:numId="88" w16cid:durableId="1960337405">
    <w:abstractNumId w:val="64"/>
  </w:num>
  <w:num w:numId="89" w16cid:durableId="406419469">
    <w:abstractNumId w:val="122"/>
  </w:num>
  <w:num w:numId="90" w16cid:durableId="1900703498">
    <w:abstractNumId w:val="121"/>
  </w:num>
  <w:num w:numId="91" w16cid:durableId="2065399130">
    <w:abstractNumId w:val="100"/>
  </w:num>
  <w:num w:numId="92" w16cid:durableId="2092772272">
    <w:abstractNumId w:val="41"/>
  </w:num>
  <w:num w:numId="93" w16cid:durableId="2121335758">
    <w:abstractNumId w:val="99"/>
  </w:num>
  <w:num w:numId="94" w16cid:durableId="1836384523">
    <w:abstractNumId w:val="66"/>
  </w:num>
  <w:num w:numId="95" w16cid:durableId="514537840">
    <w:abstractNumId w:val="159"/>
  </w:num>
  <w:num w:numId="96" w16cid:durableId="471601154">
    <w:abstractNumId w:val="91"/>
  </w:num>
  <w:num w:numId="97" w16cid:durableId="1316882745">
    <w:abstractNumId w:val="131"/>
  </w:num>
  <w:num w:numId="98" w16cid:durableId="2129273301">
    <w:abstractNumId w:val="39"/>
  </w:num>
  <w:num w:numId="99" w16cid:durableId="1178303165">
    <w:abstractNumId w:val="157"/>
  </w:num>
  <w:num w:numId="100" w16cid:durableId="252319570">
    <w:abstractNumId w:val="105"/>
  </w:num>
  <w:num w:numId="101" w16cid:durableId="825125452">
    <w:abstractNumId w:val="110"/>
  </w:num>
  <w:num w:numId="102" w16cid:durableId="1752702661">
    <w:abstractNumId w:val="68"/>
  </w:num>
  <w:num w:numId="103" w16cid:durableId="1759982930">
    <w:abstractNumId w:val="173"/>
  </w:num>
  <w:num w:numId="104" w16cid:durableId="1006980696">
    <w:abstractNumId w:val="28"/>
  </w:num>
  <w:num w:numId="105" w16cid:durableId="979773354">
    <w:abstractNumId w:val="103"/>
  </w:num>
  <w:num w:numId="106" w16cid:durableId="2101098347">
    <w:abstractNumId w:val="69"/>
  </w:num>
  <w:num w:numId="107" w16cid:durableId="698550483">
    <w:abstractNumId w:val="32"/>
  </w:num>
  <w:num w:numId="108" w16cid:durableId="2043751139">
    <w:abstractNumId w:val="175"/>
  </w:num>
  <w:num w:numId="109" w16cid:durableId="535627197">
    <w:abstractNumId w:val="59"/>
  </w:num>
  <w:num w:numId="110" w16cid:durableId="635454513">
    <w:abstractNumId w:val="52"/>
    <w:lvlOverride w:ilvl="0">
      <w:startOverride w:val="1"/>
    </w:lvlOverride>
  </w:num>
  <w:num w:numId="111" w16cid:durableId="1729693201">
    <w:abstractNumId w:val="25"/>
    <w:lvlOverride w:ilvl="0">
      <w:startOverride w:val="1"/>
    </w:lvlOverride>
  </w:num>
  <w:num w:numId="112" w16cid:durableId="580330007">
    <w:abstractNumId w:val="25"/>
    <w:lvlOverride w:ilvl="0">
      <w:startOverride w:val="1"/>
    </w:lvlOverride>
  </w:num>
  <w:num w:numId="113" w16cid:durableId="202329408">
    <w:abstractNumId w:val="52"/>
    <w:lvlOverride w:ilvl="0">
      <w:startOverride w:val="1"/>
    </w:lvlOverride>
  </w:num>
  <w:num w:numId="114" w16cid:durableId="1270964098">
    <w:abstractNumId w:val="52"/>
    <w:lvlOverride w:ilvl="0">
      <w:startOverride w:val="1"/>
    </w:lvlOverride>
  </w:num>
  <w:num w:numId="115" w16cid:durableId="114448751">
    <w:abstractNumId w:val="52"/>
    <w:lvlOverride w:ilvl="0">
      <w:startOverride w:val="1"/>
    </w:lvlOverride>
  </w:num>
  <w:num w:numId="116" w16cid:durableId="541555634">
    <w:abstractNumId w:val="52"/>
    <w:lvlOverride w:ilvl="0">
      <w:startOverride w:val="1"/>
    </w:lvlOverride>
  </w:num>
  <w:num w:numId="117" w16cid:durableId="1462073638">
    <w:abstractNumId w:val="52"/>
    <w:lvlOverride w:ilvl="0">
      <w:startOverride w:val="1"/>
    </w:lvlOverride>
  </w:num>
  <w:num w:numId="118" w16cid:durableId="593317926">
    <w:abstractNumId w:val="52"/>
    <w:lvlOverride w:ilvl="0">
      <w:startOverride w:val="1"/>
    </w:lvlOverride>
  </w:num>
  <w:num w:numId="119" w16cid:durableId="1390225387">
    <w:abstractNumId w:val="52"/>
    <w:lvlOverride w:ilvl="0">
      <w:startOverride w:val="1"/>
    </w:lvlOverride>
  </w:num>
  <w:num w:numId="120" w16cid:durableId="1037269226">
    <w:abstractNumId w:val="52"/>
    <w:lvlOverride w:ilvl="0">
      <w:startOverride w:val="1"/>
    </w:lvlOverride>
  </w:num>
  <w:num w:numId="121" w16cid:durableId="522061487">
    <w:abstractNumId w:val="52"/>
    <w:lvlOverride w:ilvl="0">
      <w:startOverride w:val="1"/>
    </w:lvlOverride>
  </w:num>
  <w:num w:numId="122" w16cid:durableId="1704013734">
    <w:abstractNumId w:val="52"/>
    <w:lvlOverride w:ilvl="0">
      <w:startOverride w:val="1"/>
    </w:lvlOverride>
  </w:num>
  <w:num w:numId="123" w16cid:durableId="1667707430">
    <w:abstractNumId w:val="52"/>
    <w:lvlOverride w:ilvl="0">
      <w:startOverride w:val="1"/>
    </w:lvlOverride>
  </w:num>
  <w:num w:numId="124" w16cid:durableId="1514489304">
    <w:abstractNumId w:val="52"/>
    <w:lvlOverride w:ilvl="0">
      <w:startOverride w:val="1"/>
    </w:lvlOverride>
  </w:num>
  <w:num w:numId="125" w16cid:durableId="1608192545">
    <w:abstractNumId w:val="52"/>
    <w:lvlOverride w:ilvl="0">
      <w:startOverride w:val="1"/>
    </w:lvlOverride>
  </w:num>
  <w:num w:numId="126" w16cid:durableId="833839248">
    <w:abstractNumId w:val="88"/>
  </w:num>
  <w:num w:numId="127" w16cid:durableId="765926799">
    <w:abstractNumId w:val="124"/>
  </w:num>
  <w:num w:numId="128" w16cid:durableId="1063141814">
    <w:abstractNumId w:val="53"/>
  </w:num>
  <w:num w:numId="129" w16cid:durableId="742291166">
    <w:abstractNumId w:val="147"/>
  </w:num>
  <w:num w:numId="130" w16cid:durableId="831331709">
    <w:abstractNumId w:val="101"/>
  </w:num>
  <w:num w:numId="131" w16cid:durableId="770050147">
    <w:abstractNumId w:val="174"/>
  </w:num>
  <w:num w:numId="132" w16cid:durableId="632254306">
    <w:abstractNumId w:val="26"/>
  </w:num>
  <w:num w:numId="133" w16cid:durableId="358724">
    <w:abstractNumId w:val="116"/>
  </w:num>
  <w:num w:numId="134" w16cid:durableId="820196338">
    <w:abstractNumId w:val="34"/>
  </w:num>
  <w:num w:numId="135" w16cid:durableId="1461649567">
    <w:abstractNumId w:val="89"/>
  </w:num>
  <w:num w:numId="136" w16cid:durableId="1374770336">
    <w:abstractNumId w:val="102"/>
  </w:num>
  <w:num w:numId="137" w16cid:durableId="475296494">
    <w:abstractNumId w:val="114"/>
  </w:num>
  <w:num w:numId="138" w16cid:durableId="697123020">
    <w:abstractNumId w:val="144"/>
  </w:num>
  <w:num w:numId="139" w16cid:durableId="993067020">
    <w:abstractNumId w:val="19"/>
  </w:num>
  <w:num w:numId="140" w16cid:durableId="621423191">
    <w:abstractNumId w:val="150"/>
  </w:num>
  <w:num w:numId="141" w16cid:durableId="979846450">
    <w:abstractNumId w:val="169"/>
  </w:num>
  <w:num w:numId="142" w16cid:durableId="1501041410">
    <w:abstractNumId w:val="132"/>
  </w:num>
  <w:num w:numId="143" w16cid:durableId="1932203400">
    <w:abstractNumId w:val="72"/>
  </w:num>
  <w:num w:numId="144" w16cid:durableId="1974869073">
    <w:abstractNumId w:val="94"/>
  </w:num>
  <w:num w:numId="145" w16cid:durableId="531307889">
    <w:abstractNumId w:val="180"/>
  </w:num>
  <w:num w:numId="146" w16cid:durableId="1920020788">
    <w:abstractNumId w:val="161"/>
  </w:num>
  <w:num w:numId="147" w16cid:durableId="177282859">
    <w:abstractNumId w:val="104"/>
  </w:num>
  <w:num w:numId="148" w16cid:durableId="1568494305">
    <w:abstractNumId w:val="92"/>
  </w:num>
  <w:num w:numId="149" w16cid:durableId="1814786754">
    <w:abstractNumId w:val="78"/>
  </w:num>
  <w:num w:numId="150" w16cid:durableId="1612128025">
    <w:abstractNumId w:val="77"/>
  </w:num>
  <w:num w:numId="151" w16cid:durableId="1547178172">
    <w:abstractNumId w:val="49"/>
  </w:num>
  <w:num w:numId="152" w16cid:durableId="1088114568">
    <w:abstractNumId w:val="151"/>
  </w:num>
  <w:num w:numId="153" w16cid:durableId="726496417">
    <w:abstractNumId w:val="80"/>
  </w:num>
  <w:num w:numId="154" w16cid:durableId="1515067550">
    <w:abstractNumId w:val="25"/>
    <w:lvlOverride w:ilvl="0">
      <w:startOverride w:val="1"/>
    </w:lvlOverride>
  </w:num>
  <w:num w:numId="155" w16cid:durableId="794258016">
    <w:abstractNumId w:val="25"/>
    <w:lvlOverride w:ilvl="0">
      <w:startOverride w:val="1"/>
    </w:lvlOverride>
  </w:num>
  <w:num w:numId="156" w16cid:durableId="1019507829">
    <w:abstractNumId w:val="25"/>
    <w:lvlOverride w:ilvl="0">
      <w:startOverride w:val="1"/>
    </w:lvlOverride>
  </w:num>
  <w:num w:numId="157" w16cid:durableId="1250961662">
    <w:abstractNumId w:val="30"/>
  </w:num>
  <w:num w:numId="158" w16cid:durableId="10035406">
    <w:abstractNumId w:val="25"/>
    <w:lvlOverride w:ilvl="0">
      <w:startOverride w:val="1"/>
    </w:lvlOverride>
  </w:num>
  <w:num w:numId="159" w16cid:durableId="1680958887">
    <w:abstractNumId w:val="75"/>
  </w:num>
  <w:num w:numId="160" w16cid:durableId="1398434701">
    <w:abstractNumId w:val="148"/>
  </w:num>
  <w:num w:numId="161" w16cid:durableId="1768842852">
    <w:abstractNumId w:val="109"/>
  </w:num>
  <w:num w:numId="162" w16cid:durableId="1758794801">
    <w:abstractNumId w:val="52"/>
    <w:lvlOverride w:ilvl="0">
      <w:startOverride w:val="1"/>
    </w:lvlOverride>
  </w:num>
  <w:num w:numId="163" w16cid:durableId="1994986031">
    <w:abstractNumId w:val="52"/>
    <w:lvlOverride w:ilvl="0">
      <w:startOverride w:val="1"/>
    </w:lvlOverride>
  </w:num>
  <w:num w:numId="164" w16cid:durableId="958805785">
    <w:abstractNumId w:val="52"/>
    <w:lvlOverride w:ilvl="0">
      <w:startOverride w:val="1"/>
    </w:lvlOverride>
  </w:num>
  <w:num w:numId="165" w16cid:durableId="1197818359">
    <w:abstractNumId w:val="52"/>
    <w:lvlOverride w:ilvl="0">
      <w:startOverride w:val="1"/>
    </w:lvlOverride>
  </w:num>
  <w:num w:numId="166" w16cid:durableId="543177916">
    <w:abstractNumId w:val="52"/>
    <w:lvlOverride w:ilvl="0">
      <w:startOverride w:val="1"/>
    </w:lvlOverride>
  </w:num>
  <w:num w:numId="167" w16cid:durableId="1775319979">
    <w:abstractNumId w:val="52"/>
    <w:lvlOverride w:ilvl="0">
      <w:startOverride w:val="1"/>
    </w:lvlOverride>
  </w:num>
  <w:num w:numId="168" w16cid:durableId="174921948">
    <w:abstractNumId w:val="52"/>
    <w:lvlOverride w:ilvl="0">
      <w:startOverride w:val="1"/>
    </w:lvlOverride>
  </w:num>
  <w:num w:numId="169" w16cid:durableId="347605485">
    <w:abstractNumId w:val="52"/>
    <w:lvlOverride w:ilvl="0">
      <w:startOverride w:val="1"/>
    </w:lvlOverride>
  </w:num>
  <w:num w:numId="170" w16cid:durableId="2068524648">
    <w:abstractNumId w:val="178"/>
  </w:num>
  <w:num w:numId="171" w16cid:durableId="1646817970">
    <w:abstractNumId w:val="13"/>
  </w:num>
  <w:num w:numId="172" w16cid:durableId="1516773209">
    <w:abstractNumId w:val="126"/>
  </w:num>
  <w:num w:numId="173" w16cid:durableId="1164780679">
    <w:abstractNumId w:val="119"/>
  </w:num>
  <w:num w:numId="174" w16cid:durableId="1472988925">
    <w:abstractNumId w:val="135"/>
  </w:num>
  <w:num w:numId="175" w16cid:durableId="204415678">
    <w:abstractNumId w:val="10"/>
  </w:num>
  <w:num w:numId="176" w16cid:durableId="1233348352">
    <w:abstractNumId w:val="52"/>
    <w:lvlOverride w:ilvl="0">
      <w:startOverride w:val="1"/>
    </w:lvlOverride>
  </w:num>
  <w:num w:numId="177" w16cid:durableId="1987660028">
    <w:abstractNumId w:val="52"/>
    <w:lvlOverride w:ilvl="0">
      <w:startOverride w:val="1"/>
    </w:lvlOverride>
  </w:num>
  <w:num w:numId="178" w16cid:durableId="1529677789">
    <w:abstractNumId w:val="52"/>
    <w:lvlOverride w:ilvl="0">
      <w:startOverride w:val="1"/>
    </w:lvlOverride>
  </w:num>
  <w:num w:numId="179" w16cid:durableId="1067069443">
    <w:abstractNumId w:val="71"/>
  </w:num>
  <w:num w:numId="180" w16cid:durableId="910387428">
    <w:abstractNumId w:val="52"/>
    <w:lvlOverride w:ilvl="0">
      <w:startOverride w:val="1"/>
    </w:lvlOverride>
  </w:num>
  <w:num w:numId="181" w16cid:durableId="931013582">
    <w:abstractNumId w:val="52"/>
    <w:lvlOverride w:ilvl="0">
      <w:startOverride w:val="1"/>
    </w:lvlOverride>
  </w:num>
  <w:num w:numId="182" w16cid:durableId="299846564">
    <w:abstractNumId w:val="52"/>
    <w:lvlOverride w:ilvl="0">
      <w:startOverride w:val="1"/>
    </w:lvlOverride>
  </w:num>
  <w:num w:numId="183" w16cid:durableId="1554806865">
    <w:abstractNumId w:val="52"/>
    <w:lvlOverride w:ilvl="0">
      <w:startOverride w:val="1"/>
    </w:lvlOverride>
  </w:num>
  <w:num w:numId="184" w16cid:durableId="888108599">
    <w:abstractNumId w:val="154"/>
  </w:num>
  <w:num w:numId="185" w16cid:durableId="1983003759">
    <w:abstractNumId w:val="63"/>
  </w:num>
  <w:num w:numId="186" w16cid:durableId="1831208881">
    <w:abstractNumId w:val="52"/>
    <w:lvlOverride w:ilvl="0">
      <w:startOverride w:val="1"/>
    </w:lvlOverride>
  </w:num>
  <w:num w:numId="187" w16cid:durableId="1132602942">
    <w:abstractNumId w:val="137"/>
  </w:num>
  <w:num w:numId="188" w16cid:durableId="1638992900">
    <w:abstractNumId w:val="76"/>
  </w:num>
  <w:num w:numId="189" w16cid:durableId="269355392">
    <w:abstractNumId w:val="52"/>
    <w:lvlOverride w:ilvl="0">
      <w:startOverride w:val="1"/>
    </w:lvlOverride>
  </w:num>
  <w:num w:numId="190" w16cid:durableId="494761937">
    <w:abstractNumId w:val="52"/>
    <w:lvlOverride w:ilvl="0">
      <w:startOverride w:val="1"/>
    </w:lvlOverride>
  </w:num>
  <w:num w:numId="191" w16cid:durableId="1832327357">
    <w:abstractNumId w:val="90"/>
  </w:num>
  <w:num w:numId="192" w16cid:durableId="192696449">
    <w:abstractNumId w:val="52"/>
    <w:lvlOverride w:ilvl="0">
      <w:startOverride w:val="1"/>
    </w:lvlOverride>
  </w:num>
  <w:num w:numId="193" w16cid:durableId="1885143296">
    <w:abstractNumId w:val="44"/>
  </w:num>
  <w:num w:numId="194" w16cid:durableId="1830828795">
    <w:abstractNumId w:val="52"/>
    <w:lvlOverride w:ilvl="0">
      <w:startOverride w:val="1"/>
    </w:lvlOverride>
  </w:num>
  <w:num w:numId="195" w16cid:durableId="253829592">
    <w:abstractNumId w:val="52"/>
    <w:lvlOverride w:ilvl="0">
      <w:startOverride w:val="1"/>
    </w:lvlOverride>
  </w:num>
  <w:num w:numId="196" w16cid:durableId="2130540224">
    <w:abstractNumId w:val="141"/>
  </w:num>
  <w:num w:numId="197" w16cid:durableId="1388602870">
    <w:abstractNumId w:val="136"/>
  </w:num>
  <w:num w:numId="198" w16cid:durableId="2107187947">
    <w:abstractNumId w:val="108"/>
  </w:num>
  <w:num w:numId="199" w16cid:durableId="811824342">
    <w:abstractNumId w:val="22"/>
  </w:num>
  <w:num w:numId="200" w16cid:durableId="380447604">
    <w:abstractNumId w:val="52"/>
    <w:lvlOverride w:ilvl="0">
      <w:startOverride w:val="1"/>
    </w:lvlOverride>
  </w:num>
  <w:num w:numId="201" w16cid:durableId="1160656560">
    <w:abstractNumId w:val="79"/>
  </w:num>
  <w:num w:numId="202" w16cid:durableId="1970434276">
    <w:abstractNumId w:val="58"/>
  </w:num>
  <w:num w:numId="203" w16cid:durableId="2066221306">
    <w:abstractNumId w:val="52"/>
  </w:num>
  <w:num w:numId="204" w16cid:durableId="25180944">
    <w:abstractNumId w:val="52"/>
    <w:lvlOverride w:ilvl="0">
      <w:startOverride w:val="1"/>
    </w:lvlOverride>
  </w:num>
  <w:num w:numId="205" w16cid:durableId="518390770">
    <w:abstractNumId w:val="24"/>
  </w:num>
  <w:num w:numId="206" w16cid:durableId="1569922456">
    <w:abstractNumId w:val="52"/>
    <w:lvlOverride w:ilvl="0">
      <w:startOverride w:val="1"/>
    </w:lvlOverride>
  </w:num>
  <w:num w:numId="207" w16cid:durableId="245193234">
    <w:abstractNumId w:val="16"/>
  </w:num>
  <w:num w:numId="208" w16cid:durableId="1118334926">
    <w:abstractNumId w:val="52"/>
    <w:lvlOverride w:ilvl="0">
      <w:startOverride w:val="1"/>
    </w:lvlOverride>
  </w:num>
  <w:num w:numId="209" w16cid:durableId="1705445502">
    <w:abstractNumId w:val="52"/>
    <w:lvlOverride w:ilvl="0">
      <w:startOverride w:val="1"/>
    </w:lvlOverride>
  </w:num>
  <w:num w:numId="210" w16cid:durableId="149828564">
    <w:abstractNumId w:val="70"/>
  </w:num>
  <w:num w:numId="211" w16cid:durableId="1237738197">
    <w:abstractNumId w:val="115"/>
  </w:num>
  <w:num w:numId="212" w16cid:durableId="1288127600">
    <w:abstractNumId w:val="52"/>
    <w:lvlOverride w:ilvl="0">
      <w:startOverride w:val="1"/>
    </w:lvlOverride>
  </w:num>
  <w:num w:numId="213" w16cid:durableId="1390616942">
    <w:abstractNumId w:val="52"/>
    <w:lvlOverride w:ilvl="0">
      <w:startOverride w:val="1"/>
    </w:lvlOverride>
  </w:num>
  <w:num w:numId="214" w16cid:durableId="1664552050">
    <w:abstractNumId w:val="118"/>
  </w:num>
  <w:num w:numId="215" w16cid:durableId="1892111687">
    <w:abstractNumId w:val="27"/>
  </w:num>
  <w:num w:numId="216" w16cid:durableId="1084765564">
    <w:abstractNumId w:val="82"/>
  </w:num>
  <w:num w:numId="217" w16cid:durableId="1155802794">
    <w:abstractNumId w:val="2"/>
  </w:num>
  <w:num w:numId="218" w16cid:durableId="690499733">
    <w:abstractNumId w:val="165"/>
  </w:num>
  <w:num w:numId="219" w16cid:durableId="1494758112">
    <w:abstractNumId w:val="0"/>
  </w:num>
  <w:num w:numId="220" w16cid:durableId="1113087656">
    <w:abstractNumId w:val="176"/>
  </w:num>
  <w:num w:numId="221" w16cid:durableId="996036960">
    <w:abstractNumId w:val="60"/>
  </w:num>
  <w:num w:numId="222" w16cid:durableId="445202859">
    <w:abstractNumId w:val="55"/>
  </w:num>
  <w:num w:numId="223" w16cid:durableId="1021400691">
    <w:abstractNumId w:val="181"/>
  </w:num>
  <w:num w:numId="224" w16cid:durableId="1928148855">
    <w:abstractNumId w:val="111"/>
  </w:num>
  <w:num w:numId="225" w16cid:durableId="970130820">
    <w:abstractNumId w:val="113"/>
  </w:num>
  <w:num w:numId="226" w16cid:durableId="1682050686">
    <w:abstractNumId w:val="84"/>
  </w:num>
  <w:num w:numId="227" w16cid:durableId="1681354572">
    <w:abstractNumId w:val="31"/>
  </w:num>
  <w:num w:numId="228" w16cid:durableId="1977559688">
    <w:abstractNumId w:val="142"/>
  </w:num>
  <w:num w:numId="229" w16cid:durableId="299389416">
    <w:abstractNumId w:val="17"/>
  </w:num>
  <w:num w:numId="230" w16cid:durableId="1258519012">
    <w:abstractNumId w:val="1"/>
  </w:num>
  <w:num w:numId="231" w16cid:durableId="60712861">
    <w:abstractNumId w:val="95"/>
  </w:num>
  <w:numIdMacAtCleanup w:val="2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ncent Wellens">
    <w15:presenceInfo w15:providerId="AD" w15:userId="S::vincent.wellens@gov.wallonie.be::de00d2a6-28f5-404f-81cc-de6cff11de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C8D"/>
    <w:rsid w:val="00001063"/>
    <w:rsid w:val="000010C7"/>
    <w:rsid w:val="000012AE"/>
    <w:rsid w:val="000014C6"/>
    <w:rsid w:val="00001524"/>
    <w:rsid w:val="000025ED"/>
    <w:rsid w:val="00003B1D"/>
    <w:rsid w:val="00003B39"/>
    <w:rsid w:val="000044A0"/>
    <w:rsid w:val="00006EDF"/>
    <w:rsid w:val="00011A16"/>
    <w:rsid w:val="00011B80"/>
    <w:rsid w:val="00012074"/>
    <w:rsid w:val="0001566F"/>
    <w:rsid w:val="00015AC2"/>
    <w:rsid w:val="00016A6F"/>
    <w:rsid w:val="000204B2"/>
    <w:rsid w:val="0002138F"/>
    <w:rsid w:val="00021601"/>
    <w:rsid w:val="00021CC2"/>
    <w:rsid w:val="00022C64"/>
    <w:rsid w:val="00022D60"/>
    <w:rsid w:val="00023C4B"/>
    <w:rsid w:val="000242BF"/>
    <w:rsid w:val="000244DD"/>
    <w:rsid w:val="00024E87"/>
    <w:rsid w:val="00024EE5"/>
    <w:rsid w:val="00026F90"/>
    <w:rsid w:val="00027968"/>
    <w:rsid w:val="00027AE3"/>
    <w:rsid w:val="00030C00"/>
    <w:rsid w:val="000312F0"/>
    <w:rsid w:val="000313F7"/>
    <w:rsid w:val="00031B88"/>
    <w:rsid w:val="0003327B"/>
    <w:rsid w:val="00033763"/>
    <w:rsid w:val="000344E8"/>
    <w:rsid w:val="00034616"/>
    <w:rsid w:val="00034727"/>
    <w:rsid w:val="00034C9E"/>
    <w:rsid w:val="00034FFF"/>
    <w:rsid w:val="00035A6A"/>
    <w:rsid w:val="0003636E"/>
    <w:rsid w:val="00036609"/>
    <w:rsid w:val="000370E4"/>
    <w:rsid w:val="00040204"/>
    <w:rsid w:val="00042E87"/>
    <w:rsid w:val="00043045"/>
    <w:rsid w:val="00043B6E"/>
    <w:rsid w:val="00043E97"/>
    <w:rsid w:val="00045E07"/>
    <w:rsid w:val="000464FA"/>
    <w:rsid w:val="00046799"/>
    <w:rsid w:val="00047631"/>
    <w:rsid w:val="00050578"/>
    <w:rsid w:val="00052631"/>
    <w:rsid w:val="00052657"/>
    <w:rsid w:val="00052B08"/>
    <w:rsid w:val="00053187"/>
    <w:rsid w:val="00054906"/>
    <w:rsid w:val="0005505C"/>
    <w:rsid w:val="00055985"/>
    <w:rsid w:val="00055E0B"/>
    <w:rsid w:val="00055F7A"/>
    <w:rsid w:val="000560F8"/>
    <w:rsid w:val="000562BA"/>
    <w:rsid w:val="000564D7"/>
    <w:rsid w:val="00056A48"/>
    <w:rsid w:val="00056F72"/>
    <w:rsid w:val="0005728F"/>
    <w:rsid w:val="0006063C"/>
    <w:rsid w:val="00060940"/>
    <w:rsid w:val="0006143C"/>
    <w:rsid w:val="00061558"/>
    <w:rsid w:val="00061E64"/>
    <w:rsid w:val="0006221B"/>
    <w:rsid w:val="000625AE"/>
    <w:rsid w:val="00062F27"/>
    <w:rsid w:val="00063526"/>
    <w:rsid w:val="00064A7B"/>
    <w:rsid w:val="00064B5C"/>
    <w:rsid w:val="00067525"/>
    <w:rsid w:val="00067808"/>
    <w:rsid w:val="00067CBF"/>
    <w:rsid w:val="00070537"/>
    <w:rsid w:val="00072863"/>
    <w:rsid w:val="000738BB"/>
    <w:rsid w:val="0007571B"/>
    <w:rsid w:val="00075CAE"/>
    <w:rsid w:val="0007674B"/>
    <w:rsid w:val="00077F8B"/>
    <w:rsid w:val="000815A2"/>
    <w:rsid w:val="00081ADF"/>
    <w:rsid w:val="00083570"/>
    <w:rsid w:val="0008378B"/>
    <w:rsid w:val="000837D1"/>
    <w:rsid w:val="00084277"/>
    <w:rsid w:val="000849F2"/>
    <w:rsid w:val="00085F2F"/>
    <w:rsid w:val="000863BD"/>
    <w:rsid w:val="00086CF7"/>
    <w:rsid w:val="00087022"/>
    <w:rsid w:val="00087105"/>
    <w:rsid w:val="0008751F"/>
    <w:rsid w:val="00087AD5"/>
    <w:rsid w:val="00090941"/>
    <w:rsid w:val="00090ACB"/>
    <w:rsid w:val="00090D81"/>
    <w:rsid w:val="00091D50"/>
    <w:rsid w:val="00092750"/>
    <w:rsid w:val="00095A36"/>
    <w:rsid w:val="00097C5B"/>
    <w:rsid w:val="00097CFB"/>
    <w:rsid w:val="00097D4B"/>
    <w:rsid w:val="000A00AE"/>
    <w:rsid w:val="000A0828"/>
    <w:rsid w:val="000A113B"/>
    <w:rsid w:val="000A1708"/>
    <w:rsid w:val="000A1967"/>
    <w:rsid w:val="000A465F"/>
    <w:rsid w:val="000A49A1"/>
    <w:rsid w:val="000A6CE2"/>
    <w:rsid w:val="000A740C"/>
    <w:rsid w:val="000A7DA2"/>
    <w:rsid w:val="000B081B"/>
    <w:rsid w:val="000B260E"/>
    <w:rsid w:val="000B37CC"/>
    <w:rsid w:val="000B3D18"/>
    <w:rsid w:val="000B5B59"/>
    <w:rsid w:val="000B6660"/>
    <w:rsid w:val="000B69E8"/>
    <w:rsid w:val="000B7B47"/>
    <w:rsid w:val="000C1399"/>
    <w:rsid w:val="000C18E5"/>
    <w:rsid w:val="000C1C5B"/>
    <w:rsid w:val="000C4918"/>
    <w:rsid w:val="000C721A"/>
    <w:rsid w:val="000C76AC"/>
    <w:rsid w:val="000C774D"/>
    <w:rsid w:val="000C7B31"/>
    <w:rsid w:val="000C7E9F"/>
    <w:rsid w:val="000D045C"/>
    <w:rsid w:val="000D5956"/>
    <w:rsid w:val="000D5D2D"/>
    <w:rsid w:val="000D5D78"/>
    <w:rsid w:val="000D62EF"/>
    <w:rsid w:val="000D6CD3"/>
    <w:rsid w:val="000D6E0B"/>
    <w:rsid w:val="000D785C"/>
    <w:rsid w:val="000E00AD"/>
    <w:rsid w:val="000E019B"/>
    <w:rsid w:val="000E03F4"/>
    <w:rsid w:val="000E26A8"/>
    <w:rsid w:val="000E47B8"/>
    <w:rsid w:val="000E5D72"/>
    <w:rsid w:val="000E5EE7"/>
    <w:rsid w:val="000E6A08"/>
    <w:rsid w:val="000E6B08"/>
    <w:rsid w:val="000E6FF4"/>
    <w:rsid w:val="000E72D5"/>
    <w:rsid w:val="000E7D69"/>
    <w:rsid w:val="000E7D91"/>
    <w:rsid w:val="000F297B"/>
    <w:rsid w:val="000F34AA"/>
    <w:rsid w:val="000F38BC"/>
    <w:rsid w:val="000F42AD"/>
    <w:rsid w:val="000F5254"/>
    <w:rsid w:val="000F546C"/>
    <w:rsid w:val="000F5A87"/>
    <w:rsid w:val="000F605E"/>
    <w:rsid w:val="000F6F28"/>
    <w:rsid w:val="000F7795"/>
    <w:rsid w:val="000F7E1B"/>
    <w:rsid w:val="0010069B"/>
    <w:rsid w:val="00101310"/>
    <w:rsid w:val="00102083"/>
    <w:rsid w:val="0010232B"/>
    <w:rsid w:val="00102E2D"/>
    <w:rsid w:val="00103DF0"/>
    <w:rsid w:val="00106030"/>
    <w:rsid w:val="0010617F"/>
    <w:rsid w:val="001068D4"/>
    <w:rsid w:val="0010724A"/>
    <w:rsid w:val="0010773A"/>
    <w:rsid w:val="0010780E"/>
    <w:rsid w:val="00107FA8"/>
    <w:rsid w:val="00110801"/>
    <w:rsid w:val="001109C6"/>
    <w:rsid w:val="00110A06"/>
    <w:rsid w:val="0011162D"/>
    <w:rsid w:val="001123E8"/>
    <w:rsid w:val="00115248"/>
    <w:rsid w:val="0011568D"/>
    <w:rsid w:val="00116995"/>
    <w:rsid w:val="00117DB7"/>
    <w:rsid w:val="00120EE9"/>
    <w:rsid w:val="00121307"/>
    <w:rsid w:val="0012207E"/>
    <w:rsid w:val="0012293F"/>
    <w:rsid w:val="001232DF"/>
    <w:rsid w:val="0012531F"/>
    <w:rsid w:val="00127D0D"/>
    <w:rsid w:val="00130B68"/>
    <w:rsid w:val="00130C96"/>
    <w:rsid w:val="00131FB2"/>
    <w:rsid w:val="001320E7"/>
    <w:rsid w:val="00132544"/>
    <w:rsid w:val="0013287C"/>
    <w:rsid w:val="0013292B"/>
    <w:rsid w:val="001338E1"/>
    <w:rsid w:val="0013547D"/>
    <w:rsid w:val="00135A33"/>
    <w:rsid w:val="001369AE"/>
    <w:rsid w:val="00136C3B"/>
    <w:rsid w:val="00136FA7"/>
    <w:rsid w:val="00137168"/>
    <w:rsid w:val="0013717D"/>
    <w:rsid w:val="00140B08"/>
    <w:rsid w:val="00140D7D"/>
    <w:rsid w:val="00141872"/>
    <w:rsid w:val="00142A24"/>
    <w:rsid w:val="00142C6E"/>
    <w:rsid w:val="00142DF4"/>
    <w:rsid w:val="0014317E"/>
    <w:rsid w:val="001433B6"/>
    <w:rsid w:val="00143AD6"/>
    <w:rsid w:val="00143D90"/>
    <w:rsid w:val="00144DF7"/>
    <w:rsid w:val="00145A17"/>
    <w:rsid w:val="0014629B"/>
    <w:rsid w:val="00146C27"/>
    <w:rsid w:val="0015074B"/>
    <w:rsid w:val="001507D9"/>
    <w:rsid w:val="00150969"/>
    <w:rsid w:val="001511A8"/>
    <w:rsid w:val="0015126E"/>
    <w:rsid w:val="001512BA"/>
    <w:rsid w:val="00152DE8"/>
    <w:rsid w:val="0015312B"/>
    <w:rsid w:val="0015356F"/>
    <w:rsid w:val="00153DBC"/>
    <w:rsid w:val="0015518E"/>
    <w:rsid w:val="0015559D"/>
    <w:rsid w:val="00155E4A"/>
    <w:rsid w:val="001564B4"/>
    <w:rsid w:val="001569AD"/>
    <w:rsid w:val="00156FC3"/>
    <w:rsid w:val="00157E11"/>
    <w:rsid w:val="00160236"/>
    <w:rsid w:val="001612A5"/>
    <w:rsid w:val="00161939"/>
    <w:rsid w:val="00161A2C"/>
    <w:rsid w:val="00163A06"/>
    <w:rsid w:val="001653CB"/>
    <w:rsid w:val="00165436"/>
    <w:rsid w:val="00167043"/>
    <w:rsid w:val="00167812"/>
    <w:rsid w:val="00167EA1"/>
    <w:rsid w:val="0017036D"/>
    <w:rsid w:val="001704BF"/>
    <w:rsid w:val="001704EE"/>
    <w:rsid w:val="00171190"/>
    <w:rsid w:val="00171F05"/>
    <w:rsid w:val="00172899"/>
    <w:rsid w:val="00172A05"/>
    <w:rsid w:val="00172F4E"/>
    <w:rsid w:val="00173784"/>
    <w:rsid w:val="00173915"/>
    <w:rsid w:val="00173CE1"/>
    <w:rsid w:val="00174289"/>
    <w:rsid w:val="001747FF"/>
    <w:rsid w:val="00175265"/>
    <w:rsid w:val="001765C2"/>
    <w:rsid w:val="00176AD8"/>
    <w:rsid w:val="00177E72"/>
    <w:rsid w:val="00177EF7"/>
    <w:rsid w:val="0018036B"/>
    <w:rsid w:val="00180C94"/>
    <w:rsid w:val="0018135B"/>
    <w:rsid w:val="00181611"/>
    <w:rsid w:val="00181AC7"/>
    <w:rsid w:val="00181D51"/>
    <w:rsid w:val="00182027"/>
    <w:rsid w:val="00182EB5"/>
    <w:rsid w:val="00183BEA"/>
    <w:rsid w:val="001844A4"/>
    <w:rsid w:val="00184C91"/>
    <w:rsid w:val="00185509"/>
    <w:rsid w:val="00185F5D"/>
    <w:rsid w:val="00185F9F"/>
    <w:rsid w:val="0018640B"/>
    <w:rsid w:val="001867DD"/>
    <w:rsid w:val="00187203"/>
    <w:rsid w:val="00187624"/>
    <w:rsid w:val="00190162"/>
    <w:rsid w:val="00190B7A"/>
    <w:rsid w:val="00190D15"/>
    <w:rsid w:val="00190F13"/>
    <w:rsid w:val="001918AA"/>
    <w:rsid w:val="00192DAA"/>
    <w:rsid w:val="00193611"/>
    <w:rsid w:val="00193CC4"/>
    <w:rsid w:val="001944D2"/>
    <w:rsid w:val="00195D2B"/>
    <w:rsid w:val="001977BA"/>
    <w:rsid w:val="001977C4"/>
    <w:rsid w:val="001A0A95"/>
    <w:rsid w:val="001A0C1C"/>
    <w:rsid w:val="001A247C"/>
    <w:rsid w:val="001A296A"/>
    <w:rsid w:val="001A5755"/>
    <w:rsid w:val="001A5AFF"/>
    <w:rsid w:val="001A5DA7"/>
    <w:rsid w:val="001A5F60"/>
    <w:rsid w:val="001A6810"/>
    <w:rsid w:val="001A6B2E"/>
    <w:rsid w:val="001A77B1"/>
    <w:rsid w:val="001B0C27"/>
    <w:rsid w:val="001B0EA1"/>
    <w:rsid w:val="001B1035"/>
    <w:rsid w:val="001B12CB"/>
    <w:rsid w:val="001B14EC"/>
    <w:rsid w:val="001B1663"/>
    <w:rsid w:val="001B1C5A"/>
    <w:rsid w:val="001B1C74"/>
    <w:rsid w:val="001B236A"/>
    <w:rsid w:val="001B2E43"/>
    <w:rsid w:val="001B3482"/>
    <w:rsid w:val="001B36D8"/>
    <w:rsid w:val="001B3706"/>
    <w:rsid w:val="001B4591"/>
    <w:rsid w:val="001B4820"/>
    <w:rsid w:val="001B582D"/>
    <w:rsid w:val="001B6DC8"/>
    <w:rsid w:val="001B7078"/>
    <w:rsid w:val="001B7E46"/>
    <w:rsid w:val="001C0296"/>
    <w:rsid w:val="001C178C"/>
    <w:rsid w:val="001C1F20"/>
    <w:rsid w:val="001C2026"/>
    <w:rsid w:val="001C50D8"/>
    <w:rsid w:val="001C5472"/>
    <w:rsid w:val="001C5A3B"/>
    <w:rsid w:val="001C5F88"/>
    <w:rsid w:val="001C605D"/>
    <w:rsid w:val="001C6705"/>
    <w:rsid w:val="001D10EF"/>
    <w:rsid w:val="001D1230"/>
    <w:rsid w:val="001D2761"/>
    <w:rsid w:val="001D2860"/>
    <w:rsid w:val="001D4027"/>
    <w:rsid w:val="001D4194"/>
    <w:rsid w:val="001D4E2A"/>
    <w:rsid w:val="001D53CC"/>
    <w:rsid w:val="001D57F8"/>
    <w:rsid w:val="001D6BD2"/>
    <w:rsid w:val="001D6C8C"/>
    <w:rsid w:val="001D7286"/>
    <w:rsid w:val="001D7BB9"/>
    <w:rsid w:val="001E14BC"/>
    <w:rsid w:val="001E2D75"/>
    <w:rsid w:val="001E35D8"/>
    <w:rsid w:val="001E3978"/>
    <w:rsid w:val="001E3AFA"/>
    <w:rsid w:val="001E3CF0"/>
    <w:rsid w:val="001E4B67"/>
    <w:rsid w:val="001E4C7D"/>
    <w:rsid w:val="001E547C"/>
    <w:rsid w:val="001E5A63"/>
    <w:rsid w:val="001E5CCC"/>
    <w:rsid w:val="001E5D06"/>
    <w:rsid w:val="001E73BD"/>
    <w:rsid w:val="001F0081"/>
    <w:rsid w:val="001F0154"/>
    <w:rsid w:val="001F174F"/>
    <w:rsid w:val="001F23BA"/>
    <w:rsid w:val="001F25E9"/>
    <w:rsid w:val="001F36A1"/>
    <w:rsid w:val="001F3DBB"/>
    <w:rsid w:val="001F40DF"/>
    <w:rsid w:val="001F41CB"/>
    <w:rsid w:val="001F510E"/>
    <w:rsid w:val="001F5C19"/>
    <w:rsid w:val="001F6EF7"/>
    <w:rsid w:val="001F7086"/>
    <w:rsid w:val="002000CB"/>
    <w:rsid w:val="00202238"/>
    <w:rsid w:val="00203788"/>
    <w:rsid w:val="002049CF"/>
    <w:rsid w:val="00204A6C"/>
    <w:rsid w:val="00204F2F"/>
    <w:rsid w:val="00205979"/>
    <w:rsid w:val="00205D1E"/>
    <w:rsid w:val="0020709D"/>
    <w:rsid w:val="00207A86"/>
    <w:rsid w:val="0021087A"/>
    <w:rsid w:val="00210D0D"/>
    <w:rsid w:val="00210F89"/>
    <w:rsid w:val="00213844"/>
    <w:rsid w:val="00213D1E"/>
    <w:rsid w:val="00213FD7"/>
    <w:rsid w:val="00216A81"/>
    <w:rsid w:val="00217413"/>
    <w:rsid w:val="0022012B"/>
    <w:rsid w:val="002201FC"/>
    <w:rsid w:val="00220CA6"/>
    <w:rsid w:val="00220E33"/>
    <w:rsid w:val="0022248C"/>
    <w:rsid w:val="00222769"/>
    <w:rsid w:val="00222C55"/>
    <w:rsid w:val="00224D67"/>
    <w:rsid w:val="00224E0A"/>
    <w:rsid w:val="0022560B"/>
    <w:rsid w:val="00226506"/>
    <w:rsid w:val="0022670B"/>
    <w:rsid w:val="00226B0B"/>
    <w:rsid w:val="002271FF"/>
    <w:rsid w:val="00227D28"/>
    <w:rsid w:val="002320A8"/>
    <w:rsid w:val="002345A5"/>
    <w:rsid w:val="0023469D"/>
    <w:rsid w:val="002346CC"/>
    <w:rsid w:val="002357A5"/>
    <w:rsid w:val="00235C21"/>
    <w:rsid w:val="00236447"/>
    <w:rsid w:val="00236A42"/>
    <w:rsid w:val="00236A67"/>
    <w:rsid w:val="00237F32"/>
    <w:rsid w:val="002411F2"/>
    <w:rsid w:val="00241236"/>
    <w:rsid w:val="002415B0"/>
    <w:rsid w:val="00241C52"/>
    <w:rsid w:val="00242058"/>
    <w:rsid w:val="00242769"/>
    <w:rsid w:val="00242A4E"/>
    <w:rsid w:val="00242A76"/>
    <w:rsid w:val="0024426C"/>
    <w:rsid w:val="002447F8"/>
    <w:rsid w:val="0024514A"/>
    <w:rsid w:val="0024638C"/>
    <w:rsid w:val="00246558"/>
    <w:rsid w:val="00246E9B"/>
    <w:rsid w:val="002470D7"/>
    <w:rsid w:val="002503F4"/>
    <w:rsid w:val="00250778"/>
    <w:rsid w:val="00251844"/>
    <w:rsid w:val="00253186"/>
    <w:rsid w:val="002532A6"/>
    <w:rsid w:val="00253544"/>
    <w:rsid w:val="0025486F"/>
    <w:rsid w:val="00254C52"/>
    <w:rsid w:val="00256B33"/>
    <w:rsid w:val="00256D31"/>
    <w:rsid w:val="00257803"/>
    <w:rsid w:val="00257883"/>
    <w:rsid w:val="002600A2"/>
    <w:rsid w:val="00262A13"/>
    <w:rsid w:val="0026392D"/>
    <w:rsid w:val="002640E2"/>
    <w:rsid w:val="00264B10"/>
    <w:rsid w:val="00265288"/>
    <w:rsid w:val="00265368"/>
    <w:rsid w:val="00266B1F"/>
    <w:rsid w:val="00267DAE"/>
    <w:rsid w:val="002702EC"/>
    <w:rsid w:val="002708CF"/>
    <w:rsid w:val="0027289C"/>
    <w:rsid w:val="002731C1"/>
    <w:rsid w:val="00273ECB"/>
    <w:rsid w:val="00273FD6"/>
    <w:rsid w:val="00274113"/>
    <w:rsid w:val="00274363"/>
    <w:rsid w:val="00275E67"/>
    <w:rsid w:val="00276045"/>
    <w:rsid w:val="00277275"/>
    <w:rsid w:val="00277718"/>
    <w:rsid w:val="00277A5B"/>
    <w:rsid w:val="002807BD"/>
    <w:rsid w:val="00281642"/>
    <w:rsid w:val="00281C5C"/>
    <w:rsid w:val="0028257F"/>
    <w:rsid w:val="0028306E"/>
    <w:rsid w:val="00284153"/>
    <w:rsid w:val="00284585"/>
    <w:rsid w:val="00284AD5"/>
    <w:rsid w:val="0028532A"/>
    <w:rsid w:val="00285A34"/>
    <w:rsid w:val="00285B41"/>
    <w:rsid w:val="00287C85"/>
    <w:rsid w:val="0029016B"/>
    <w:rsid w:val="002910E4"/>
    <w:rsid w:val="0029234D"/>
    <w:rsid w:val="002927D3"/>
    <w:rsid w:val="00292F21"/>
    <w:rsid w:val="00293194"/>
    <w:rsid w:val="0029404E"/>
    <w:rsid w:val="0029411D"/>
    <w:rsid w:val="00294204"/>
    <w:rsid w:val="00294B71"/>
    <w:rsid w:val="00294CEB"/>
    <w:rsid w:val="002958D4"/>
    <w:rsid w:val="00295962"/>
    <w:rsid w:val="00295B5E"/>
    <w:rsid w:val="00295FFC"/>
    <w:rsid w:val="0029639D"/>
    <w:rsid w:val="00296491"/>
    <w:rsid w:val="00296E49"/>
    <w:rsid w:val="002978A4"/>
    <w:rsid w:val="002A0FE6"/>
    <w:rsid w:val="002A1511"/>
    <w:rsid w:val="002A201C"/>
    <w:rsid w:val="002A6554"/>
    <w:rsid w:val="002A6E9A"/>
    <w:rsid w:val="002A7B59"/>
    <w:rsid w:val="002A7EF0"/>
    <w:rsid w:val="002B00D5"/>
    <w:rsid w:val="002B013F"/>
    <w:rsid w:val="002B1213"/>
    <w:rsid w:val="002B1C6B"/>
    <w:rsid w:val="002B207D"/>
    <w:rsid w:val="002B26E7"/>
    <w:rsid w:val="002B3426"/>
    <w:rsid w:val="002B3B08"/>
    <w:rsid w:val="002B3E2A"/>
    <w:rsid w:val="002B6F87"/>
    <w:rsid w:val="002B7279"/>
    <w:rsid w:val="002C0514"/>
    <w:rsid w:val="002C0667"/>
    <w:rsid w:val="002C17E1"/>
    <w:rsid w:val="002C2839"/>
    <w:rsid w:val="002C2C72"/>
    <w:rsid w:val="002C3256"/>
    <w:rsid w:val="002C380A"/>
    <w:rsid w:val="002C3D8A"/>
    <w:rsid w:val="002C41FE"/>
    <w:rsid w:val="002C4737"/>
    <w:rsid w:val="002C57FC"/>
    <w:rsid w:val="002D0E45"/>
    <w:rsid w:val="002D3099"/>
    <w:rsid w:val="002D4960"/>
    <w:rsid w:val="002D501D"/>
    <w:rsid w:val="002D5115"/>
    <w:rsid w:val="002D536C"/>
    <w:rsid w:val="002D6115"/>
    <w:rsid w:val="002D6C36"/>
    <w:rsid w:val="002D7057"/>
    <w:rsid w:val="002D7722"/>
    <w:rsid w:val="002D7A61"/>
    <w:rsid w:val="002E0062"/>
    <w:rsid w:val="002E0728"/>
    <w:rsid w:val="002E0D9C"/>
    <w:rsid w:val="002E190B"/>
    <w:rsid w:val="002E1A89"/>
    <w:rsid w:val="002E396D"/>
    <w:rsid w:val="002E3B74"/>
    <w:rsid w:val="002E3F63"/>
    <w:rsid w:val="002E430C"/>
    <w:rsid w:val="002E5A69"/>
    <w:rsid w:val="002E5D0C"/>
    <w:rsid w:val="002E6018"/>
    <w:rsid w:val="002E63CA"/>
    <w:rsid w:val="002F018B"/>
    <w:rsid w:val="002F0BDB"/>
    <w:rsid w:val="002F1781"/>
    <w:rsid w:val="002F2EAD"/>
    <w:rsid w:val="002F310E"/>
    <w:rsid w:val="002F613E"/>
    <w:rsid w:val="002F78AE"/>
    <w:rsid w:val="002F7BD6"/>
    <w:rsid w:val="002F7C7A"/>
    <w:rsid w:val="002F7F84"/>
    <w:rsid w:val="00300079"/>
    <w:rsid w:val="00300C9F"/>
    <w:rsid w:val="003010F2"/>
    <w:rsid w:val="00303300"/>
    <w:rsid w:val="00304EEA"/>
    <w:rsid w:val="0030588C"/>
    <w:rsid w:val="003066DA"/>
    <w:rsid w:val="00310877"/>
    <w:rsid w:val="00310E42"/>
    <w:rsid w:val="003116AF"/>
    <w:rsid w:val="00311841"/>
    <w:rsid w:val="00311978"/>
    <w:rsid w:val="003125C9"/>
    <w:rsid w:val="00312946"/>
    <w:rsid w:val="003134B4"/>
    <w:rsid w:val="00313AC1"/>
    <w:rsid w:val="00313B7D"/>
    <w:rsid w:val="00314036"/>
    <w:rsid w:val="003144B1"/>
    <w:rsid w:val="00314AFA"/>
    <w:rsid w:val="0031528A"/>
    <w:rsid w:val="003168F6"/>
    <w:rsid w:val="00316D54"/>
    <w:rsid w:val="00316EC8"/>
    <w:rsid w:val="003174CB"/>
    <w:rsid w:val="0032049D"/>
    <w:rsid w:val="00320992"/>
    <w:rsid w:val="0032139C"/>
    <w:rsid w:val="00321727"/>
    <w:rsid w:val="003221AD"/>
    <w:rsid w:val="00322B8B"/>
    <w:rsid w:val="00323C95"/>
    <w:rsid w:val="00325268"/>
    <w:rsid w:val="0032534A"/>
    <w:rsid w:val="003254B2"/>
    <w:rsid w:val="00326F90"/>
    <w:rsid w:val="00327842"/>
    <w:rsid w:val="003278FD"/>
    <w:rsid w:val="00327B5C"/>
    <w:rsid w:val="00327CB2"/>
    <w:rsid w:val="00331512"/>
    <w:rsid w:val="00331E42"/>
    <w:rsid w:val="00332041"/>
    <w:rsid w:val="0033224E"/>
    <w:rsid w:val="003327EB"/>
    <w:rsid w:val="00332DB0"/>
    <w:rsid w:val="003331F4"/>
    <w:rsid w:val="003335BB"/>
    <w:rsid w:val="003340E0"/>
    <w:rsid w:val="003357C9"/>
    <w:rsid w:val="0033610A"/>
    <w:rsid w:val="003361BA"/>
    <w:rsid w:val="003362AF"/>
    <w:rsid w:val="00336F13"/>
    <w:rsid w:val="00337A45"/>
    <w:rsid w:val="00341CFD"/>
    <w:rsid w:val="00341F80"/>
    <w:rsid w:val="0034244D"/>
    <w:rsid w:val="003433B1"/>
    <w:rsid w:val="003433C1"/>
    <w:rsid w:val="00343B7E"/>
    <w:rsid w:val="003445AE"/>
    <w:rsid w:val="00344C86"/>
    <w:rsid w:val="003466C7"/>
    <w:rsid w:val="00347803"/>
    <w:rsid w:val="00347BD8"/>
    <w:rsid w:val="00350670"/>
    <w:rsid w:val="0035089A"/>
    <w:rsid w:val="0035100E"/>
    <w:rsid w:val="003523C2"/>
    <w:rsid w:val="0035366F"/>
    <w:rsid w:val="00353C0E"/>
    <w:rsid w:val="00354142"/>
    <w:rsid w:val="00354846"/>
    <w:rsid w:val="00354A9B"/>
    <w:rsid w:val="00354EAA"/>
    <w:rsid w:val="0035528A"/>
    <w:rsid w:val="00357A08"/>
    <w:rsid w:val="003606CF"/>
    <w:rsid w:val="00360881"/>
    <w:rsid w:val="00361A83"/>
    <w:rsid w:val="00362254"/>
    <w:rsid w:val="00362D4D"/>
    <w:rsid w:val="0036392B"/>
    <w:rsid w:val="0036454B"/>
    <w:rsid w:val="0036480C"/>
    <w:rsid w:val="003659B7"/>
    <w:rsid w:val="00365C63"/>
    <w:rsid w:val="003675B5"/>
    <w:rsid w:val="00370911"/>
    <w:rsid w:val="00371213"/>
    <w:rsid w:val="00371CF6"/>
    <w:rsid w:val="00371E29"/>
    <w:rsid w:val="00372B3D"/>
    <w:rsid w:val="00374117"/>
    <w:rsid w:val="00374D3E"/>
    <w:rsid w:val="0037546D"/>
    <w:rsid w:val="0037595B"/>
    <w:rsid w:val="003760ED"/>
    <w:rsid w:val="003762CF"/>
    <w:rsid w:val="003771B1"/>
    <w:rsid w:val="00377BE3"/>
    <w:rsid w:val="003803AC"/>
    <w:rsid w:val="00380452"/>
    <w:rsid w:val="00381271"/>
    <w:rsid w:val="0038294E"/>
    <w:rsid w:val="00383DF2"/>
    <w:rsid w:val="0038705F"/>
    <w:rsid w:val="00390174"/>
    <w:rsid w:val="00390439"/>
    <w:rsid w:val="00391145"/>
    <w:rsid w:val="00391DDC"/>
    <w:rsid w:val="00393608"/>
    <w:rsid w:val="00393936"/>
    <w:rsid w:val="00393A53"/>
    <w:rsid w:val="00393DBA"/>
    <w:rsid w:val="003952D2"/>
    <w:rsid w:val="00395CE4"/>
    <w:rsid w:val="003960D9"/>
    <w:rsid w:val="00396AC6"/>
    <w:rsid w:val="00396DEC"/>
    <w:rsid w:val="00396F59"/>
    <w:rsid w:val="0039733D"/>
    <w:rsid w:val="00397AE8"/>
    <w:rsid w:val="00397F6E"/>
    <w:rsid w:val="003A04B5"/>
    <w:rsid w:val="003A0AEA"/>
    <w:rsid w:val="003A0DBD"/>
    <w:rsid w:val="003A2197"/>
    <w:rsid w:val="003A26EC"/>
    <w:rsid w:val="003A335E"/>
    <w:rsid w:val="003A39C3"/>
    <w:rsid w:val="003A3AA1"/>
    <w:rsid w:val="003A3D37"/>
    <w:rsid w:val="003A4401"/>
    <w:rsid w:val="003A5CB9"/>
    <w:rsid w:val="003A6DF6"/>
    <w:rsid w:val="003A752F"/>
    <w:rsid w:val="003A7DFF"/>
    <w:rsid w:val="003B193C"/>
    <w:rsid w:val="003B3A54"/>
    <w:rsid w:val="003B428C"/>
    <w:rsid w:val="003B5499"/>
    <w:rsid w:val="003B5674"/>
    <w:rsid w:val="003B6164"/>
    <w:rsid w:val="003B7FEC"/>
    <w:rsid w:val="003C0050"/>
    <w:rsid w:val="003C0AE0"/>
    <w:rsid w:val="003C1013"/>
    <w:rsid w:val="003C15FF"/>
    <w:rsid w:val="003C1612"/>
    <w:rsid w:val="003C26D2"/>
    <w:rsid w:val="003C2D1A"/>
    <w:rsid w:val="003C2F2D"/>
    <w:rsid w:val="003C33CE"/>
    <w:rsid w:val="003C3516"/>
    <w:rsid w:val="003C4A97"/>
    <w:rsid w:val="003C5EA3"/>
    <w:rsid w:val="003C5F3E"/>
    <w:rsid w:val="003C7065"/>
    <w:rsid w:val="003C707F"/>
    <w:rsid w:val="003C72BA"/>
    <w:rsid w:val="003C7908"/>
    <w:rsid w:val="003C7BFE"/>
    <w:rsid w:val="003D223E"/>
    <w:rsid w:val="003D3712"/>
    <w:rsid w:val="003D3DD7"/>
    <w:rsid w:val="003D4570"/>
    <w:rsid w:val="003D4CAC"/>
    <w:rsid w:val="003D5625"/>
    <w:rsid w:val="003D677A"/>
    <w:rsid w:val="003D6ABD"/>
    <w:rsid w:val="003D7871"/>
    <w:rsid w:val="003E0AEF"/>
    <w:rsid w:val="003E259F"/>
    <w:rsid w:val="003E2B5F"/>
    <w:rsid w:val="003E3620"/>
    <w:rsid w:val="003E463E"/>
    <w:rsid w:val="003E5365"/>
    <w:rsid w:val="003E57EE"/>
    <w:rsid w:val="003E629C"/>
    <w:rsid w:val="003E6C7E"/>
    <w:rsid w:val="003F18C7"/>
    <w:rsid w:val="003F345E"/>
    <w:rsid w:val="003F4FF6"/>
    <w:rsid w:val="003F56BC"/>
    <w:rsid w:val="003F56CF"/>
    <w:rsid w:val="003F5B5E"/>
    <w:rsid w:val="003F60A5"/>
    <w:rsid w:val="003F6FEE"/>
    <w:rsid w:val="003F7A78"/>
    <w:rsid w:val="00400286"/>
    <w:rsid w:val="00401323"/>
    <w:rsid w:val="004013F3"/>
    <w:rsid w:val="00403194"/>
    <w:rsid w:val="00404ABF"/>
    <w:rsid w:val="00405B4E"/>
    <w:rsid w:val="00406B6A"/>
    <w:rsid w:val="00406C34"/>
    <w:rsid w:val="00406D48"/>
    <w:rsid w:val="004075D4"/>
    <w:rsid w:val="0040794E"/>
    <w:rsid w:val="00410398"/>
    <w:rsid w:val="004119AE"/>
    <w:rsid w:val="00412282"/>
    <w:rsid w:val="00413D41"/>
    <w:rsid w:val="00414AD4"/>
    <w:rsid w:val="00415140"/>
    <w:rsid w:val="00416AC2"/>
    <w:rsid w:val="00417354"/>
    <w:rsid w:val="00417B4F"/>
    <w:rsid w:val="00420BAC"/>
    <w:rsid w:val="004216CF"/>
    <w:rsid w:val="004229F9"/>
    <w:rsid w:val="00422AB4"/>
    <w:rsid w:val="00422E3D"/>
    <w:rsid w:val="0042329F"/>
    <w:rsid w:val="0042427A"/>
    <w:rsid w:val="004248C8"/>
    <w:rsid w:val="00425C81"/>
    <w:rsid w:val="00426D64"/>
    <w:rsid w:val="0042786F"/>
    <w:rsid w:val="004301B0"/>
    <w:rsid w:val="00433C9D"/>
    <w:rsid w:val="004343D4"/>
    <w:rsid w:val="004347DA"/>
    <w:rsid w:val="00434946"/>
    <w:rsid w:val="00435BD4"/>
    <w:rsid w:val="004361AC"/>
    <w:rsid w:val="00437993"/>
    <w:rsid w:val="0044127F"/>
    <w:rsid w:val="0044218F"/>
    <w:rsid w:val="00442708"/>
    <w:rsid w:val="00444C94"/>
    <w:rsid w:val="00445708"/>
    <w:rsid w:val="00446971"/>
    <w:rsid w:val="00446CF5"/>
    <w:rsid w:val="004471AA"/>
    <w:rsid w:val="00447A3E"/>
    <w:rsid w:val="00450D45"/>
    <w:rsid w:val="00452CA3"/>
    <w:rsid w:val="00453C05"/>
    <w:rsid w:val="0045409E"/>
    <w:rsid w:val="00454150"/>
    <w:rsid w:val="00454592"/>
    <w:rsid w:val="0046004C"/>
    <w:rsid w:val="00460158"/>
    <w:rsid w:val="0046052A"/>
    <w:rsid w:val="0046143A"/>
    <w:rsid w:val="00461613"/>
    <w:rsid w:val="004636A5"/>
    <w:rsid w:val="00463F16"/>
    <w:rsid w:val="004651FB"/>
    <w:rsid w:val="004670C4"/>
    <w:rsid w:val="004671C5"/>
    <w:rsid w:val="00467BC3"/>
    <w:rsid w:val="00472028"/>
    <w:rsid w:val="00472C8B"/>
    <w:rsid w:val="00472D3B"/>
    <w:rsid w:val="00472E04"/>
    <w:rsid w:val="00474E8C"/>
    <w:rsid w:val="00474F62"/>
    <w:rsid w:val="00475397"/>
    <w:rsid w:val="004757E3"/>
    <w:rsid w:val="0047597D"/>
    <w:rsid w:val="004772CF"/>
    <w:rsid w:val="0048019F"/>
    <w:rsid w:val="0048052E"/>
    <w:rsid w:val="004806AF"/>
    <w:rsid w:val="00481B30"/>
    <w:rsid w:val="00482E3E"/>
    <w:rsid w:val="004830B4"/>
    <w:rsid w:val="00484513"/>
    <w:rsid w:val="00485A3A"/>
    <w:rsid w:val="00485E6A"/>
    <w:rsid w:val="00486001"/>
    <w:rsid w:val="0048657F"/>
    <w:rsid w:val="00487523"/>
    <w:rsid w:val="00487686"/>
    <w:rsid w:val="00490C13"/>
    <w:rsid w:val="00492471"/>
    <w:rsid w:val="004950D4"/>
    <w:rsid w:val="004951A8"/>
    <w:rsid w:val="0049554A"/>
    <w:rsid w:val="0049742A"/>
    <w:rsid w:val="00497ADF"/>
    <w:rsid w:val="00497B50"/>
    <w:rsid w:val="004A064F"/>
    <w:rsid w:val="004A065B"/>
    <w:rsid w:val="004A0BD6"/>
    <w:rsid w:val="004A125D"/>
    <w:rsid w:val="004A12D6"/>
    <w:rsid w:val="004A1755"/>
    <w:rsid w:val="004A2771"/>
    <w:rsid w:val="004A3157"/>
    <w:rsid w:val="004A4415"/>
    <w:rsid w:val="004A4D4B"/>
    <w:rsid w:val="004A6809"/>
    <w:rsid w:val="004A7B35"/>
    <w:rsid w:val="004A7D65"/>
    <w:rsid w:val="004B1813"/>
    <w:rsid w:val="004B22AA"/>
    <w:rsid w:val="004B2537"/>
    <w:rsid w:val="004B4D87"/>
    <w:rsid w:val="004B4F20"/>
    <w:rsid w:val="004B52E7"/>
    <w:rsid w:val="004B5E59"/>
    <w:rsid w:val="004B61FB"/>
    <w:rsid w:val="004B6248"/>
    <w:rsid w:val="004B6311"/>
    <w:rsid w:val="004B78D7"/>
    <w:rsid w:val="004C004D"/>
    <w:rsid w:val="004C0FEC"/>
    <w:rsid w:val="004C174F"/>
    <w:rsid w:val="004C1BBC"/>
    <w:rsid w:val="004C24C0"/>
    <w:rsid w:val="004C29B0"/>
    <w:rsid w:val="004C4E8C"/>
    <w:rsid w:val="004C548B"/>
    <w:rsid w:val="004C660D"/>
    <w:rsid w:val="004D03B8"/>
    <w:rsid w:val="004D0DCF"/>
    <w:rsid w:val="004D0FF9"/>
    <w:rsid w:val="004D29D5"/>
    <w:rsid w:val="004D3599"/>
    <w:rsid w:val="004D3C15"/>
    <w:rsid w:val="004D4859"/>
    <w:rsid w:val="004D4B03"/>
    <w:rsid w:val="004D602D"/>
    <w:rsid w:val="004D6A43"/>
    <w:rsid w:val="004D6B9E"/>
    <w:rsid w:val="004D6E4F"/>
    <w:rsid w:val="004D6EF7"/>
    <w:rsid w:val="004E0B30"/>
    <w:rsid w:val="004E1AB2"/>
    <w:rsid w:val="004E2D61"/>
    <w:rsid w:val="004E3263"/>
    <w:rsid w:val="004E327F"/>
    <w:rsid w:val="004E39A9"/>
    <w:rsid w:val="004E45B7"/>
    <w:rsid w:val="004E4E41"/>
    <w:rsid w:val="004E5615"/>
    <w:rsid w:val="004E7FB7"/>
    <w:rsid w:val="004F0292"/>
    <w:rsid w:val="004F0789"/>
    <w:rsid w:val="004F086D"/>
    <w:rsid w:val="004F13A4"/>
    <w:rsid w:val="004F1DC3"/>
    <w:rsid w:val="004F2DB3"/>
    <w:rsid w:val="004F393B"/>
    <w:rsid w:val="004F3F12"/>
    <w:rsid w:val="004F477D"/>
    <w:rsid w:val="004F5896"/>
    <w:rsid w:val="004F6F69"/>
    <w:rsid w:val="00500D28"/>
    <w:rsid w:val="005045C9"/>
    <w:rsid w:val="00506C29"/>
    <w:rsid w:val="00507479"/>
    <w:rsid w:val="005075C9"/>
    <w:rsid w:val="005100DC"/>
    <w:rsid w:val="00510818"/>
    <w:rsid w:val="005113A4"/>
    <w:rsid w:val="00511C32"/>
    <w:rsid w:val="00514638"/>
    <w:rsid w:val="005169A5"/>
    <w:rsid w:val="00517213"/>
    <w:rsid w:val="0051799D"/>
    <w:rsid w:val="00517DFC"/>
    <w:rsid w:val="005212C4"/>
    <w:rsid w:val="005212CC"/>
    <w:rsid w:val="00521725"/>
    <w:rsid w:val="005217C1"/>
    <w:rsid w:val="005234E5"/>
    <w:rsid w:val="00523ABD"/>
    <w:rsid w:val="00524C15"/>
    <w:rsid w:val="00524E5F"/>
    <w:rsid w:val="00525470"/>
    <w:rsid w:val="0052574A"/>
    <w:rsid w:val="005261E6"/>
    <w:rsid w:val="005265F7"/>
    <w:rsid w:val="005276D7"/>
    <w:rsid w:val="00530B68"/>
    <w:rsid w:val="00530F84"/>
    <w:rsid w:val="0053205B"/>
    <w:rsid w:val="005354CF"/>
    <w:rsid w:val="005360FF"/>
    <w:rsid w:val="00536C44"/>
    <w:rsid w:val="0053708B"/>
    <w:rsid w:val="00537919"/>
    <w:rsid w:val="005405D7"/>
    <w:rsid w:val="00540612"/>
    <w:rsid w:val="00541E67"/>
    <w:rsid w:val="00541F29"/>
    <w:rsid w:val="00542113"/>
    <w:rsid w:val="00543125"/>
    <w:rsid w:val="00543497"/>
    <w:rsid w:val="00543AC4"/>
    <w:rsid w:val="00546D06"/>
    <w:rsid w:val="00546EE9"/>
    <w:rsid w:val="005516B4"/>
    <w:rsid w:val="00551ACD"/>
    <w:rsid w:val="00551DC5"/>
    <w:rsid w:val="00553080"/>
    <w:rsid w:val="00553BAF"/>
    <w:rsid w:val="005542DF"/>
    <w:rsid w:val="00554862"/>
    <w:rsid w:val="0055534E"/>
    <w:rsid w:val="00555F63"/>
    <w:rsid w:val="0055779A"/>
    <w:rsid w:val="005578D1"/>
    <w:rsid w:val="00557BA3"/>
    <w:rsid w:val="005580EA"/>
    <w:rsid w:val="005604C9"/>
    <w:rsid w:val="00560A13"/>
    <w:rsid w:val="00561A64"/>
    <w:rsid w:val="00562BA4"/>
    <w:rsid w:val="00563247"/>
    <w:rsid w:val="00565EA1"/>
    <w:rsid w:val="00566855"/>
    <w:rsid w:val="00567476"/>
    <w:rsid w:val="00567EFB"/>
    <w:rsid w:val="00570183"/>
    <w:rsid w:val="00571C20"/>
    <w:rsid w:val="00572051"/>
    <w:rsid w:val="0057209E"/>
    <w:rsid w:val="005722F1"/>
    <w:rsid w:val="00572735"/>
    <w:rsid w:val="00574227"/>
    <w:rsid w:val="00574E04"/>
    <w:rsid w:val="00575ADD"/>
    <w:rsid w:val="00576030"/>
    <w:rsid w:val="00576C06"/>
    <w:rsid w:val="00581F3C"/>
    <w:rsid w:val="00582379"/>
    <w:rsid w:val="005826DE"/>
    <w:rsid w:val="005827F7"/>
    <w:rsid w:val="00582B8C"/>
    <w:rsid w:val="00583168"/>
    <w:rsid w:val="00585AD5"/>
    <w:rsid w:val="00586BBB"/>
    <w:rsid w:val="005873DB"/>
    <w:rsid w:val="00590A5A"/>
    <w:rsid w:val="00590C9A"/>
    <w:rsid w:val="00590E8A"/>
    <w:rsid w:val="00590FC1"/>
    <w:rsid w:val="00592530"/>
    <w:rsid w:val="0059298F"/>
    <w:rsid w:val="00592B3A"/>
    <w:rsid w:val="00593284"/>
    <w:rsid w:val="005938B5"/>
    <w:rsid w:val="00594C2E"/>
    <w:rsid w:val="0059531D"/>
    <w:rsid w:val="0059536A"/>
    <w:rsid w:val="00595C51"/>
    <w:rsid w:val="00597145"/>
    <w:rsid w:val="00597146"/>
    <w:rsid w:val="00597614"/>
    <w:rsid w:val="005A052E"/>
    <w:rsid w:val="005A0C37"/>
    <w:rsid w:val="005A1445"/>
    <w:rsid w:val="005A1744"/>
    <w:rsid w:val="005A224B"/>
    <w:rsid w:val="005A2DA9"/>
    <w:rsid w:val="005A4B7D"/>
    <w:rsid w:val="005A5346"/>
    <w:rsid w:val="005A5571"/>
    <w:rsid w:val="005A5ECA"/>
    <w:rsid w:val="005A728D"/>
    <w:rsid w:val="005B1ED4"/>
    <w:rsid w:val="005B4B3E"/>
    <w:rsid w:val="005B58CA"/>
    <w:rsid w:val="005B68CD"/>
    <w:rsid w:val="005B6F34"/>
    <w:rsid w:val="005C1480"/>
    <w:rsid w:val="005C1BBF"/>
    <w:rsid w:val="005C221C"/>
    <w:rsid w:val="005C2BB4"/>
    <w:rsid w:val="005C4180"/>
    <w:rsid w:val="005C418E"/>
    <w:rsid w:val="005C4637"/>
    <w:rsid w:val="005C4825"/>
    <w:rsid w:val="005C4AF9"/>
    <w:rsid w:val="005C599B"/>
    <w:rsid w:val="005C5FE8"/>
    <w:rsid w:val="005C62A4"/>
    <w:rsid w:val="005C782D"/>
    <w:rsid w:val="005D0716"/>
    <w:rsid w:val="005D0B76"/>
    <w:rsid w:val="005D0C8B"/>
    <w:rsid w:val="005D2D9D"/>
    <w:rsid w:val="005D310A"/>
    <w:rsid w:val="005D3533"/>
    <w:rsid w:val="005D4A29"/>
    <w:rsid w:val="005D4C2A"/>
    <w:rsid w:val="005D4E22"/>
    <w:rsid w:val="005D51FE"/>
    <w:rsid w:val="005D6081"/>
    <w:rsid w:val="005D608F"/>
    <w:rsid w:val="005D67CD"/>
    <w:rsid w:val="005D702A"/>
    <w:rsid w:val="005D739F"/>
    <w:rsid w:val="005D74B1"/>
    <w:rsid w:val="005D769F"/>
    <w:rsid w:val="005E028B"/>
    <w:rsid w:val="005E050A"/>
    <w:rsid w:val="005E12AA"/>
    <w:rsid w:val="005E1985"/>
    <w:rsid w:val="005E2EF2"/>
    <w:rsid w:val="005E2FE9"/>
    <w:rsid w:val="005E319F"/>
    <w:rsid w:val="005E3C9F"/>
    <w:rsid w:val="005E4DCC"/>
    <w:rsid w:val="005E4E47"/>
    <w:rsid w:val="005E50DF"/>
    <w:rsid w:val="005E5A38"/>
    <w:rsid w:val="005F054A"/>
    <w:rsid w:val="005F0E18"/>
    <w:rsid w:val="005F133D"/>
    <w:rsid w:val="005F1DB6"/>
    <w:rsid w:val="005F2173"/>
    <w:rsid w:val="005F2FB6"/>
    <w:rsid w:val="005F68B4"/>
    <w:rsid w:val="005F6B5B"/>
    <w:rsid w:val="005F6DFE"/>
    <w:rsid w:val="005F6E00"/>
    <w:rsid w:val="005F76CB"/>
    <w:rsid w:val="005F7D24"/>
    <w:rsid w:val="006003D0"/>
    <w:rsid w:val="00600B1E"/>
    <w:rsid w:val="006010A7"/>
    <w:rsid w:val="006038F4"/>
    <w:rsid w:val="00604285"/>
    <w:rsid w:val="00604E7E"/>
    <w:rsid w:val="00610657"/>
    <w:rsid w:val="00611BD4"/>
    <w:rsid w:val="00611DEB"/>
    <w:rsid w:val="00612135"/>
    <w:rsid w:val="0061229B"/>
    <w:rsid w:val="00612367"/>
    <w:rsid w:val="0061287D"/>
    <w:rsid w:val="00612A35"/>
    <w:rsid w:val="00613842"/>
    <w:rsid w:val="006142F4"/>
    <w:rsid w:val="00615129"/>
    <w:rsid w:val="00616A8F"/>
    <w:rsid w:val="0061706A"/>
    <w:rsid w:val="00617B93"/>
    <w:rsid w:val="00617DEC"/>
    <w:rsid w:val="00617EAB"/>
    <w:rsid w:val="006216A4"/>
    <w:rsid w:val="0062173A"/>
    <w:rsid w:val="00622413"/>
    <w:rsid w:val="00622DF8"/>
    <w:rsid w:val="00623692"/>
    <w:rsid w:val="00623EFB"/>
    <w:rsid w:val="00624E6B"/>
    <w:rsid w:val="0062525A"/>
    <w:rsid w:val="00625380"/>
    <w:rsid w:val="00626D12"/>
    <w:rsid w:val="0062701B"/>
    <w:rsid w:val="00627A93"/>
    <w:rsid w:val="00627B4E"/>
    <w:rsid w:val="00627D31"/>
    <w:rsid w:val="00630214"/>
    <w:rsid w:val="0063045E"/>
    <w:rsid w:val="006306AD"/>
    <w:rsid w:val="00630CB0"/>
    <w:rsid w:val="00632368"/>
    <w:rsid w:val="00632395"/>
    <w:rsid w:val="0063265C"/>
    <w:rsid w:val="00633006"/>
    <w:rsid w:val="00633DB9"/>
    <w:rsid w:val="00633F5F"/>
    <w:rsid w:val="0063454F"/>
    <w:rsid w:val="006346A0"/>
    <w:rsid w:val="00634C1E"/>
    <w:rsid w:val="006354DE"/>
    <w:rsid w:val="006355BB"/>
    <w:rsid w:val="00635657"/>
    <w:rsid w:val="00635824"/>
    <w:rsid w:val="00635B7A"/>
    <w:rsid w:val="00636535"/>
    <w:rsid w:val="00636855"/>
    <w:rsid w:val="0064018D"/>
    <w:rsid w:val="006409F6"/>
    <w:rsid w:val="006410EE"/>
    <w:rsid w:val="00643622"/>
    <w:rsid w:val="0064376F"/>
    <w:rsid w:val="0064472A"/>
    <w:rsid w:val="00644AC7"/>
    <w:rsid w:val="006462D3"/>
    <w:rsid w:val="00646C29"/>
    <w:rsid w:val="006519E9"/>
    <w:rsid w:val="00652482"/>
    <w:rsid w:val="0065380F"/>
    <w:rsid w:val="00654815"/>
    <w:rsid w:val="006553C8"/>
    <w:rsid w:val="00656162"/>
    <w:rsid w:val="0065724A"/>
    <w:rsid w:val="00662ECF"/>
    <w:rsid w:val="00663243"/>
    <w:rsid w:val="0066383F"/>
    <w:rsid w:val="006638FE"/>
    <w:rsid w:val="00664600"/>
    <w:rsid w:val="006654E1"/>
    <w:rsid w:val="0066588F"/>
    <w:rsid w:val="00666360"/>
    <w:rsid w:val="006663DB"/>
    <w:rsid w:val="0067035C"/>
    <w:rsid w:val="00670422"/>
    <w:rsid w:val="00671201"/>
    <w:rsid w:val="006717EF"/>
    <w:rsid w:val="00671DF7"/>
    <w:rsid w:val="00673EA9"/>
    <w:rsid w:val="00674AF7"/>
    <w:rsid w:val="00674C59"/>
    <w:rsid w:val="006756E0"/>
    <w:rsid w:val="006767AB"/>
    <w:rsid w:val="00676DF9"/>
    <w:rsid w:val="0068136C"/>
    <w:rsid w:val="00681B7B"/>
    <w:rsid w:val="00682321"/>
    <w:rsid w:val="006838AD"/>
    <w:rsid w:val="006848B9"/>
    <w:rsid w:val="00684A0F"/>
    <w:rsid w:val="00686719"/>
    <w:rsid w:val="00686AE4"/>
    <w:rsid w:val="00687C4C"/>
    <w:rsid w:val="0069025C"/>
    <w:rsid w:val="0069030E"/>
    <w:rsid w:val="00690DB9"/>
    <w:rsid w:val="00691438"/>
    <w:rsid w:val="006928B0"/>
    <w:rsid w:val="00695DB7"/>
    <w:rsid w:val="0069640E"/>
    <w:rsid w:val="00696549"/>
    <w:rsid w:val="00696E25"/>
    <w:rsid w:val="00697F51"/>
    <w:rsid w:val="006A07E6"/>
    <w:rsid w:val="006A2687"/>
    <w:rsid w:val="006A36A3"/>
    <w:rsid w:val="006A4F84"/>
    <w:rsid w:val="006A530B"/>
    <w:rsid w:val="006A5556"/>
    <w:rsid w:val="006A5914"/>
    <w:rsid w:val="006A6458"/>
    <w:rsid w:val="006B01F6"/>
    <w:rsid w:val="006B0671"/>
    <w:rsid w:val="006B14CB"/>
    <w:rsid w:val="006B1FBF"/>
    <w:rsid w:val="006B29B6"/>
    <w:rsid w:val="006B2B9A"/>
    <w:rsid w:val="006B33C7"/>
    <w:rsid w:val="006B36BF"/>
    <w:rsid w:val="006B3890"/>
    <w:rsid w:val="006B4561"/>
    <w:rsid w:val="006B4D10"/>
    <w:rsid w:val="006B4D4C"/>
    <w:rsid w:val="006B6181"/>
    <w:rsid w:val="006B674F"/>
    <w:rsid w:val="006B6B1E"/>
    <w:rsid w:val="006B7104"/>
    <w:rsid w:val="006B7FCE"/>
    <w:rsid w:val="006C14C6"/>
    <w:rsid w:val="006C2EDD"/>
    <w:rsid w:val="006C4C03"/>
    <w:rsid w:val="006C5354"/>
    <w:rsid w:val="006C57D3"/>
    <w:rsid w:val="006C580A"/>
    <w:rsid w:val="006D15B9"/>
    <w:rsid w:val="006D2C71"/>
    <w:rsid w:val="006D3242"/>
    <w:rsid w:val="006D329A"/>
    <w:rsid w:val="006D419F"/>
    <w:rsid w:val="006D4E68"/>
    <w:rsid w:val="006D6C0E"/>
    <w:rsid w:val="006D777D"/>
    <w:rsid w:val="006E1274"/>
    <w:rsid w:val="006E256E"/>
    <w:rsid w:val="006E25E1"/>
    <w:rsid w:val="006E3BC2"/>
    <w:rsid w:val="006E43D8"/>
    <w:rsid w:val="006E44F3"/>
    <w:rsid w:val="006E5E22"/>
    <w:rsid w:val="006E76C0"/>
    <w:rsid w:val="006F1ACE"/>
    <w:rsid w:val="006F1E70"/>
    <w:rsid w:val="006F2201"/>
    <w:rsid w:val="006F26FA"/>
    <w:rsid w:val="006F2D7F"/>
    <w:rsid w:val="006F3CB4"/>
    <w:rsid w:val="006F59E7"/>
    <w:rsid w:val="006F67AD"/>
    <w:rsid w:val="006F6BBE"/>
    <w:rsid w:val="00700412"/>
    <w:rsid w:val="00700CA4"/>
    <w:rsid w:val="00700E8B"/>
    <w:rsid w:val="007014C4"/>
    <w:rsid w:val="007023C1"/>
    <w:rsid w:val="00703015"/>
    <w:rsid w:val="00703C4C"/>
    <w:rsid w:val="00704485"/>
    <w:rsid w:val="007049F2"/>
    <w:rsid w:val="00705ED4"/>
    <w:rsid w:val="00706FD2"/>
    <w:rsid w:val="0070723E"/>
    <w:rsid w:val="00711377"/>
    <w:rsid w:val="00711CE8"/>
    <w:rsid w:val="00712E1C"/>
    <w:rsid w:val="00713A35"/>
    <w:rsid w:val="00713CE5"/>
    <w:rsid w:val="00713FB1"/>
    <w:rsid w:val="0071617F"/>
    <w:rsid w:val="007166CB"/>
    <w:rsid w:val="0071734F"/>
    <w:rsid w:val="00717B04"/>
    <w:rsid w:val="007218E9"/>
    <w:rsid w:val="00722670"/>
    <w:rsid w:val="00722B35"/>
    <w:rsid w:val="00723756"/>
    <w:rsid w:val="007242FE"/>
    <w:rsid w:val="00724935"/>
    <w:rsid w:val="00724E48"/>
    <w:rsid w:val="007252AE"/>
    <w:rsid w:val="0072594A"/>
    <w:rsid w:val="00725B30"/>
    <w:rsid w:val="00725E2A"/>
    <w:rsid w:val="00726A31"/>
    <w:rsid w:val="007271AE"/>
    <w:rsid w:val="00732619"/>
    <w:rsid w:val="007329E3"/>
    <w:rsid w:val="0073310F"/>
    <w:rsid w:val="00733454"/>
    <w:rsid w:val="00733763"/>
    <w:rsid w:val="00733CAC"/>
    <w:rsid w:val="00733E58"/>
    <w:rsid w:val="00733F59"/>
    <w:rsid w:val="007345A0"/>
    <w:rsid w:val="007352BE"/>
    <w:rsid w:val="00735D57"/>
    <w:rsid w:val="00737955"/>
    <w:rsid w:val="0074200D"/>
    <w:rsid w:val="00742012"/>
    <w:rsid w:val="00742C15"/>
    <w:rsid w:val="00742DF3"/>
    <w:rsid w:val="00743073"/>
    <w:rsid w:val="00744C18"/>
    <w:rsid w:val="0074532C"/>
    <w:rsid w:val="00746270"/>
    <w:rsid w:val="007465DC"/>
    <w:rsid w:val="00746D07"/>
    <w:rsid w:val="00747E8F"/>
    <w:rsid w:val="007509D2"/>
    <w:rsid w:val="00750EBF"/>
    <w:rsid w:val="00751B53"/>
    <w:rsid w:val="007526A7"/>
    <w:rsid w:val="007533CB"/>
    <w:rsid w:val="007534F4"/>
    <w:rsid w:val="0075468B"/>
    <w:rsid w:val="007555D9"/>
    <w:rsid w:val="0075765F"/>
    <w:rsid w:val="00757A90"/>
    <w:rsid w:val="00762C06"/>
    <w:rsid w:val="00763D38"/>
    <w:rsid w:val="00764AB7"/>
    <w:rsid w:val="0076542C"/>
    <w:rsid w:val="007667A8"/>
    <w:rsid w:val="0077043E"/>
    <w:rsid w:val="00770E1D"/>
    <w:rsid w:val="00772453"/>
    <w:rsid w:val="0077321A"/>
    <w:rsid w:val="00773539"/>
    <w:rsid w:val="00773684"/>
    <w:rsid w:val="007745E1"/>
    <w:rsid w:val="007746C2"/>
    <w:rsid w:val="00777576"/>
    <w:rsid w:val="00777637"/>
    <w:rsid w:val="0078015E"/>
    <w:rsid w:val="00780250"/>
    <w:rsid w:val="00780337"/>
    <w:rsid w:val="00781320"/>
    <w:rsid w:val="007824AD"/>
    <w:rsid w:val="00782AA8"/>
    <w:rsid w:val="00783E3C"/>
    <w:rsid w:val="007845EB"/>
    <w:rsid w:val="00785102"/>
    <w:rsid w:val="0078661F"/>
    <w:rsid w:val="00787710"/>
    <w:rsid w:val="00787CFA"/>
    <w:rsid w:val="00790C20"/>
    <w:rsid w:val="0079104E"/>
    <w:rsid w:val="0079109C"/>
    <w:rsid w:val="00791CC8"/>
    <w:rsid w:val="00792169"/>
    <w:rsid w:val="0079257C"/>
    <w:rsid w:val="007929FD"/>
    <w:rsid w:val="007930FD"/>
    <w:rsid w:val="00793E74"/>
    <w:rsid w:val="0079598E"/>
    <w:rsid w:val="00795C3E"/>
    <w:rsid w:val="0079666A"/>
    <w:rsid w:val="007969A8"/>
    <w:rsid w:val="0079786F"/>
    <w:rsid w:val="007A04A7"/>
    <w:rsid w:val="007A1879"/>
    <w:rsid w:val="007A1BA7"/>
    <w:rsid w:val="007A27C5"/>
    <w:rsid w:val="007A3474"/>
    <w:rsid w:val="007A39EE"/>
    <w:rsid w:val="007A44B9"/>
    <w:rsid w:val="007A48F1"/>
    <w:rsid w:val="007A5F5C"/>
    <w:rsid w:val="007A684F"/>
    <w:rsid w:val="007A799E"/>
    <w:rsid w:val="007B0240"/>
    <w:rsid w:val="007B0E2B"/>
    <w:rsid w:val="007B0FF7"/>
    <w:rsid w:val="007B2632"/>
    <w:rsid w:val="007B355B"/>
    <w:rsid w:val="007B4381"/>
    <w:rsid w:val="007B4560"/>
    <w:rsid w:val="007B561A"/>
    <w:rsid w:val="007B7968"/>
    <w:rsid w:val="007B7CDE"/>
    <w:rsid w:val="007C0C3B"/>
    <w:rsid w:val="007C140C"/>
    <w:rsid w:val="007C1549"/>
    <w:rsid w:val="007C35CD"/>
    <w:rsid w:val="007C550D"/>
    <w:rsid w:val="007C6C6A"/>
    <w:rsid w:val="007D143B"/>
    <w:rsid w:val="007D180A"/>
    <w:rsid w:val="007D1DD7"/>
    <w:rsid w:val="007D2FE0"/>
    <w:rsid w:val="007D555F"/>
    <w:rsid w:val="007D735C"/>
    <w:rsid w:val="007E07E3"/>
    <w:rsid w:val="007E1C84"/>
    <w:rsid w:val="007E1CB9"/>
    <w:rsid w:val="007E20B4"/>
    <w:rsid w:val="007E2494"/>
    <w:rsid w:val="007E265D"/>
    <w:rsid w:val="007E41F2"/>
    <w:rsid w:val="007E5D41"/>
    <w:rsid w:val="007E676D"/>
    <w:rsid w:val="007E688C"/>
    <w:rsid w:val="007E68DE"/>
    <w:rsid w:val="007E7952"/>
    <w:rsid w:val="007F13B9"/>
    <w:rsid w:val="007F2B3E"/>
    <w:rsid w:val="007F3ACA"/>
    <w:rsid w:val="007F4935"/>
    <w:rsid w:val="007F4ED6"/>
    <w:rsid w:val="007F6A9D"/>
    <w:rsid w:val="00802536"/>
    <w:rsid w:val="008035B5"/>
    <w:rsid w:val="00806161"/>
    <w:rsid w:val="008063FE"/>
    <w:rsid w:val="00806707"/>
    <w:rsid w:val="00806CFB"/>
    <w:rsid w:val="00806E4B"/>
    <w:rsid w:val="008074E7"/>
    <w:rsid w:val="00810AD0"/>
    <w:rsid w:val="00810C59"/>
    <w:rsid w:val="00810F98"/>
    <w:rsid w:val="00812539"/>
    <w:rsid w:val="00813096"/>
    <w:rsid w:val="008138B6"/>
    <w:rsid w:val="008151B6"/>
    <w:rsid w:val="0081598F"/>
    <w:rsid w:val="00815B1A"/>
    <w:rsid w:val="00816305"/>
    <w:rsid w:val="0081696D"/>
    <w:rsid w:val="00816B4D"/>
    <w:rsid w:val="00817126"/>
    <w:rsid w:val="00817ADA"/>
    <w:rsid w:val="008200CA"/>
    <w:rsid w:val="008202CF"/>
    <w:rsid w:val="008209BE"/>
    <w:rsid w:val="00820E54"/>
    <w:rsid w:val="00821184"/>
    <w:rsid w:val="00822B62"/>
    <w:rsid w:val="00823F14"/>
    <w:rsid w:val="00824226"/>
    <w:rsid w:val="00825275"/>
    <w:rsid w:val="00825CEE"/>
    <w:rsid w:val="00825DDB"/>
    <w:rsid w:val="00825F4B"/>
    <w:rsid w:val="00825FDB"/>
    <w:rsid w:val="0082727B"/>
    <w:rsid w:val="00827E48"/>
    <w:rsid w:val="00827E96"/>
    <w:rsid w:val="008305A6"/>
    <w:rsid w:val="0083071F"/>
    <w:rsid w:val="0083158E"/>
    <w:rsid w:val="00831E3C"/>
    <w:rsid w:val="00832063"/>
    <w:rsid w:val="00832280"/>
    <w:rsid w:val="008326F0"/>
    <w:rsid w:val="00832E93"/>
    <w:rsid w:val="008331A1"/>
    <w:rsid w:val="00833963"/>
    <w:rsid w:val="00833E30"/>
    <w:rsid w:val="008342E6"/>
    <w:rsid w:val="00834A53"/>
    <w:rsid w:val="008378A4"/>
    <w:rsid w:val="00840657"/>
    <w:rsid w:val="00840A7C"/>
    <w:rsid w:val="00841C1C"/>
    <w:rsid w:val="00842A36"/>
    <w:rsid w:val="008430BA"/>
    <w:rsid w:val="008430E5"/>
    <w:rsid w:val="008434A8"/>
    <w:rsid w:val="008459A9"/>
    <w:rsid w:val="00845EB4"/>
    <w:rsid w:val="00846820"/>
    <w:rsid w:val="00846D2D"/>
    <w:rsid w:val="00847393"/>
    <w:rsid w:val="00847555"/>
    <w:rsid w:val="008516E8"/>
    <w:rsid w:val="00852205"/>
    <w:rsid w:val="0085337C"/>
    <w:rsid w:val="008549B5"/>
    <w:rsid w:val="00855D4D"/>
    <w:rsid w:val="00856487"/>
    <w:rsid w:val="0085744A"/>
    <w:rsid w:val="008601E0"/>
    <w:rsid w:val="008615FC"/>
    <w:rsid w:val="0086172F"/>
    <w:rsid w:val="00861806"/>
    <w:rsid w:val="00861FA8"/>
    <w:rsid w:val="0086207A"/>
    <w:rsid w:val="00862F1E"/>
    <w:rsid w:val="00863C0E"/>
    <w:rsid w:val="00864B85"/>
    <w:rsid w:val="00865C35"/>
    <w:rsid w:val="0086624F"/>
    <w:rsid w:val="008664B6"/>
    <w:rsid w:val="008666BF"/>
    <w:rsid w:val="00867058"/>
    <w:rsid w:val="00867FF7"/>
    <w:rsid w:val="00871FF2"/>
    <w:rsid w:val="00872085"/>
    <w:rsid w:val="00872692"/>
    <w:rsid w:val="008726F6"/>
    <w:rsid w:val="00872875"/>
    <w:rsid w:val="00872EBB"/>
    <w:rsid w:val="00875304"/>
    <w:rsid w:val="00875775"/>
    <w:rsid w:val="00875C25"/>
    <w:rsid w:val="0087602B"/>
    <w:rsid w:val="008774B5"/>
    <w:rsid w:val="0088066F"/>
    <w:rsid w:val="00880F0A"/>
    <w:rsid w:val="0088134D"/>
    <w:rsid w:val="00881939"/>
    <w:rsid w:val="008837C8"/>
    <w:rsid w:val="00884081"/>
    <w:rsid w:val="00884302"/>
    <w:rsid w:val="0088454D"/>
    <w:rsid w:val="00885897"/>
    <w:rsid w:val="00887786"/>
    <w:rsid w:val="00887CA0"/>
    <w:rsid w:val="00891406"/>
    <w:rsid w:val="00891475"/>
    <w:rsid w:val="00891652"/>
    <w:rsid w:val="0089167F"/>
    <w:rsid w:val="008917CE"/>
    <w:rsid w:val="00891C1C"/>
    <w:rsid w:val="00891F37"/>
    <w:rsid w:val="00893C38"/>
    <w:rsid w:val="00893E00"/>
    <w:rsid w:val="00894571"/>
    <w:rsid w:val="00895799"/>
    <w:rsid w:val="008976D5"/>
    <w:rsid w:val="008A14F0"/>
    <w:rsid w:val="008A16EF"/>
    <w:rsid w:val="008A18D3"/>
    <w:rsid w:val="008A1F53"/>
    <w:rsid w:val="008A4506"/>
    <w:rsid w:val="008A5377"/>
    <w:rsid w:val="008A78F1"/>
    <w:rsid w:val="008B0AD8"/>
    <w:rsid w:val="008B110E"/>
    <w:rsid w:val="008B11DA"/>
    <w:rsid w:val="008B1CCF"/>
    <w:rsid w:val="008B1FFA"/>
    <w:rsid w:val="008B30B2"/>
    <w:rsid w:val="008B4495"/>
    <w:rsid w:val="008B4DDE"/>
    <w:rsid w:val="008B4E0C"/>
    <w:rsid w:val="008B5B41"/>
    <w:rsid w:val="008B6D81"/>
    <w:rsid w:val="008B727A"/>
    <w:rsid w:val="008C01B0"/>
    <w:rsid w:val="008C1517"/>
    <w:rsid w:val="008C1903"/>
    <w:rsid w:val="008C2B04"/>
    <w:rsid w:val="008C2DB1"/>
    <w:rsid w:val="008C306B"/>
    <w:rsid w:val="008C3239"/>
    <w:rsid w:val="008C3737"/>
    <w:rsid w:val="008C3C22"/>
    <w:rsid w:val="008C4AC1"/>
    <w:rsid w:val="008C64D5"/>
    <w:rsid w:val="008C73D1"/>
    <w:rsid w:val="008D27A7"/>
    <w:rsid w:val="008D2A94"/>
    <w:rsid w:val="008D4E05"/>
    <w:rsid w:val="008D55D5"/>
    <w:rsid w:val="008D7AAD"/>
    <w:rsid w:val="008E0299"/>
    <w:rsid w:val="008E052B"/>
    <w:rsid w:val="008E054E"/>
    <w:rsid w:val="008E1F0E"/>
    <w:rsid w:val="008E292A"/>
    <w:rsid w:val="008E33F2"/>
    <w:rsid w:val="008E4DC7"/>
    <w:rsid w:val="008E53EA"/>
    <w:rsid w:val="008E5C27"/>
    <w:rsid w:val="008E5FEF"/>
    <w:rsid w:val="008E6226"/>
    <w:rsid w:val="008E70C6"/>
    <w:rsid w:val="008E7309"/>
    <w:rsid w:val="008E77DE"/>
    <w:rsid w:val="008F03BD"/>
    <w:rsid w:val="008F2459"/>
    <w:rsid w:val="008F27A2"/>
    <w:rsid w:val="008F538F"/>
    <w:rsid w:val="008F70E2"/>
    <w:rsid w:val="008F7567"/>
    <w:rsid w:val="008F7F3D"/>
    <w:rsid w:val="0090022A"/>
    <w:rsid w:val="00900608"/>
    <w:rsid w:val="00901BE4"/>
    <w:rsid w:val="00902149"/>
    <w:rsid w:val="00902BAC"/>
    <w:rsid w:val="009059C3"/>
    <w:rsid w:val="009062F8"/>
    <w:rsid w:val="00910C8E"/>
    <w:rsid w:val="00910EC0"/>
    <w:rsid w:val="00913F43"/>
    <w:rsid w:val="00914F2E"/>
    <w:rsid w:val="00915737"/>
    <w:rsid w:val="0091611B"/>
    <w:rsid w:val="0091740F"/>
    <w:rsid w:val="00920673"/>
    <w:rsid w:val="00921093"/>
    <w:rsid w:val="00921578"/>
    <w:rsid w:val="00921D5A"/>
    <w:rsid w:val="00923B74"/>
    <w:rsid w:val="00923E0E"/>
    <w:rsid w:val="00926765"/>
    <w:rsid w:val="00927137"/>
    <w:rsid w:val="009273F2"/>
    <w:rsid w:val="00930623"/>
    <w:rsid w:val="009307BB"/>
    <w:rsid w:val="00930987"/>
    <w:rsid w:val="00930B22"/>
    <w:rsid w:val="009320EF"/>
    <w:rsid w:val="00932143"/>
    <w:rsid w:val="00933E73"/>
    <w:rsid w:val="00937A57"/>
    <w:rsid w:val="00940414"/>
    <w:rsid w:val="00941634"/>
    <w:rsid w:val="009447D9"/>
    <w:rsid w:val="009450DF"/>
    <w:rsid w:val="00946194"/>
    <w:rsid w:val="0094682C"/>
    <w:rsid w:val="00946CF8"/>
    <w:rsid w:val="00950081"/>
    <w:rsid w:val="00951716"/>
    <w:rsid w:val="00953845"/>
    <w:rsid w:val="00954D8B"/>
    <w:rsid w:val="009556F0"/>
    <w:rsid w:val="0095709C"/>
    <w:rsid w:val="00957901"/>
    <w:rsid w:val="00957B2E"/>
    <w:rsid w:val="009618C0"/>
    <w:rsid w:val="00961F8D"/>
    <w:rsid w:val="00962BC7"/>
    <w:rsid w:val="0096367D"/>
    <w:rsid w:val="0096383D"/>
    <w:rsid w:val="0096391F"/>
    <w:rsid w:val="00963C9F"/>
    <w:rsid w:val="009646B1"/>
    <w:rsid w:val="00967BE7"/>
    <w:rsid w:val="009711AA"/>
    <w:rsid w:val="0097149A"/>
    <w:rsid w:val="009738D7"/>
    <w:rsid w:val="00973A01"/>
    <w:rsid w:val="00974AB5"/>
    <w:rsid w:val="00975017"/>
    <w:rsid w:val="0097524C"/>
    <w:rsid w:val="00975FCF"/>
    <w:rsid w:val="009768B0"/>
    <w:rsid w:val="00977A91"/>
    <w:rsid w:val="00980C12"/>
    <w:rsid w:val="00981CC8"/>
    <w:rsid w:val="00983653"/>
    <w:rsid w:val="009837B3"/>
    <w:rsid w:val="00984041"/>
    <w:rsid w:val="009841BF"/>
    <w:rsid w:val="00984723"/>
    <w:rsid w:val="00986926"/>
    <w:rsid w:val="0098712A"/>
    <w:rsid w:val="00990176"/>
    <w:rsid w:val="009902A3"/>
    <w:rsid w:val="00991231"/>
    <w:rsid w:val="00992E18"/>
    <w:rsid w:val="009932C3"/>
    <w:rsid w:val="00993676"/>
    <w:rsid w:val="0099423A"/>
    <w:rsid w:val="00995044"/>
    <w:rsid w:val="00995914"/>
    <w:rsid w:val="00995DD8"/>
    <w:rsid w:val="009960A8"/>
    <w:rsid w:val="00996911"/>
    <w:rsid w:val="009A0BE8"/>
    <w:rsid w:val="009A14E2"/>
    <w:rsid w:val="009A2B7E"/>
    <w:rsid w:val="009A31EF"/>
    <w:rsid w:val="009A48A2"/>
    <w:rsid w:val="009A5156"/>
    <w:rsid w:val="009A5C8A"/>
    <w:rsid w:val="009A66F7"/>
    <w:rsid w:val="009A7A4B"/>
    <w:rsid w:val="009A7D74"/>
    <w:rsid w:val="009B08E7"/>
    <w:rsid w:val="009B16A4"/>
    <w:rsid w:val="009B2AA7"/>
    <w:rsid w:val="009B2D28"/>
    <w:rsid w:val="009B2F61"/>
    <w:rsid w:val="009B36E1"/>
    <w:rsid w:val="009B3E5E"/>
    <w:rsid w:val="009B4BEE"/>
    <w:rsid w:val="009B5E7B"/>
    <w:rsid w:val="009B60F8"/>
    <w:rsid w:val="009B653A"/>
    <w:rsid w:val="009B7EF0"/>
    <w:rsid w:val="009C00B6"/>
    <w:rsid w:val="009C0159"/>
    <w:rsid w:val="009C1580"/>
    <w:rsid w:val="009C2DCA"/>
    <w:rsid w:val="009C4CC0"/>
    <w:rsid w:val="009C57E6"/>
    <w:rsid w:val="009C5A99"/>
    <w:rsid w:val="009C70ED"/>
    <w:rsid w:val="009C76D8"/>
    <w:rsid w:val="009C786C"/>
    <w:rsid w:val="009C7C53"/>
    <w:rsid w:val="009D10EC"/>
    <w:rsid w:val="009D1DA0"/>
    <w:rsid w:val="009D21F0"/>
    <w:rsid w:val="009D2270"/>
    <w:rsid w:val="009D5558"/>
    <w:rsid w:val="009D5B94"/>
    <w:rsid w:val="009D5E57"/>
    <w:rsid w:val="009D6C0A"/>
    <w:rsid w:val="009D6CDA"/>
    <w:rsid w:val="009E06E9"/>
    <w:rsid w:val="009E1293"/>
    <w:rsid w:val="009E2354"/>
    <w:rsid w:val="009E3799"/>
    <w:rsid w:val="009E4DB9"/>
    <w:rsid w:val="009E4E92"/>
    <w:rsid w:val="009E72AC"/>
    <w:rsid w:val="009E76DA"/>
    <w:rsid w:val="009E7B96"/>
    <w:rsid w:val="009F01E1"/>
    <w:rsid w:val="009F0384"/>
    <w:rsid w:val="009F1410"/>
    <w:rsid w:val="009F178E"/>
    <w:rsid w:val="009F1B69"/>
    <w:rsid w:val="009F2BC7"/>
    <w:rsid w:val="009F2C38"/>
    <w:rsid w:val="009F3D7A"/>
    <w:rsid w:val="009F5140"/>
    <w:rsid w:val="009F58BD"/>
    <w:rsid w:val="009F5CF9"/>
    <w:rsid w:val="009F6014"/>
    <w:rsid w:val="009F649B"/>
    <w:rsid w:val="009F67CA"/>
    <w:rsid w:val="009F6CE6"/>
    <w:rsid w:val="009F78BA"/>
    <w:rsid w:val="00A0142C"/>
    <w:rsid w:val="00A015AB"/>
    <w:rsid w:val="00A01EC1"/>
    <w:rsid w:val="00A02C03"/>
    <w:rsid w:val="00A02D23"/>
    <w:rsid w:val="00A03060"/>
    <w:rsid w:val="00A0422B"/>
    <w:rsid w:val="00A06CCA"/>
    <w:rsid w:val="00A07324"/>
    <w:rsid w:val="00A07567"/>
    <w:rsid w:val="00A101C8"/>
    <w:rsid w:val="00A101D1"/>
    <w:rsid w:val="00A104C1"/>
    <w:rsid w:val="00A106AB"/>
    <w:rsid w:val="00A13078"/>
    <w:rsid w:val="00A14A12"/>
    <w:rsid w:val="00A14EF4"/>
    <w:rsid w:val="00A155E0"/>
    <w:rsid w:val="00A15705"/>
    <w:rsid w:val="00A157F7"/>
    <w:rsid w:val="00A15A99"/>
    <w:rsid w:val="00A171B1"/>
    <w:rsid w:val="00A17ED7"/>
    <w:rsid w:val="00A20312"/>
    <w:rsid w:val="00A20C9F"/>
    <w:rsid w:val="00A20E9B"/>
    <w:rsid w:val="00A212C0"/>
    <w:rsid w:val="00A2296A"/>
    <w:rsid w:val="00A22BBB"/>
    <w:rsid w:val="00A22C23"/>
    <w:rsid w:val="00A23C06"/>
    <w:rsid w:val="00A24424"/>
    <w:rsid w:val="00A247DA"/>
    <w:rsid w:val="00A24ADE"/>
    <w:rsid w:val="00A2567C"/>
    <w:rsid w:val="00A25DEA"/>
    <w:rsid w:val="00A260CC"/>
    <w:rsid w:val="00A26C2A"/>
    <w:rsid w:val="00A26DA0"/>
    <w:rsid w:val="00A273D0"/>
    <w:rsid w:val="00A2760F"/>
    <w:rsid w:val="00A309E1"/>
    <w:rsid w:val="00A3104E"/>
    <w:rsid w:val="00A33A26"/>
    <w:rsid w:val="00A344B5"/>
    <w:rsid w:val="00A35F26"/>
    <w:rsid w:val="00A364F8"/>
    <w:rsid w:val="00A3784C"/>
    <w:rsid w:val="00A37E80"/>
    <w:rsid w:val="00A40E76"/>
    <w:rsid w:val="00A4169C"/>
    <w:rsid w:val="00A41AE0"/>
    <w:rsid w:val="00A41B44"/>
    <w:rsid w:val="00A43A1F"/>
    <w:rsid w:val="00A4486D"/>
    <w:rsid w:val="00A45926"/>
    <w:rsid w:val="00A479AE"/>
    <w:rsid w:val="00A51235"/>
    <w:rsid w:val="00A51A26"/>
    <w:rsid w:val="00A51F6A"/>
    <w:rsid w:val="00A54625"/>
    <w:rsid w:val="00A548B0"/>
    <w:rsid w:val="00A5563A"/>
    <w:rsid w:val="00A56DF9"/>
    <w:rsid w:val="00A576B3"/>
    <w:rsid w:val="00A578A6"/>
    <w:rsid w:val="00A60C78"/>
    <w:rsid w:val="00A60D5D"/>
    <w:rsid w:val="00A6142A"/>
    <w:rsid w:val="00A6157D"/>
    <w:rsid w:val="00A619EC"/>
    <w:rsid w:val="00A6246D"/>
    <w:rsid w:val="00A62BA3"/>
    <w:rsid w:val="00A63A23"/>
    <w:rsid w:val="00A6472B"/>
    <w:rsid w:val="00A65B49"/>
    <w:rsid w:val="00A6630A"/>
    <w:rsid w:val="00A66D97"/>
    <w:rsid w:val="00A67B28"/>
    <w:rsid w:val="00A67C6E"/>
    <w:rsid w:val="00A703EF"/>
    <w:rsid w:val="00A710AE"/>
    <w:rsid w:val="00A712B0"/>
    <w:rsid w:val="00A71A90"/>
    <w:rsid w:val="00A72556"/>
    <w:rsid w:val="00A73031"/>
    <w:rsid w:val="00A73462"/>
    <w:rsid w:val="00A73652"/>
    <w:rsid w:val="00A73796"/>
    <w:rsid w:val="00A73974"/>
    <w:rsid w:val="00A73ACC"/>
    <w:rsid w:val="00A74296"/>
    <w:rsid w:val="00A74B49"/>
    <w:rsid w:val="00A75B01"/>
    <w:rsid w:val="00A76A78"/>
    <w:rsid w:val="00A770B1"/>
    <w:rsid w:val="00A77331"/>
    <w:rsid w:val="00A77C45"/>
    <w:rsid w:val="00A828B7"/>
    <w:rsid w:val="00A82A8C"/>
    <w:rsid w:val="00A82DB5"/>
    <w:rsid w:val="00A83BA3"/>
    <w:rsid w:val="00A84611"/>
    <w:rsid w:val="00A85B19"/>
    <w:rsid w:val="00A85C6C"/>
    <w:rsid w:val="00A874EE"/>
    <w:rsid w:val="00A909EB"/>
    <w:rsid w:val="00A9256A"/>
    <w:rsid w:val="00A925C7"/>
    <w:rsid w:val="00A930EF"/>
    <w:rsid w:val="00A93B82"/>
    <w:rsid w:val="00A93CCB"/>
    <w:rsid w:val="00A95976"/>
    <w:rsid w:val="00A963E6"/>
    <w:rsid w:val="00A96800"/>
    <w:rsid w:val="00A9681D"/>
    <w:rsid w:val="00A97069"/>
    <w:rsid w:val="00A9745B"/>
    <w:rsid w:val="00A978E6"/>
    <w:rsid w:val="00A97C54"/>
    <w:rsid w:val="00AA0763"/>
    <w:rsid w:val="00AA15FC"/>
    <w:rsid w:val="00AA1629"/>
    <w:rsid w:val="00AA163C"/>
    <w:rsid w:val="00AA1868"/>
    <w:rsid w:val="00AA1D1B"/>
    <w:rsid w:val="00AA1D8D"/>
    <w:rsid w:val="00AA31EB"/>
    <w:rsid w:val="00AA3AE7"/>
    <w:rsid w:val="00AA3CD8"/>
    <w:rsid w:val="00AA4CAB"/>
    <w:rsid w:val="00AA4EF1"/>
    <w:rsid w:val="00AA511A"/>
    <w:rsid w:val="00AA5B9C"/>
    <w:rsid w:val="00AA7B12"/>
    <w:rsid w:val="00AB008E"/>
    <w:rsid w:val="00AB024E"/>
    <w:rsid w:val="00AB06CF"/>
    <w:rsid w:val="00AB1BA6"/>
    <w:rsid w:val="00AB2807"/>
    <w:rsid w:val="00AB2A58"/>
    <w:rsid w:val="00AB39BA"/>
    <w:rsid w:val="00AB4BFE"/>
    <w:rsid w:val="00AB4CF3"/>
    <w:rsid w:val="00AB4EB0"/>
    <w:rsid w:val="00AB67E7"/>
    <w:rsid w:val="00AB69EE"/>
    <w:rsid w:val="00AB7465"/>
    <w:rsid w:val="00AB7A3A"/>
    <w:rsid w:val="00AC06F2"/>
    <w:rsid w:val="00AC0E58"/>
    <w:rsid w:val="00AC1749"/>
    <w:rsid w:val="00AC2E3A"/>
    <w:rsid w:val="00AC3CF7"/>
    <w:rsid w:val="00AC3F65"/>
    <w:rsid w:val="00AC426A"/>
    <w:rsid w:val="00AC5591"/>
    <w:rsid w:val="00AC5C6F"/>
    <w:rsid w:val="00AC5D32"/>
    <w:rsid w:val="00AC7DA5"/>
    <w:rsid w:val="00AD0182"/>
    <w:rsid w:val="00AD02D5"/>
    <w:rsid w:val="00AD1909"/>
    <w:rsid w:val="00AD1CE8"/>
    <w:rsid w:val="00AD20B1"/>
    <w:rsid w:val="00AD20C6"/>
    <w:rsid w:val="00AD2732"/>
    <w:rsid w:val="00AD2A9A"/>
    <w:rsid w:val="00AD3CF5"/>
    <w:rsid w:val="00AD47BD"/>
    <w:rsid w:val="00AD50D0"/>
    <w:rsid w:val="00AD5E95"/>
    <w:rsid w:val="00AD6EFF"/>
    <w:rsid w:val="00AD72D8"/>
    <w:rsid w:val="00AE1052"/>
    <w:rsid w:val="00AE1C05"/>
    <w:rsid w:val="00AE1C0E"/>
    <w:rsid w:val="00AE213D"/>
    <w:rsid w:val="00AE311D"/>
    <w:rsid w:val="00AE3D97"/>
    <w:rsid w:val="00AE46A3"/>
    <w:rsid w:val="00AE4DA1"/>
    <w:rsid w:val="00AE6EC3"/>
    <w:rsid w:val="00AF0C8E"/>
    <w:rsid w:val="00AF19F4"/>
    <w:rsid w:val="00AF2655"/>
    <w:rsid w:val="00AF2BBF"/>
    <w:rsid w:val="00AF3517"/>
    <w:rsid w:val="00AF4063"/>
    <w:rsid w:val="00AF4AC8"/>
    <w:rsid w:val="00AF5290"/>
    <w:rsid w:val="00AF5D75"/>
    <w:rsid w:val="00AF606C"/>
    <w:rsid w:val="00AF71E3"/>
    <w:rsid w:val="00AF73BB"/>
    <w:rsid w:val="00B0009E"/>
    <w:rsid w:val="00B001B4"/>
    <w:rsid w:val="00B00271"/>
    <w:rsid w:val="00B00648"/>
    <w:rsid w:val="00B01E8F"/>
    <w:rsid w:val="00B028CD"/>
    <w:rsid w:val="00B03361"/>
    <w:rsid w:val="00B03A05"/>
    <w:rsid w:val="00B04254"/>
    <w:rsid w:val="00B04E90"/>
    <w:rsid w:val="00B05594"/>
    <w:rsid w:val="00B05825"/>
    <w:rsid w:val="00B059A8"/>
    <w:rsid w:val="00B05C4F"/>
    <w:rsid w:val="00B06607"/>
    <w:rsid w:val="00B0660F"/>
    <w:rsid w:val="00B07083"/>
    <w:rsid w:val="00B0759B"/>
    <w:rsid w:val="00B076C2"/>
    <w:rsid w:val="00B07A4F"/>
    <w:rsid w:val="00B07F56"/>
    <w:rsid w:val="00B100BE"/>
    <w:rsid w:val="00B108EA"/>
    <w:rsid w:val="00B113DC"/>
    <w:rsid w:val="00B1236D"/>
    <w:rsid w:val="00B12AFD"/>
    <w:rsid w:val="00B13C1F"/>
    <w:rsid w:val="00B13F79"/>
    <w:rsid w:val="00B142E5"/>
    <w:rsid w:val="00B14F81"/>
    <w:rsid w:val="00B1520B"/>
    <w:rsid w:val="00B15274"/>
    <w:rsid w:val="00B161A8"/>
    <w:rsid w:val="00B16624"/>
    <w:rsid w:val="00B172AC"/>
    <w:rsid w:val="00B17390"/>
    <w:rsid w:val="00B21CE7"/>
    <w:rsid w:val="00B2362D"/>
    <w:rsid w:val="00B24786"/>
    <w:rsid w:val="00B25625"/>
    <w:rsid w:val="00B2611E"/>
    <w:rsid w:val="00B262BD"/>
    <w:rsid w:val="00B263CF"/>
    <w:rsid w:val="00B2646E"/>
    <w:rsid w:val="00B26A91"/>
    <w:rsid w:val="00B26BD8"/>
    <w:rsid w:val="00B2709A"/>
    <w:rsid w:val="00B3088E"/>
    <w:rsid w:val="00B30AD7"/>
    <w:rsid w:val="00B313ED"/>
    <w:rsid w:val="00B31610"/>
    <w:rsid w:val="00B322E6"/>
    <w:rsid w:val="00B32E30"/>
    <w:rsid w:val="00B336CB"/>
    <w:rsid w:val="00B338B3"/>
    <w:rsid w:val="00B33A3E"/>
    <w:rsid w:val="00B33EC7"/>
    <w:rsid w:val="00B34146"/>
    <w:rsid w:val="00B43223"/>
    <w:rsid w:val="00B434E9"/>
    <w:rsid w:val="00B443F9"/>
    <w:rsid w:val="00B44C29"/>
    <w:rsid w:val="00B45688"/>
    <w:rsid w:val="00B46AC1"/>
    <w:rsid w:val="00B47730"/>
    <w:rsid w:val="00B50E5A"/>
    <w:rsid w:val="00B51556"/>
    <w:rsid w:val="00B5341B"/>
    <w:rsid w:val="00B55554"/>
    <w:rsid w:val="00B55C3E"/>
    <w:rsid w:val="00B561CA"/>
    <w:rsid w:val="00B571EE"/>
    <w:rsid w:val="00B60FC3"/>
    <w:rsid w:val="00B610D1"/>
    <w:rsid w:val="00B614B5"/>
    <w:rsid w:val="00B61CC6"/>
    <w:rsid w:val="00B63521"/>
    <w:rsid w:val="00B64A36"/>
    <w:rsid w:val="00B6539E"/>
    <w:rsid w:val="00B65578"/>
    <w:rsid w:val="00B655CF"/>
    <w:rsid w:val="00B660CF"/>
    <w:rsid w:val="00B66125"/>
    <w:rsid w:val="00B66B8D"/>
    <w:rsid w:val="00B679C8"/>
    <w:rsid w:val="00B67D69"/>
    <w:rsid w:val="00B70625"/>
    <w:rsid w:val="00B74153"/>
    <w:rsid w:val="00B74410"/>
    <w:rsid w:val="00B74A89"/>
    <w:rsid w:val="00B75043"/>
    <w:rsid w:val="00B75F66"/>
    <w:rsid w:val="00B76308"/>
    <w:rsid w:val="00B77524"/>
    <w:rsid w:val="00B8115B"/>
    <w:rsid w:val="00B8177A"/>
    <w:rsid w:val="00B82551"/>
    <w:rsid w:val="00B82AAE"/>
    <w:rsid w:val="00B83167"/>
    <w:rsid w:val="00B83543"/>
    <w:rsid w:val="00B83617"/>
    <w:rsid w:val="00B84F88"/>
    <w:rsid w:val="00B85044"/>
    <w:rsid w:val="00B85B1B"/>
    <w:rsid w:val="00B8705F"/>
    <w:rsid w:val="00B8744D"/>
    <w:rsid w:val="00B87950"/>
    <w:rsid w:val="00B90EAE"/>
    <w:rsid w:val="00B9199F"/>
    <w:rsid w:val="00B929A7"/>
    <w:rsid w:val="00B94AFE"/>
    <w:rsid w:val="00BA0623"/>
    <w:rsid w:val="00BA0D5D"/>
    <w:rsid w:val="00BA38A1"/>
    <w:rsid w:val="00BA3ADD"/>
    <w:rsid w:val="00BA456F"/>
    <w:rsid w:val="00BA5B8A"/>
    <w:rsid w:val="00BA5C86"/>
    <w:rsid w:val="00BA5CA5"/>
    <w:rsid w:val="00BA6088"/>
    <w:rsid w:val="00BA754A"/>
    <w:rsid w:val="00BA7B9B"/>
    <w:rsid w:val="00BB02CE"/>
    <w:rsid w:val="00BB07A1"/>
    <w:rsid w:val="00BB1000"/>
    <w:rsid w:val="00BB2682"/>
    <w:rsid w:val="00BB2FE9"/>
    <w:rsid w:val="00BB3602"/>
    <w:rsid w:val="00BB3A43"/>
    <w:rsid w:val="00BB545F"/>
    <w:rsid w:val="00BB5DAF"/>
    <w:rsid w:val="00BB7787"/>
    <w:rsid w:val="00BB77BF"/>
    <w:rsid w:val="00BC089C"/>
    <w:rsid w:val="00BC0F72"/>
    <w:rsid w:val="00BC307A"/>
    <w:rsid w:val="00BC3777"/>
    <w:rsid w:val="00BC3BFF"/>
    <w:rsid w:val="00BC41BA"/>
    <w:rsid w:val="00BC4E18"/>
    <w:rsid w:val="00BC5273"/>
    <w:rsid w:val="00BC63E9"/>
    <w:rsid w:val="00BC6861"/>
    <w:rsid w:val="00BC6BFB"/>
    <w:rsid w:val="00BD025B"/>
    <w:rsid w:val="00BD1E96"/>
    <w:rsid w:val="00BD3456"/>
    <w:rsid w:val="00BD37F1"/>
    <w:rsid w:val="00BD387A"/>
    <w:rsid w:val="00BD3AD5"/>
    <w:rsid w:val="00BD3F41"/>
    <w:rsid w:val="00BD416C"/>
    <w:rsid w:val="00BD5B4F"/>
    <w:rsid w:val="00BD5C15"/>
    <w:rsid w:val="00BD622E"/>
    <w:rsid w:val="00BD65EC"/>
    <w:rsid w:val="00BD7028"/>
    <w:rsid w:val="00BD7438"/>
    <w:rsid w:val="00BD7848"/>
    <w:rsid w:val="00BE00C4"/>
    <w:rsid w:val="00BE0C58"/>
    <w:rsid w:val="00BE13D0"/>
    <w:rsid w:val="00BE2185"/>
    <w:rsid w:val="00BE30C5"/>
    <w:rsid w:val="00BE3209"/>
    <w:rsid w:val="00BE4E9A"/>
    <w:rsid w:val="00BE55D8"/>
    <w:rsid w:val="00BE5A83"/>
    <w:rsid w:val="00BE65E8"/>
    <w:rsid w:val="00BE66C8"/>
    <w:rsid w:val="00BE720F"/>
    <w:rsid w:val="00BF0C50"/>
    <w:rsid w:val="00BF0E04"/>
    <w:rsid w:val="00BF1E16"/>
    <w:rsid w:val="00BF2707"/>
    <w:rsid w:val="00BF2CDB"/>
    <w:rsid w:val="00BF3529"/>
    <w:rsid w:val="00BF4117"/>
    <w:rsid w:val="00BF476C"/>
    <w:rsid w:val="00BF7DBD"/>
    <w:rsid w:val="00C003D6"/>
    <w:rsid w:val="00C00BF2"/>
    <w:rsid w:val="00C00C49"/>
    <w:rsid w:val="00C015D9"/>
    <w:rsid w:val="00C02B1B"/>
    <w:rsid w:val="00C02BFD"/>
    <w:rsid w:val="00C037B7"/>
    <w:rsid w:val="00C03D54"/>
    <w:rsid w:val="00C051B3"/>
    <w:rsid w:val="00C06418"/>
    <w:rsid w:val="00C11258"/>
    <w:rsid w:val="00C11861"/>
    <w:rsid w:val="00C11D1C"/>
    <w:rsid w:val="00C12B8E"/>
    <w:rsid w:val="00C13593"/>
    <w:rsid w:val="00C13BE1"/>
    <w:rsid w:val="00C14346"/>
    <w:rsid w:val="00C16329"/>
    <w:rsid w:val="00C178A1"/>
    <w:rsid w:val="00C17D7D"/>
    <w:rsid w:val="00C215C0"/>
    <w:rsid w:val="00C237DB"/>
    <w:rsid w:val="00C23B8D"/>
    <w:rsid w:val="00C24637"/>
    <w:rsid w:val="00C24B80"/>
    <w:rsid w:val="00C2723B"/>
    <w:rsid w:val="00C278B4"/>
    <w:rsid w:val="00C27E52"/>
    <w:rsid w:val="00C304A9"/>
    <w:rsid w:val="00C31D5D"/>
    <w:rsid w:val="00C326D9"/>
    <w:rsid w:val="00C3284C"/>
    <w:rsid w:val="00C32918"/>
    <w:rsid w:val="00C32CCC"/>
    <w:rsid w:val="00C340B7"/>
    <w:rsid w:val="00C35E8D"/>
    <w:rsid w:val="00C3617D"/>
    <w:rsid w:val="00C362A8"/>
    <w:rsid w:val="00C376A4"/>
    <w:rsid w:val="00C37DA4"/>
    <w:rsid w:val="00C41144"/>
    <w:rsid w:val="00C41408"/>
    <w:rsid w:val="00C41801"/>
    <w:rsid w:val="00C41BBE"/>
    <w:rsid w:val="00C41DDF"/>
    <w:rsid w:val="00C42321"/>
    <w:rsid w:val="00C43C04"/>
    <w:rsid w:val="00C43FFC"/>
    <w:rsid w:val="00C44A30"/>
    <w:rsid w:val="00C451F3"/>
    <w:rsid w:val="00C453F2"/>
    <w:rsid w:val="00C464BC"/>
    <w:rsid w:val="00C466A6"/>
    <w:rsid w:val="00C46C9C"/>
    <w:rsid w:val="00C5008F"/>
    <w:rsid w:val="00C500DA"/>
    <w:rsid w:val="00C50C6E"/>
    <w:rsid w:val="00C514DD"/>
    <w:rsid w:val="00C515EF"/>
    <w:rsid w:val="00C51640"/>
    <w:rsid w:val="00C52216"/>
    <w:rsid w:val="00C52BF0"/>
    <w:rsid w:val="00C536FA"/>
    <w:rsid w:val="00C546DC"/>
    <w:rsid w:val="00C553A3"/>
    <w:rsid w:val="00C56EE8"/>
    <w:rsid w:val="00C57658"/>
    <w:rsid w:val="00C61794"/>
    <w:rsid w:val="00C61C75"/>
    <w:rsid w:val="00C61DDB"/>
    <w:rsid w:val="00C63DEB"/>
    <w:rsid w:val="00C64038"/>
    <w:rsid w:val="00C64B07"/>
    <w:rsid w:val="00C64FAD"/>
    <w:rsid w:val="00C65282"/>
    <w:rsid w:val="00C65BE8"/>
    <w:rsid w:val="00C667F0"/>
    <w:rsid w:val="00C66BEB"/>
    <w:rsid w:val="00C705A8"/>
    <w:rsid w:val="00C7081E"/>
    <w:rsid w:val="00C71F6A"/>
    <w:rsid w:val="00C73231"/>
    <w:rsid w:val="00C7336E"/>
    <w:rsid w:val="00C73BEF"/>
    <w:rsid w:val="00C77593"/>
    <w:rsid w:val="00C77ADE"/>
    <w:rsid w:val="00C77CE6"/>
    <w:rsid w:val="00C800A7"/>
    <w:rsid w:val="00C81172"/>
    <w:rsid w:val="00C81BA2"/>
    <w:rsid w:val="00C8476C"/>
    <w:rsid w:val="00C85B92"/>
    <w:rsid w:val="00C86443"/>
    <w:rsid w:val="00C87043"/>
    <w:rsid w:val="00C8731F"/>
    <w:rsid w:val="00C91476"/>
    <w:rsid w:val="00C92621"/>
    <w:rsid w:val="00C94569"/>
    <w:rsid w:val="00C949A2"/>
    <w:rsid w:val="00C95F95"/>
    <w:rsid w:val="00C962A3"/>
    <w:rsid w:val="00C96861"/>
    <w:rsid w:val="00C97C0A"/>
    <w:rsid w:val="00C97F20"/>
    <w:rsid w:val="00CA0B46"/>
    <w:rsid w:val="00CA250B"/>
    <w:rsid w:val="00CA2E28"/>
    <w:rsid w:val="00CA2E3F"/>
    <w:rsid w:val="00CA3448"/>
    <w:rsid w:val="00CA38E2"/>
    <w:rsid w:val="00CA41B8"/>
    <w:rsid w:val="00CA42FF"/>
    <w:rsid w:val="00CA44B8"/>
    <w:rsid w:val="00CA4A5E"/>
    <w:rsid w:val="00CA4AC8"/>
    <w:rsid w:val="00CA531C"/>
    <w:rsid w:val="00CA5725"/>
    <w:rsid w:val="00CA5823"/>
    <w:rsid w:val="00CA6E7A"/>
    <w:rsid w:val="00CA7AED"/>
    <w:rsid w:val="00CB036D"/>
    <w:rsid w:val="00CB042C"/>
    <w:rsid w:val="00CB0664"/>
    <w:rsid w:val="00CB07F2"/>
    <w:rsid w:val="00CB093B"/>
    <w:rsid w:val="00CB0984"/>
    <w:rsid w:val="00CB16A5"/>
    <w:rsid w:val="00CB1757"/>
    <w:rsid w:val="00CB1877"/>
    <w:rsid w:val="00CB1A77"/>
    <w:rsid w:val="00CB2762"/>
    <w:rsid w:val="00CB2D1E"/>
    <w:rsid w:val="00CB40D7"/>
    <w:rsid w:val="00CB4E98"/>
    <w:rsid w:val="00CC130A"/>
    <w:rsid w:val="00CC1B26"/>
    <w:rsid w:val="00CC321F"/>
    <w:rsid w:val="00CC345F"/>
    <w:rsid w:val="00CC3BEB"/>
    <w:rsid w:val="00CC54B3"/>
    <w:rsid w:val="00CC5774"/>
    <w:rsid w:val="00CC580A"/>
    <w:rsid w:val="00CC712B"/>
    <w:rsid w:val="00CC71FE"/>
    <w:rsid w:val="00CC7DBB"/>
    <w:rsid w:val="00CD064B"/>
    <w:rsid w:val="00CD143E"/>
    <w:rsid w:val="00CD18AD"/>
    <w:rsid w:val="00CD1A8C"/>
    <w:rsid w:val="00CD1BC1"/>
    <w:rsid w:val="00CD1C3E"/>
    <w:rsid w:val="00CD28B9"/>
    <w:rsid w:val="00CD2C3D"/>
    <w:rsid w:val="00CD5B5F"/>
    <w:rsid w:val="00CD6BDA"/>
    <w:rsid w:val="00CE0DE7"/>
    <w:rsid w:val="00CE1CD3"/>
    <w:rsid w:val="00CE288E"/>
    <w:rsid w:val="00CE2BC5"/>
    <w:rsid w:val="00CE3C29"/>
    <w:rsid w:val="00CE42E5"/>
    <w:rsid w:val="00CE5F07"/>
    <w:rsid w:val="00CE6DA9"/>
    <w:rsid w:val="00CE6DFC"/>
    <w:rsid w:val="00CE71FE"/>
    <w:rsid w:val="00CF01E6"/>
    <w:rsid w:val="00CF08B6"/>
    <w:rsid w:val="00CF0CBE"/>
    <w:rsid w:val="00CF13F8"/>
    <w:rsid w:val="00CF18F0"/>
    <w:rsid w:val="00CF19CB"/>
    <w:rsid w:val="00CF3511"/>
    <w:rsid w:val="00CF4BCA"/>
    <w:rsid w:val="00CF58BE"/>
    <w:rsid w:val="00CF58C7"/>
    <w:rsid w:val="00CF6557"/>
    <w:rsid w:val="00CF76B6"/>
    <w:rsid w:val="00CF7BF4"/>
    <w:rsid w:val="00D00230"/>
    <w:rsid w:val="00D00DD0"/>
    <w:rsid w:val="00D01A98"/>
    <w:rsid w:val="00D01D69"/>
    <w:rsid w:val="00D036F4"/>
    <w:rsid w:val="00D03927"/>
    <w:rsid w:val="00D04007"/>
    <w:rsid w:val="00D04B25"/>
    <w:rsid w:val="00D04E1F"/>
    <w:rsid w:val="00D050B8"/>
    <w:rsid w:val="00D05F50"/>
    <w:rsid w:val="00D06890"/>
    <w:rsid w:val="00D075A2"/>
    <w:rsid w:val="00D07FB8"/>
    <w:rsid w:val="00D113EE"/>
    <w:rsid w:val="00D117D9"/>
    <w:rsid w:val="00D11CF0"/>
    <w:rsid w:val="00D13443"/>
    <w:rsid w:val="00D13880"/>
    <w:rsid w:val="00D13A28"/>
    <w:rsid w:val="00D13AF2"/>
    <w:rsid w:val="00D146D1"/>
    <w:rsid w:val="00D167C6"/>
    <w:rsid w:val="00D1693F"/>
    <w:rsid w:val="00D17CC8"/>
    <w:rsid w:val="00D202A6"/>
    <w:rsid w:val="00D20884"/>
    <w:rsid w:val="00D209D1"/>
    <w:rsid w:val="00D20A2B"/>
    <w:rsid w:val="00D22D75"/>
    <w:rsid w:val="00D22E68"/>
    <w:rsid w:val="00D22E97"/>
    <w:rsid w:val="00D23418"/>
    <w:rsid w:val="00D23997"/>
    <w:rsid w:val="00D243F3"/>
    <w:rsid w:val="00D24C47"/>
    <w:rsid w:val="00D26148"/>
    <w:rsid w:val="00D26403"/>
    <w:rsid w:val="00D2747F"/>
    <w:rsid w:val="00D30D8C"/>
    <w:rsid w:val="00D31C18"/>
    <w:rsid w:val="00D31F6C"/>
    <w:rsid w:val="00D326B1"/>
    <w:rsid w:val="00D326CD"/>
    <w:rsid w:val="00D333CE"/>
    <w:rsid w:val="00D336A3"/>
    <w:rsid w:val="00D37225"/>
    <w:rsid w:val="00D37FCB"/>
    <w:rsid w:val="00D4035B"/>
    <w:rsid w:val="00D422AE"/>
    <w:rsid w:val="00D45F8D"/>
    <w:rsid w:val="00D46478"/>
    <w:rsid w:val="00D465E6"/>
    <w:rsid w:val="00D46DCC"/>
    <w:rsid w:val="00D47356"/>
    <w:rsid w:val="00D50E14"/>
    <w:rsid w:val="00D50EAE"/>
    <w:rsid w:val="00D5294C"/>
    <w:rsid w:val="00D52A6B"/>
    <w:rsid w:val="00D52CEA"/>
    <w:rsid w:val="00D53314"/>
    <w:rsid w:val="00D554A6"/>
    <w:rsid w:val="00D55ABA"/>
    <w:rsid w:val="00D56AA3"/>
    <w:rsid w:val="00D575EB"/>
    <w:rsid w:val="00D60F24"/>
    <w:rsid w:val="00D61537"/>
    <w:rsid w:val="00D61D4C"/>
    <w:rsid w:val="00D62319"/>
    <w:rsid w:val="00D63333"/>
    <w:rsid w:val="00D63502"/>
    <w:rsid w:val="00D66340"/>
    <w:rsid w:val="00D6681E"/>
    <w:rsid w:val="00D67371"/>
    <w:rsid w:val="00D70BF9"/>
    <w:rsid w:val="00D71E55"/>
    <w:rsid w:val="00D73A18"/>
    <w:rsid w:val="00D748BD"/>
    <w:rsid w:val="00D74DF8"/>
    <w:rsid w:val="00D765EB"/>
    <w:rsid w:val="00D77686"/>
    <w:rsid w:val="00D77793"/>
    <w:rsid w:val="00D77C23"/>
    <w:rsid w:val="00D800A0"/>
    <w:rsid w:val="00D808A1"/>
    <w:rsid w:val="00D8107C"/>
    <w:rsid w:val="00D815BD"/>
    <w:rsid w:val="00D8253E"/>
    <w:rsid w:val="00D828C0"/>
    <w:rsid w:val="00D82A08"/>
    <w:rsid w:val="00D83E9A"/>
    <w:rsid w:val="00D83FF5"/>
    <w:rsid w:val="00D84241"/>
    <w:rsid w:val="00D84CFA"/>
    <w:rsid w:val="00D85734"/>
    <w:rsid w:val="00D86AD9"/>
    <w:rsid w:val="00D8744A"/>
    <w:rsid w:val="00D90C7D"/>
    <w:rsid w:val="00D91554"/>
    <w:rsid w:val="00D929B2"/>
    <w:rsid w:val="00D92F2A"/>
    <w:rsid w:val="00D95DBA"/>
    <w:rsid w:val="00D961E1"/>
    <w:rsid w:val="00D96480"/>
    <w:rsid w:val="00D9681F"/>
    <w:rsid w:val="00D96CA6"/>
    <w:rsid w:val="00D96E83"/>
    <w:rsid w:val="00DA056A"/>
    <w:rsid w:val="00DA3B21"/>
    <w:rsid w:val="00DA3D9E"/>
    <w:rsid w:val="00DA4CA5"/>
    <w:rsid w:val="00DA5E8F"/>
    <w:rsid w:val="00DA6177"/>
    <w:rsid w:val="00DA62DB"/>
    <w:rsid w:val="00DA7783"/>
    <w:rsid w:val="00DB02D3"/>
    <w:rsid w:val="00DB21FC"/>
    <w:rsid w:val="00DB2F6D"/>
    <w:rsid w:val="00DB319D"/>
    <w:rsid w:val="00DB4933"/>
    <w:rsid w:val="00DB5198"/>
    <w:rsid w:val="00DB5BAD"/>
    <w:rsid w:val="00DB5FCF"/>
    <w:rsid w:val="00DB6123"/>
    <w:rsid w:val="00DB6463"/>
    <w:rsid w:val="00DB6A23"/>
    <w:rsid w:val="00DB6C5C"/>
    <w:rsid w:val="00DB72AE"/>
    <w:rsid w:val="00DB736D"/>
    <w:rsid w:val="00DC0124"/>
    <w:rsid w:val="00DC1A41"/>
    <w:rsid w:val="00DC1FC5"/>
    <w:rsid w:val="00DC23F1"/>
    <w:rsid w:val="00DC2E5D"/>
    <w:rsid w:val="00DC3BE0"/>
    <w:rsid w:val="00DC43BA"/>
    <w:rsid w:val="00DC56E5"/>
    <w:rsid w:val="00DC60BF"/>
    <w:rsid w:val="00DC615C"/>
    <w:rsid w:val="00DC6270"/>
    <w:rsid w:val="00DC6973"/>
    <w:rsid w:val="00DC6EDE"/>
    <w:rsid w:val="00DD05F2"/>
    <w:rsid w:val="00DD24A0"/>
    <w:rsid w:val="00DD2D99"/>
    <w:rsid w:val="00DD38D1"/>
    <w:rsid w:val="00DD48E9"/>
    <w:rsid w:val="00DD4900"/>
    <w:rsid w:val="00DD53FB"/>
    <w:rsid w:val="00DD5FE9"/>
    <w:rsid w:val="00DD71CB"/>
    <w:rsid w:val="00DD72C7"/>
    <w:rsid w:val="00DE017C"/>
    <w:rsid w:val="00DE2174"/>
    <w:rsid w:val="00DE297A"/>
    <w:rsid w:val="00DE2F1B"/>
    <w:rsid w:val="00DE375A"/>
    <w:rsid w:val="00DE47F0"/>
    <w:rsid w:val="00DE4953"/>
    <w:rsid w:val="00DE5123"/>
    <w:rsid w:val="00DE582C"/>
    <w:rsid w:val="00DE7012"/>
    <w:rsid w:val="00DE7386"/>
    <w:rsid w:val="00DE7968"/>
    <w:rsid w:val="00DE7B91"/>
    <w:rsid w:val="00DE7D01"/>
    <w:rsid w:val="00DE7F68"/>
    <w:rsid w:val="00DE7FD0"/>
    <w:rsid w:val="00DF0B1D"/>
    <w:rsid w:val="00DF0C5E"/>
    <w:rsid w:val="00DF0EA9"/>
    <w:rsid w:val="00DF0EF4"/>
    <w:rsid w:val="00DF0F73"/>
    <w:rsid w:val="00DF142E"/>
    <w:rsid w:val="00DF19EC"/>
    <w:rsid w:val="00DF27C5"/>
    <w:rsid w:val="00DF2B46"/>
    <w:rsid w:val="00DF33CE"/>
    <w:rsid w:val="00DF3508"/>
    <w:rsid w:val="00DF369A"/>
    <w:rsid w:val="00DF48E1"/>
    <w:rsid w:val="00DF4954"/>
    <w:rsid w:val="00DF5638"/>
    <w:rsid w:val="00DF58B8"/>
    <w:rsid w:val="00DF62E9"/>
    <w:rsid w:val="00DF7609"/>
    <w:rsid w:val="00E00AA7"/>
    <w:rsid w:val="00E01558"/>
    <w:rsid w:val="00E01B9A"/>
    <w:rsid w:val="00E02275"/>
    <w:rsid w:val="00E02648"/>
    <w:rsid w:val="00E03675"/>
    <w:rsid w:val="00E04081"/>
    <w:rsid w:val="00E04716"/>
    <w:rsid w:val="00E04935"/>
    <w:rsid w:val="00E04DC8"/>
    <w:rsid w:val="00E06AB2"/>
    <w:rsid w:val="00E10A0B"/>
    <w:rsid w:val="00E117CD"/>
    <w:rsid w:val="00E12C1C"/>
    <w:rsid w:val="00E13BC2"/>
    <w:rsid w:val="00E13EE3"/>
    <w:rsid w:val="00E141AA"/>
    <w:rsid w:val="00E14C5E"/>
    <w:rsid w:val="00E166BD"/>
    <w:rsid w:val="00E20791"/>
    <w:rsid w:val="00E20DAE"/>
    <w:rsid w:val="00E21649"/>
    <w:rsid w:val="00E22F38"/>
    <w:rsid w:val="00E232DB"/>
    <w:rsid w:val="00E23851"/>
    <w:rsid w:val="00E2438E"/>
    <w:rsid w:val="00E24505"/>
    <w:rsid w:val="00E246EE"/>
    <w:rsid w:val="00E26035"/>
    <w:rsid w:val="00E26238"/>
    <w:rsid w:val="00E27FC1"/>
    <w:rsid w:val="00E30ADF"/>
    <w:rsid w:val="00E30B2D"/>
    <w:rsid w:val="00E31A35"/>
    <w:rsid w:val="00E3215E"/>
    <w:rsid w:val="00E324EF"/>
    <w:rsid w:val="00E325CE"/>
    <w:rsid w:val="00E330CC"/>
    <w:rsid w:val="00E33B20"/>
    <w:rsid w:val="00E33D90"/>
    <w:rsid w:val="00E33F01"/>
    <w:rsid w:val="00E344CC"/>
    <w:rsid w:val="00E36871"/>
    <w:rsid w:val="00E40102"/>
    <w:rsid w:val="00E406C7"/>
    <w:rsid w:val="00E40885"/>
    <w:rsid w:val="00E40930"/>
    <w:rsid w:val="00E41CFE"/>
    <w:rsid w:val="00E4303A"/>
    <w:rsid w:val="00E43B72"/>
    <w:rsid w:val="00E43D13"/>
    <w:rsid w:val="00E44855"/>
    <w:rsid w:val="00E44B29"/>
    <w:rsid w:val="00E4521F"/>
    <w:rsid w:val="00E47948"/>
    <w:rsid w:val="00E516D0"/>
    <w:rsid w:val="00E5233C"/>
    <w:rsid w:val="00E52E88"/>
    <w:rsid w:val="00E54099"/>
    <w:rsid w:val="00E54B27"/>
    <w:rsid w:val="00E54F10"/>
    <w:rsid w:val="00E56B37"/>
    <w:rsid w:val="00E57950"/>
    <w:rsid w:val="00E602E4"/>
    <w:rsid w:val="00E6099C"/>
    <w:rsid w:val="00E63A57"/>
    <w:rsid w:val="00E641F7"/>
    <w:rsid w:val="00E658B7"/>
    <w:rsid w:val="00E65F0F"/>
    <w:rsid w:val="00E67378"/>
    <w:rsid w:val="00E67F8F"/>
    <w:rsid w:val="00E7166E"/>
    <w:rsid w:val="00E72573"/>
    <w:rsid w:val="00E748CB"/>
    <w:rsid w:val="00E75D5D"/>
    <w:rsid w:val="00E76BA9"/>
    <w:rsid w:val="00E77832"/>
    <w:rsid w:val="00E81A4F"/>
    <w:rsid w:val="00E82C5B"/>
    <w:rsid w:val="00E82D21"/>
    <w:rsid w:val="00E830CA"/>
    <w:rsid w:val="00E840C9"/>
    <w:rsid w:val="00E848EA"/>
    <w:rsid w:val="00E85FCE"/>
    <w:rsid w:val="00E87230"/>
    <w:rsid w:val="00E877B7"/>
    <w:rsid w:val="00E90BB0"/>
    <w:rsid w:val="00E90DFF"/>
    <w:rsid w:val="00E91BCD"/>
    <w:rsid w:val="00E9265C"/>
    <w:rsid w:val="00E93276"/>
    <w:rsid w:val="00E94FB2"/>
    <w:rsid w:val="00E955EC"/>
    <w:rsid w:val="00E96CF7"/>
    <w:rsid w:val="00E97345"/>
    <w:rsid w:val="00E97695"/>
    <w:rsid w:val="00E97A81"/>
    <w:rsid w:val="00E97AFA"/>
    <w:rsid w:val="00E97BCA"/>
    <w:rsid w:val="00E97DF6"/>
    <w:rsid w:val="00EA097D"/>
    <w:rsid w:val="00EA0C30"/>
    <w:rsid w:val="00EA0C9C"/>
    <w:rsid w:val="00EA170F"/>
    <w:rsid w:val="00EA316B"/>
    <w:rsid w:val="00EA5C8D"/>
    <w:rsid w:val="00EA609A"/>
    <w:rsid w:val="00EA61F4"/>
    <w:rsid w:val="00EA628B"/>
    <w:rsid w:val="00EA6448"/>
    <w:rsid w:val="00EA747A"/>
    <w:rsid w:val="00EA74E3"/>
    <w:rsid w:val="00EB0A91"/>
    <w:rsid w:val="00EB19A8"/>
    <w:rsid w:val="00EB223E"/>
    <w:rsid w:val="00EB242B"/>
    <w:rsid w:val="00EB269B"/>
    <w:rsid w:val="00EB2B25"/>
    <w:rsid w:val="00EB3FC3"/>
    <w:rsid w:val="00EC0281"/>
    <w:rsid w:val="00EC0732"/>
    <w:rsid w:val="00EC07AC"/>
    <w:rsid w:val="00EC11CF"/>
    <w:rsid w:val="00EC137F"/>
    <w:rsid w:val="00EC1565"/>
    <w:rsid w:val="00EC27E5"/>
    <w:rsid w:val="00EC29EC"/>
    <w:rsid w:val="00EC2A92"/>
    <w:rsid w:val="00EC3CB1"/>
    <w:rsid w:val="00EC575A"/>
    <w:rsid w:val="00EC6F83"/>
    <w:rsid w:val="00EC6F98"/>
    <w:rsid w:val="00EC77CA"/>
    <w:rsid w:val="00ED3A7A"/>
    <w:rsid w:val="00ED47AB"/>
    <w:rsid w:val="00ED5544"/>
    <w:rsid w:val="00ED662C"/>
    <w:rsid w:val="00ED696A"/>
    <w:rsid w:val="00ED6A5B"/>
    <w:rsid w:val="00EE0A83"/>
    <w:rsid w:val="00EE1914"/>
    <w:rsid w:val="00EE197F"/>
    <w:rsid w:val="00EE1AE0"/>
    <w:rsid w:val="00EE1E0A"/>
    <w:rsid w:val="00EE1F07"/>
    <w:rsid w:val="00EE2A62"/>
    <w:rsid w:val="00EE3529"/>
    <w:rsid w:val="00EE360F"/>
    <w:rsid w:val="00EE43AD"/>
    <w:rsid w:val="00EE569D"/>
    <w:rsid w:val="00EE5B85"/>
    <w:rsid w:val="00EE6B8D"/>
    <w:rsid w:val="00EE73D6"/>
    <w:rsid w:val="00EE7B3D"/>
    <w:rsid w:val="00EE7F51"/>
    <w:rsid w:val="00EF01DD"/>
    <w:rsid w:val="00EF0C2A"/>
    <w:rsid w:val="00EF0FCC"/>
    <w:rsid w:val="00EF1C8A"/>
    <w:rsid w:val="00EF237D"/>
    <w:rsid w:val="00EF3040"/>
    <w:rsid w:val="00EF3A5F"/>
    <w:rsid w:val="00EF4857"/>
    <w:rsid w:val="00EF4D68"/>
    <w:rsid w:val="00EF5283"/>
    <w:rsid w:val="00EF5492"/>
    <w:rsid w:val="00EF6DF0"/>
    <w:rsid w:val="00EF7101"/>
    <w:rsid w:val="00EF754B"/>
    <w:rsid w:val="00EF77AD"/>
    <w:rsid w:val="00EF77CE"/>
    <w:rsid w:val="00F00B04"/>
    <w:rsid w:val="00F01EBF"/>
    <w:rsid w:val="00F027ED"/>
    <w:rsid w:val="00F02E51"/>
    <w:rsid w:val="00F03F8C"/>
    <w:rsid w:val="00F04E49"/>
    <w:rsid w:val="00F04FB0"/>
    <w:rsid w:val="00F050CC"/>
    <w:rsid w:val="00F05532"/>
    <w:rsid w:val="00F057EB"/>
    <w:rsid w:val="00F0593B"/>
    <w:rsid w:val="00F062D4"/>
    <w:rsid w:val="00F07B73"/>
    <w:rsid w:val="00F10D49"/>
    <w:rsid w:val="00F11EC1"/>
    <w:rsid w:val="00F12A0E"/>
    <w:rsid w:val="00F12AE5"/>
    <w:rsid w:val="00F12B35"/>
    <w:rsid w:val="00F13642"/>
    <w:rsid w:val="00F13989"/>
    <w:rsid w:val="00F14459"/>
    <w:rsid w:val="00F1468A"/>
    <w:rsid w:val="00F15882"/>
    <w:rsid w:val="00F164E2"/>
    <w:rsid w:val="00F178DA"/>
    <w:rsid w:val="00F1792D"/>
    <w:rsid w:val="00F20EC5"/>
    <w:rsid w:val="00F22B2A"/>
    <w:rsid w:val="00F230D0"/>
    <w:rsid w:val="00F237B7"/>
    <w:rsid w:val="00F243B2"/>
    <w:rsid w:val="00F2719B"/>
    <w:rsid w:val="00F2790C"/>
    <w:rsid w:val="00F31312"/>
    <w:rsid w:val="00F323D9"/>
    <w:rsid w:val="00F32E53"/>
    <w:rsid w:val="00F33B38"/>
    <w:rsid w:val="00F33D56"/>
    <w:rsid w:val="00F33D7F"/>
    <w:rsid w:val="00F350D3"/>
    <w:rsid w:val="00F35E2E"/>
    <w:rsid w:val="00F36ECA"/>
    <w:rsid w:val="00F37235"/>
    <w:rsid w:val="00F3798E"/>
    <w:rsid w:val="00F40D03"/>
    <w:rsid w:val="00F42219"/>
    <w:rsid w:val="00F439DD"/>
    <w:rsid w:val="00F44BD7"/>
    <w:rsid w:val="00F50054"/>
    <w:rsid w:val="00F5022B"/>
    <w:rsid w:val="00F505C2"/>
    <w:rsid w:val="00F51365"/>
    <w:rsid w:val="00F51CE0"/>
    <w:rsid w:val="00F52020"/>
    <w:rsid w:val="00F549A1"/>
    <w:rsid w:val="00F54AC2"/>
    <w:rsid w:val="00F5536B"/>
    <w:rsid w:val="00F5598E"/>
    <w:rsid w:val="00F55EEF"/>
    <w:rsid w:val="00F56260"/>
    <w:rsid w:val="00F5628D"/>
    <w:rsid w:val="00F5754E"/>
    <w:rsid w:val="00F5790B"/>
    <w:rsid w:val="00F579EE"/>
    <w:rsid w:val="00F57C2C"/>
    <w:rsid w:val="00F60E66"/>
    <w:rsid w:val="00F61186"/>
    <w:rsid w:val="00F61A60"/>
    <w:rsid w:val="00F632B7"/>
    <w:rsid w:val="00F63709"/>
    <w:rsid w:val="00F63A30"/>
    <w:rsid w:val="00F64563"/>
    <w:rsid w:val="00F64A30"/>
    <w:rsid w:val="00F64CD0"/>
    <w:rsid w:val="00F64E87"/>
    <w:rsid w:val="00F64F74"/>
    <w:rsid w:val="00F653D8"/>
    <w:rsid w:val="00F65441"/>
    <w:rsid w:val="00F657B6"/>
    <w:rsid w:val="00F65E02"/>
    <w:rsid w:val="00F66133"/>
    <w:rsid w:val="00F66EF5"/>
    <w:rsid w:val="00F70318"/>
    <w:rsid w:val="00F70B85"/>
    <w:rsid w:val="00F71DB9"/>
    <w:rsid w:val="00F720D9"/>
    <w:rsid w:val="00F7249A"/>
    <w:rsid w:val="00F72820"/>
    <w:rsid w:val="00F728BD"/>
    <w:rsid w:val="00F74AF8"/>
    <w:rsid w:val="00F76804"/>
    <w:rsid w:val="00F768B6"/>
    <w:rsid w:val="00F820EF"/>
    <w:rsid w:val="00F82B95"/>
    <w:rsid w:val="00F83C35"/>
    <w:rsid w:val="00F8448B"/>
    <w:rsid w:val="00F85309"/>
    <w:rsid w:val="00F853CD"/>
    <w:rsid w:val="00F8724B"/>
    <w:rsid w:val="00F874E8"/>
    <w:rsid w:val="00F87CA6"/>
    <w:rsid w:val="00F90064"/>
    <w:rsid w:val="00F900F1"/>
    <w:rsid w:val="00F902BC"/>
    <w:rsid w:val="00F907AC"/>
    <w:rsid w:val="00F926B1"/>
    <w:rsid w:val="00F93AB0"/>
    <w:rsid w:val="00F93CA7"/>
    <w:rsid w:val="00F96F31"/>
    <w:rsid w:val="00FA0017"/>
    <w:rsid w:val="00FA2844"/>
    <w:rsid w:val="00FA2D4A"/>
    <w:rsid w:val="00FA2DC9"/>
    <w:rsid w:val="00FA363E"/>
    <w:rsid w:val="00FA3BB7"/>
    <w:rsid w:val="00FA3E88"/>
    <w:rsid w:val="00FA4569"/>
    <w:rsid w:val="00FB0992"/>
    <w:rsid w:val="00FB14DE"/>
    <w:rsid w:val="00FB1A4B"/>
    <w:rsid w:val="00FB1E2D"/>
    <w:rsid w:val="00FB2AA6"/>
    <w:rsid w:val="00FB31A0"/>
    <w:rsid w:val="00FB3D38"/>
    <w:rsid w:val="00FC137F"/>
    <w:rsid w:val="00FC22DC"/>
    <w:rsid w:val="00FC35CD"/>
    <w:rsid w:val="00FC3651"/>
    <w:rsid w:val="00FC396B"/>
    <w:rsid w:val="00FC3DE2"/>
    <w:rsid w:val="00FC673A"/>
    <w:rsid w:val="00FC68B6"/>
    <w:rsid w:val="00FC693F"/>
    <w:rsid w:val="00FC6A98"/>
    <w:rsid w:val="00FC7886"/>
    <w:rsid w:val="00FC7EF1"/>
    <w:rsid w:val="00FD0031"/>
    <w:rsid w:val="00FD01E4"/>
    <w:rsid w:val="00FD164D"/>
    <w:rsid w:val="00FD1946"/>
    <w:rsid w:val="00FD54EF"/>
    <w:rsid w:val="00FD6316"/>
    <w:rsid w:val="00FD6C59"/>
    <w:rsid w:val="00FD76E6"/>
    <w:rsid w:val="00FD7DC5"/>
    <w:rsid w:val="00FE0709"/>
    <w:rsid w:val="00FE4292"/>
    <w:rsid w:val="00FE4509"/>
    <w:rsid w:val="00FE52D6"/>
    <w:rsid w:val="00FE573F"/>
    <w:rsid w:val="00FE5D4B"/>
    <w:rsid w:val="00FE66E6"/>
    <w:rsid w:val="00FE6B3E"/>
    <w:rsid w:val="00FE7369"/>
    <w:rsid w:val="00FE78C5"/>
    <w:rsid w:val="00FF08A2"/>
    <w:rsid w:val="00FF0AFE"/>
    <w:rsid w:val="00FF1197"/>
    <w:rsid w:val="00FF1648"/>
    <w:rsid w:val="00FF167A"/>
    <w:rsid w:val="00FF16EF"/>
    <w:rsid w:val="00FF1950"/>
    <w:rsid w:val="00FF20A2"/>
    <w:rsid w:val="00FF312C"/>
    <w:rsid w:val="00FF32DF"/>
    <w:rsid w:val="00FF3AD6"/>
    <w:rsid w:val="00FF4090"/>
    <w:rsid w:val="00FF4264"/>
    <w:rsid w:val="00FF4393"/>
    <w:rsid w:val="00FF4608"/>
    <w:rsid w:val="00FF4DCA"/>
    <w:rsid w:val="00FF54B9"/>
    <w:rsid w:val="00FF7020"/>
    <w:rsid w:val="00FF71B5"/>
    <w:rsid w:val="00FF758C"/>
    <w:rsid w:val="01201C7B"/>
    <w:rsid w:val="01236407"/>
    <w:rsid w:val="014C0FFA"/>
    <w:rsid w:val="017B10C2"/>
    <w:rsid w:val="01956E84"/>
    <w:rsid w:val="019CD790"/>
    <w:rsid w:val="01B503CD"/>
    <w:rsid w:val="01C1E901"/>
    <w:rsid w:val="01CA1BB9"/>
    <w:rsid w:val="01D57769"/>
    <w:rsid w:val="01D88920"/>
    <w:rsid w:val="01DC71B0"/>
    <w:rsid w:val="01DEC482"/>
    <w:rsid w:val="01ED9555"/>
    <w:rsid w:val="01FEB50D"/>
    <w:rsid w:val="0234F360"/>
    <w:rsid w:val="023940C1"/>
    <w:rsid w:val="0240EC28"/>
    <w:rsid w:val="024B5C38"/>
    <w:rsid w:val="025E7C9D"/>
    <w:rsid w:val="027D2240"/>
    <w:rsid w:val="0288B6C4"/>
    <w:rsid w:val="02A0CCD8"/>
    <w:rsid w:val="02B2C194"/>
    <w:rsid w:val="02C0BCF6"/>
    <w:rsid w:val="02C2BB0C"/>
    <w:rsid w:val="02C5DAD3"/>
    <w:rsid w:val="02CC01CC"/>
    <w:rsid w:val="02DEC854"/>
    <w:rsid w:val="0310F1FE"/>
    <w:rsid w:val="03247C89"/>
    <w:rsid w:val="032A610B"/>
    <w:rsid w:val="032C2BF7"/>
    <w:rsid w:val="03355344"/>
    <w:rsid w:val="03684BE3"/>
    <w:rsid w:val="03B9071C"/>
    <w:rsid w:val="03E28910"/>
    <w:rsid w:val="03E5B8E8"/>
    <w:rsid w:val="03E84545"/>
    <w:rsid w:val="03EDD03C"/>
    <w:rsid w:val="040C4ABD"/>
    <w:rsid w:val="0423BF6E"/>
    <w:rsid w:val="0426393E"/>
    <w:rsid w:val="04341604"/>
    <w:rsid w:val="043BA4B4"/>
    <w:rsid w:val="047FC253"/>
    <w:rsid w:val="04A3194A"/>
    <w:rsid w:val="04AEC625"/>
    <w:rsid w:val="04C2631A"/>
    <w:rsid w:val="04C7FC13"/>
    <w:rsid w:val="04F1E066"/>
    <w:rsid w:val="04FDE175"/>
    <w:rsid w:val="052113B0"/>
    <w:rsid w:val="053B0B35"/>
    <w:rsid w:val="053D7B99"/>
    <w:rsid w:val="0541EFFE"/>
    <w:rsid w:val="0567B6BA"/>
    <w:rsid w:val="057EA4CD"/>
    <w:rsid w:val="0580FDD9"/>
    <w:rsid w:val="059D9004"/>
    <w:rsid w:val="05AA40E8"/>
    <w:rsid w:val="05C73AEC"/>
    <w:rsid w:val="05E9C5B7"/>
    <w:rsid w:val="05ED56A3"/>
    <w:rsid w:val="05F378B9"/>
    <w:rsid w:val="06072CB6"/>
    <w:rsid w:val="061E806A"/>
    <w:rsid w:val="063EB89D"/>
    <w:rsid w:val="064BD7AA"/>
    <w:rsid w:val="065BA9F9"/>
    <w:rsid w:val="0678C56A"/>
    <w:rsid w:val="069F6DE3"/>
    <w:rsid w:val="06C96497"/>
    <w:rsid w:val="06F674A7"/>
    <w:rsid w:val="06FB2C46"/>
    <w:rsid w:val="07027254"/>
    <w:rsid w:val="0749EE6A"/>
    <w:rsid w:val="07632E39"/>
    <w:rsid w:val="0784B439"/>
    <w:rsid w:val="07BD11DE"/>
    <w:rsid w:val="07D399EB"/>
    <w:rsid w:val="07D60ED7"/>
    <w:rsid w:val="0804B9F6"/>
    <w:rsid w:val="080E1B12"/>
    <w:rsid w:val="082A0DA5"/>
    <w:rsid w:val="084B2B18"/>
    <w:rsid w:val="0860142D"/>
    <w:rsid w:val="08625181"/>
    <w:rsid w:val="086A59B0"/>
    <w:rsid w:val="087998F2"/>
    <w:rsid w:val="0889B2C7"/>
    <w:rsid w:val="088B0009"/>
    <w:rsid w:val="08918854"/>
    <w:rsid w:val="08ABA334"/>
    <w:rsid w:val="08C181B9"/>
    <w:rsid w:val="08CBFBD5"/>
    <w:rsid w:val="08ED7CEE"/>
    <w:rsid w:val="08F674EB"/>
    <w:rsid w:val="09170279"/>
    <w:rsid w:val="093077FF"/>
    <w:rsid w:val="098C23A5"/>
    <w:rsid w:val="098CFC68"/>
    <w:rsid w:val="099AE2D1"/>
    <w:rsid w:val="09A7186E"/>
    <w:rsid w:val="09F740F7"/>
    <w:rsid w:val="0A0A36D6"/>
    <w:rsid w:val="0A178723"/>
    <w:rsid w:val="0A19D4FB"/>
    <w:rsid w:val="0A3C617E"/>
    <w:rsid w:val="0A3CDDFA"/>
    <w:rsid w:val="0A48EA92"/>
    <w:rsid w:val="0A7F2749"/>
    <w:rsid w:val="0A8D18DB"/>
    <w:rsid w:val="0AA61F7B"/>
    <w:rsid w:val="0AD5AFAD"/>
    <w:rsid w:val="0ADEF597"/>
    <w:rsid w:val="0AF52C18"/>
    <w:rsid w:val="0AFC4CE8"/>
    <w:rsid w:val="0B020CAF"/>
    <w:rsid w:val="0B047071"/>
    <w:rsid w:val="0B12FCB4"/>
    <w:rsid w:val="0B2C7B2F"/>
    <w:rsid w:val="0B42DF74"/>
    <w:rsid w:val="0B52DBF2"/>
    <w:rsid w:val="0B615264"/>
    <w:rsid w:val="0B665191"/>
    <w:rsid w:val="0B6CA98D"/>
    <w:rsid w:val="0BA356E2"/>
    <w:rsid w:val="0BAD730B"/>
    <w:rsid w:val="0BC6690B"/>
    <w:rsid w:val="0BD61D75"/>
    <w:rsid w:val="0BF9C1BD"/>
    <w:rsid w:val="0BFA11EB"/>
    <w:rsid w:val="0C097585"/>
    <w:rsid w:val="0C0A599D"/>
    <w:rsid w:val="0C2036AB"/>
    <w:rsid w:val="0C2C1A35"/>
    <w:rsid w:val="0C429AB0"/>
    <w:rsid w:val="0C55C697"/>
    <w:rsid w:val="0C6FEC3A"/>
    <w:rsid w:val="0C847774"/>
    <w:rsid w:val="0CC93B1A"/>
    <w:rsid w:val="0CD0D8DB"/>
    <w:rsid w:val="0CE17E4E"/>
    <w:rsid w:val="0D2D10FF"/>
    <w:rsid w:val="0D2E3475"/>
    <w:rsid w:val="0DB2AC7B"/>
    <w:rsid w:val="0DEE8777"/>
    <w:rsid w:val="0DF1F47B"/>
    <w:rsid w:val="0DF75E2D"/>
    <w:rsid w:val="0E1424B5"/>
    <w:rsid w:val="0E1B4E75"/>
    <w:rsid w:val="0E556C5A"/>
    <w:rsid w:val="0E6E6BDD"/>
    <w:rsid w:val="0EAF1CD2"/>
    <w:rsid w:val="0EBDBDE8"/>
    <w:rsid w:val="0EC0A3FC"/>
    <w:rsid w:val="0EC1ED8E"/>
    <w:rsid w:val="0EDB0A31"/>
    <w:rsid w:val="0EEBD8A1"/>
    <w:rsid w:val="0F171F0B"/>
    <w:rsid w:val="0F6B2F21"/>
    <w:rsid w:val="0F6E8E31"/>
    <w:rsid w:val="0F770DAF"/>
    <w:rsid w:val="0F93C61F"/>
    <w:rsid w:val="0FB27C25"/>
    <w:rsid w:val="0FB68EC7"/>
    <w:rsid w:val="10369E01"/>
    <w:rsid w:val="104ECE0C"/>
    <w:rsid w:val="106556BA"/>
    <w:rsid w:val="1083692A"/>
    <w:rsid w:val="108C4F2F"/>
    <w:rsid w:val="10C14720"/>
    <w:rsid w:val="10C57C23"/>
    <w:rsid w:val="10D2C34E"/>
    <w:rsid w:val="10EC8D8C"/>
    <w:rsid w:val="110D0958"/>
    <w:rsid w:val="111E17BF"/>
    <w:rsid w:val="1126F92D"/>
    <w:rsid w:val="113586A0"/>
    <w:rsid w:val="1180457D"/>
    <w:rsid w:val="1186295F"/>
    <w:rsid w:val="119807C3"/>
    <w:rsid w:val="119AE71E"/>
    <w:rsid w:val="11A01056"/>
    <w:rsid w:val="11A31325"/>
    <w:rsid w:val="11B83BDC"/>
    <w:rsid w:val="11C36A97"/>
    <w:rsid w:val="11F0CA88"/>
    <w:rsid w:val="11F7B108"/>
    <w:rsid w:val="1200E362"/>
    <w:rsid w:val="120236B9"/>
    <w:rsid w:val="12297621"/>
    <w:rsid w:val="1233F4EE"/>
    <w:rsid w:val="1234C9AB"/>
    <w:rsid w:val="1235DEF9"/>
    <w:rsid w:val="123AAA1C"/>
    <w:rsid w:val="12475888"/>
    <w:rsid w:val="1247BCCC"/>
    <w:rsid w:val="127C58C7"/>
    <w:rsid w:val="135868C9"/>
    <w:rsid w:val="13594B65"/>
    <w:rsid w:val="137BD251"/>
    <w:rsid w:val="138FE483"/>
    <w:rsid w:val="13932DDC"/>
    <w:rsid w:val="1395B29B"/>
    <w:rsid w:val="1399CCAA"/>
    <w:rsid w:val="13A8712B"/>
    <w:rsid w:val="13B63870"/>
    <w:rsid w:val="13BB8A30"/>
    <w:rsid w:val="13BD9AF4"/>
    <w:rsid w:val="13D36A8C"/>
    <w:rsid w:val="13F358FE"/>
    <w:rsid w:val="142AAAF1"/>
    <w:rsid w:val="144C46AF"/>
    <w:rsid w:val="148B31B3"/>
    <w:rsid w:val="149AADBC"/>
    <w:rsid w:val="14AFC2AB"/>
    <w:rsid w:val="14B7EBFC"/>
    <w:rsid w:val="14BA89CF"/>
    <w:rsid w:val="14C3E5C9"/>
    <w:rsid w:val="14D0BD43"/>
    <w:rsid w:val="14DD826E"/>
    <w:rsid w:val="1510304B"/>
    <w:rsid w:val="15462A22"/>
    <w:rsid w:val="1548D917"/>
    <w:rsid w:val="1549C7A6"/>
    <w:rsid w:val="154FF94D"/>
    <w:rsid w:val="15762E36"/>
    <w:rsid w:val="15863690"/>
    <w:rsid w:val="159FDB1F"/>
    <w:rsid w:val="15DD2E74"/>
    <w:rsid w:val="15F41B11"/>
    <w:rsid w:val="15FB37F8"/>
    <w:rsid w:val="162B3DD5"/>
    <w:rsid w:val="164026E2"/>
    <w:rsid w:val="16727481"/>
    <w:rsid w:val="1676E11D"/>
    <w:rsid w:val="1687AD58"/>
    <w:rsid w:val="16C441B9"/>
    <w:rsid w:val="16CBD779"/>
    <w:rsid w:val="16E9E62D"/>
    <w:rsid w:val="16ECD538"/>
    <w:rsid w:val="1703210B"/>
    <w:rsid w:val="1704D258"/>
    <w:rsid w:val="1706BB80"/>
    <w:rsid w:val="17093BD7"/>
    <w:rsid w:val="17393C30"/>
    <w:rsid w:val="176474F4"/>
    <w:rsid w:val="17656091"/>
    <w:rsid w:val="176804A0"/>
    <w:rsid w:val="176ED1CA"/>
    <w:rsid w:val="179C95AB"/>
    <w:rsid w:val="17B18EF6"/>
    <w:rsid w:val="17C7FED9"/>
    <w:rsid w:val="17EEFF37"/>
    <w:rsid w:val="181BA780"/>
    <w:rsid w:val="181C6B86"/>
    <w:rsid w:val="182391B7"/>
    <w:rsid w:val="183170E3"/>
    <w:rsid w:val="1839CADA"/>
    <w:rsid w:val="184EA741"/>
    <w:rsid w:val="185A3036"/>
    <w:rsid w:val="18B2B2FE"/>
    <w:rsid w:val="18C4B1D3"/>
    <w:rsid w:val="18ED4920"/>
    <w:rsid w:val="18F34A95"/>
    <w:rsid w:val="190240FA"/>
    <w:rsid w:val="19120BDF"/>
    <w:rsid w:val="193B6DC7"/>
    <w:rsid w:val="1956EE9C"/>
    <w:rsid w:val="19801814"/>
    <w:rsid w:val="19ADB0B8"/>
    <w:rsid w:val="19BA0A2C"/>
    <w:rsid w:val="19BB1208"/>
    <w:rsid w:val="19BDE83F"/>
    <w:rsid w:val="19E87F2E"/>
    <w:rsid w:val="19EA85E1"/>
    <w:rsid w:val="19EF0973"/>
    <w:rsid w:val="1A06542F"/>
    <w:rsid w:val="1A195386"/>
    <w:rsid w:val="1A3D193B"/>
    <w:rsid w:val="1A4169F2"/>
    <w:rsid w:val="1A4453CA"/>
    <w:rsid w:val="1A4735C3"/>
    <w:rsid w:val="1A4DDEA9"/>
    <w:rsid w:val="1A560500"/>
    <w:rsid w:val="1A674D61"/>
    <w:rsid w:val="1A694E1E"/>
    <w:rsid w:val="1A967EAD"/>
    <w:rsid w:val="1A9A673A"/>
    <w:rsid w:val="1ABB4C21"/>
    <w:rsid w:val="1ABCA36E"/>
    <w:rsid w:val="1AD646DD"/>
    <w:rsid w:val="1ADAA88D"/>
    <w:rsid w:val="1ADB06CE"/>
    <w:rsid w:val="1B5CA07E"/>
    <w:rsid w:val="1B656372"/>
    <w:rsid w:val="1B8B80B4"/>
    <w:rsid w:val="1B9E8B6E"/>
    <w:rsid w:val="1BAA7F00"/>
    <w:rsid w:val="1BB4884D"/>
    <w:rsid w:val="1BB94FA9"/>
    <w:rsid w:val="1BC045D9"/>
    <w:rsid w:val="1BE3994D"/>
    <w:rsid w:val="1BFE56B0"/>
    <w:rsid w:val="1C13D4F7"/>
    <w:rsid w:val="1C2F52AF"/>
    <w:rsid w:val="1C5ADB85"/>
    <w:rsid w:val="1C6C0DED"/>
    <w:rsid w:val="1C6DA0D5"/>
    <w:rsid w:val="1C761AC8"/>
    <w:rsid w:val="1C8059BC"/>
    <w:rsid w:val="1C81CA42"/>
    <w:rsid w:val="1CFABE83"/>
    <w:rsid w:val="1D0DBC4D"/>
    <w:rsid w:val="1D1B152F"/>
    <w:rsid w:val="1D2639E8"/>
    <w:rsid w:val="1D608556"/>
    <w:rsid w:val="1D7DE1A1"/>
    <w:rsid w:val="1D889A74"/>
    <w:rsid w:val="1DCCF1E1"/>
    <w:rsid w:val="1DDD38C6"/>
    <w:rsid w:val="1DEEBEA9"/>
    <w:rsid w:val="1E3FAFA1"/>
    <w:rsid w:val="1E53991B"/>
    <w:rsid w:val="1E9B44B8"/>
    <w:rsid w:val="1EB08984"/>
    <w:rsid w:val="1EBDBA3B"/>
    <w:rsid w:val="1EBE8CDE"/>
    <w:rsid w:val="1EDA24FF"/>
    <w:rsid w:val="1EE20DD1"/>
    <w:rsid w:val="1EE6B4B5"/>
    <w:rsid w:val="1EECE75A"/>
    <w:rsid w:val="1EF2519B"/>
    <w:rsid w:val="1EF4A5FC"/>
    <w:rsid w:val="1F23DCE6"/>
    <w:rsid w:val="1F5E78CC"/>
    <w:rsid w:val="1F600253"/>
    <w:rsid w:val="1F7B5CF9"/>
    <w:rsid w:val="1FAABCB4"/>
    <w:rsid w:val="1FC4645F"/>
    <w:rsid w:val="1FD23488"/>
    <w:rsid w:val="1FD84F70"/>
    <w:rsid w:val="20095ACE"/>
    <w:rsid w:val="2016731F"/>
    <w:rsid w:val="2043E012"/>
    <w:rsid w:val="2043E482"/>
    <w:rsid w:val="2046320D"/>
    <w:rsid w:val="2061B603"/>
    <w:rsid w:val="206D6B4A"/>
    <w:rsid w:val="207B0CD2"/>
    <w:rsid w:val="207D55AA"/>
    <w:rsid w:val="2080A806"/>
    <w:rsid w:val="2084AF73"/>
    <w:rsid w:val="2088D4EB"/>
    <w:rsid w:val="209557FF"/>
    <w:rsid w:val="20BF47D3"/>
    <w:rsid w:val="20BF8FC0"/>
    <w:rsid w:val="20C52BB0"/>
    <w:rsid w:val="20D0BF00"/>
    <w:rsid w:val="20DB0317"/>
    <w:rsid w:val="20E6F06D"/>
    <w:rsid w:val="2123E1F5"/>
    <w:rsid w:val="2130DC34"/>
    <w:rsid w:val="2149C156"/>
    <w:rsid w:val="214D70A0"/>
    <w:rsid w:val="214E80C4"/>
    <w:rsid w:val="2151F120"/>
    <w:rsid w:val="217CB12F"/>
    <w:rsid w:val="21B2FD55"/>
    <w:rsid w:val="21BB76F8"/>
    <w:rsid w:val="21C007DA"/>
    <w:rsid w:val="22119A82"/>
    <w:rsid w:val="2217F227"/>
    <w:rsid w:val="222638F5"/>
    <w:rsid w:val="222653E9"/>
    <w:rsid w:val="22331783"/>
    <w:rsid w:val="2243B58E"/>
    <w:rsid w:val="2244898B"/>
    <w:rsid w:val="22467980"/>
    <w:rsid w:val="22AFDD34"/>
    <w:rsid w:val="22FDF2B4"/>
    <w:rsid w:val="232E7D96"/>
    <w:rsid w:val="23364D71"/>
    <w:rsid w:val="234ADC14"/>
    <w:rsid w:val="234D3787"/>
    <w:rsid w:val="235BBF92"/>
    <w:rsid w:val="2367C244"/>
    <w:rsid w:val="238197A2"/>
    <w:rsid w:val="2382D6D6"/>
    <w:rsid w:val="23C0C3FA"/>
    <w:rsid w:val="23E45DDD"/>
    <w:rsid w:val="240BBA5B"/>
    <w:rsid w:val="2445A98C"/>
    <w:rsid w:val="24514E91"/>
    <w:rsid w:val="2456A76A"/>
    <w:rsid w:val="248A71CC"/>
    <w:rsid w:val="24A4CB43"/>
    <w:rsid w:val="24A51677"/>
    <w:rsid w:val="250E2C72"/>
    <w:rsid w:val="250FDABF"/>
    <w:rsid w:val="2525B9EA"/>
    <w:rsid w:val="25479AE8"/>
    <w:rsid w:val="254A50C4"/>
    <w:rsid w:val="254C369C"/>
    <w:rsid w:val="257098B3"/>
    <w:rsid w:val="25812C95"/>
    <w:rsid w:val="2599E3B5"/>
    <w:rsid w:val="25B2D138"/>
    <w:rsid w:val="25CDF726"/>
    <w:rsid w:val="25DC1846"/>
    <w:rsid w:val="25F8A1D6"/>
    <w:rsid w:val="25FABBF5"/>
    <w:rsid w:val="25FE6254"/>
    <w:rsid w:val="26006835"/>
    <w:rsid w:val="2610B38F"/>
    <w:rsid w:val="2615EC57"/>
    <w:rsid w:val="262C63C4"/>
    <w:rsid w:val="26382BEF"/>
    <w:rsid w:val="265991C5"/>
    <w:rsid w:val="2664DCF4"/>
    <w:rsid w:val="26694791"/>
    <w:rsid w:val="2670662A"/>
    <w:rsid w:val="267A4512"/>
    <w:rsid w:val="268E2E05"/>
    <w:rsid w:val="268F71BF"/>
    <w:rsid w:val="269529DB"/>
    <w:rsid w:val="2698845C"/>
    <w:rsid w:val="26A0D7DA"/>
    <w:rsid w:val="26A97503"/>
    <w:rsid w:val="26B6C739"/>
    <w:rsid w:val="26BA9045"/>
    <w:rsid w:val="26BBCE04"/>
    <w:rsid w:val="26BF3142"/>
    <w:rsid w:val="26D60C4B"/>
    <w:rsid w:val="26DEC73E"/>
    <w:rsid w:val="26F9DFE7"/>
    <w:rsid w:val="27071968"/>
    <w:rsid w:val="2720646C"/>
    <w:rsid w:val="27444595"/>
    <w:rsid w:val="277CE3BF"/>
    <w:rsid w:val="279B0004"/>
    <w:rsid w:val="27A41BBE"/>
    <w:rsid w:val="27D49855"/>
    <w:rsid w:val="27ECC246"/>
    <w:rsid w:val="2816D4B2"/>
    <w:rsid w:val="281752DF"/>
    <w:rsid w:val="28226A53"/>
    <w:rsid w:val="284493E2"/>
    <w:rsid w:val="284D43BA"/>
    <w:rsid w:val="285383B2"/>
    <w:rsid w:val="285DA93E"/>
    <w:rsid w:val="28B63868"/>
    <w:rsid w:val="28BF0DAF"/>
    <w:rsid w:val="29241F69"/>
    <w:rsid w:val="292CDEE7"/>
    <w:rsid w:val="29302C48"/>
    <w:rsid w:val="293C96C7"/>
    <w:rsid w:val="293DD5C8"/>
    <w:rsid w:val="294C6A81"/>
    <w:rsid w:val="294FE18F"/>
    <w:rsid w:val="2965246B"/>
    <w:rsid w:val="296C3191"/>
    <w:rsid w:val="29757AAC"/>
    <w:rsid w:val="299C12F7"/>
    <w:rsid w:val="29F78F93"/>
    <w:rsid w:val="2A0B49D2"/>
    <w:rsid w:val="2A171EB3"/>
    <w:rsid w:val="2A1F1D45"/>
    <w:rsid w:val="2A53E207"/>
    <w:rsid w:val="2A6452AA"/>
    <w:rsid w:val="2A678332"/>
    <w:rsid w:val="2A9E7ED4"/>
    <w:rsid w:val="2AD21B39"/>
    <w:rsid w:val="2AD55155"/>
    <w:rsid w:val="2AE3CA91"/>
    <w:rsid w:val="2AE90734"/>
    <w:rsid w:val="2AEFFE7C"/>
    <w:rsid w:val="2B235FFB"/>
    <w:rsid w:val="2B3863D4"/>
    <w:rsid w:val="2B422CDE"/>
    <w:rsid w:val="2B47E191"/>
    <w:rsid w:val="2B4A9E85"/>
    <w:rsid w:val="2B4C08E8"/>
    <w:rsid w:val="2B6BAA87"/>
    <w:rsid w:val="2B754CBE"/>
    <w:rsid w:val="2B769BEA"/>
    <w:rsid w:val="2B8A76F6"/>
    <w:rsid w:val="2B95AD24"/>
    <w:rsid w:val="2B986C68"/>
    <w:rsid w:val="2BAB171F"/>
    <w:rsid w:val="2BD6CE87"/>
    <w:rsid w:val="2BE374C8"/>
    <w:rsid w:val="2C0DDC95"/>
    <w:rsid w:val="2C5437F4"/>
    <w:rsid w:val="2C5C9EFB"/>
    <w:rsid w:val="2C71A0F9"/>
    <w:rsid w:val="2C81A335"/>
    <w:rsid w:val="2CBD7020"/>
    <w:rsid w:val="2CBFEC3B"/>
    <w:rsid w:val="2CD4462D"/>
    <w:rsid w:val="2CF99D74"/>
    <w:rsid w:val="2D03B666"/>
    <w:rsid w:val="2D26E495"/>
    <w:rsid w:val="2D28F4C1"/>
    <w:rsid w:val="2D2A8AD2"/>
    <w:rsid w:val="2D2B628B"/>
    <w:rsid w:val="2D4ACC99"/>
    <w:rsid w:val="2D5128C4"/>
    <w:rsid w:val="2D6371F2"/>
    <w:rsid w:val="2D6C1D2B"/>
    <w:rsid w:val="2D9791DC"/>
    <w:rsid w:val="2DC6926A"/>
    <w:rsid w:val="2E09CBA1"/>
    <w:rsid w:val="2E0A4F25"/>
    <w:rsid w:val="2E0C63F4"/>
    <w:rsid w:val="2E185F5F"/>
    <w:rsid w:val="2E1E6D90"/>
    <w:rsid w:val="2E38811B"/>
    <w:rsid w:val="2E71EF11"/>
    <w:rsid w:val="2E799242"/>
    <w:rsid w:val="2E7E972D"/>
    <w:rsid w:val="2E803CDD"/>
    <w:rsid w:val="2E883016"/>
    <w:rsid w:val="2E979235"/>
    <w:rsid w:val="2EA2F85B"/>
    <w:rsid w:val="2EAF4AF2"/>
    <w:rsid w:val="2EC70B7F"/>
    <w:rsid w:val="2EFC619F"/>
    <w:rsid w:val="2F03971E"/>
    <w:rsid w:val="2F199749"/>
    <w:rsid w:val="2F1E8131"/>
    <w:rsid w:val="2F269E72"/>
    <w:rsid w:val="2F27ADD7"/>
    <w:rsid w:val="2F37A687"/>
    <w:rsid w:val="2F3A829A"/>
    <w:rsid w:val="2F68B9A9"/>
    <w:rsid w:val="2FA4DCB1"/>
    <w:rsid w:val="2FADDCF8"/>
    <w:rsid w:val="2FDDBA99"/>
    <w:rsid w:val="2FFC3394"/>
    <w:rsid w:val="301CA7B0"/>
    <w:rsid w:val="30216090"/>
    <w:rsid w:val="3036095E"/>
    <w:rsid w:val="3074D554"/>
    <w:rsid w:val="30977E90"/>
    <w:rsid w:val="30D89BB7"/>
    <w:rsid w:val="30DC3BD7"/>
    <w:rsid w:val="30DFBEC3"/>
    <w:rsid w:val="30E3B3AE"/>
    <w:rsid w:val="30F16530"/>
    <w:rsid w:val="30F469FB"/>
    <w:rsid w:val="31092816"/>
    <w:rsid w:val="3110F475"/>
    <w:rsid w:val="3118A982"/>
    <w:rsid w:val="31211FD7"/>
    <w:rsid w:val="313DDB80"/>
    <w:rsid w:val="314DC934"/>
    <w:rsid w:val="3175478F"/>
    <w:rsid w:val="31839484"/>
    <w:rsid w:val="31945B1F"/>
    <w:rsid w:val="31BF829B"/>
    <w:rsid w:val="31F37948"/>
    <w:rsid w:val="32045A0E"/>
    <w:rsid w:val="320E5E15"/>
    <w:rsid w:val="320F8B67"/>
    <w:rsid w:val="3261C7B5"/>
    <w:rsid w:val="326BE9D8"/>
    <w:rsid w:val="327C5D5F"/>
    <w:rsid w:val="32983E40"/>
    <w:rsid w:val="329CCE07"/>
    <w:rsid w:val="32A545D4"/>
    <w:rsid w:val="330304A4"/>
    <w:rsid w:val="33159384"/>
    <w:rsid w:val="332D951C"/>
    <w:rsid w:val="332EB86B"/>
    <w:rsid w:val="3337AA77"/>
    <w:rsid w:val="3345BB32"/>
    <w:rsid w:val="33540331"/>
    <w:rsid w:val="3358F17E"/>
    <w:rsid w:val="336DAC25"/>
    <w:rsid w:val="33725700"/>
    <w:rsid w:val="3372A8DE"/>
    <w:rsid w:val="33F7ABF9"/>
    <w:rsid w:val="3417EF69"/>
    <w:rsid w:val="343E531D"/>
    <w:rsid w:val="3442858E"/>
    <w:rsid w:val="3486E8C5"/>
    <w:rsid w:val="3487C8B0"/>
    <w:rsid w:val="3495C3E2"/>
    <w:rsid w:val="34E90564"/>
    <w:rsid w:val="3517FCE6"/>
    <w:rsid w:val="3518B3E5"/>
    <w:rsid w:val="351EE752"/>
    <w:rsid w:val="354CA0A7"/>
    <w:rsid w:val="355AA6A6"/>
    <w:rsid w:val="359B40EA"/>
    <w:rsid w:val="35B9FD39"/>
    <w:rsid w:val="35BD9115"/>
    <w:rsid w:val="35E7BECA"/>
    <w:rsid w:val="360ADEEA"/>
    <w:rsid w:val="363447AC"/>
    <w:rsid w:val="3637A29A"/>
    <w:rsid w:val="3641274C"/>
    <w:rsid w:val="36433BD8"/>
    <w:rsid w:val="3656EAF7"/>
    <w:rsid w:val="366CB08F"/>
    <w:rsid w:val="367EA9D2"/>
    <w:rsid w:val="36812769"/>
    <w:rsid w:val="36B18FD4"/>
    <w:rsid w:val="36BCEA3A"/>
    <w:rsid w:val="36D64D1F"/>
    <w:rsid w:val="36DB6129"/>
    <w:rsid w:val="36F9BA7A"/>
    <w:rsid w:val="36FDBCA0"/>
    <w:rsid w:val="370234E7"/>
    <w:rsid w:val="3705BAC3"/>
    <w:rsid w:val="370C5C06"/>
    <w:rsid w:val="3716243D"/>
    <w:rsid w:val="37222E33"/>
    <w:rsid w:val="372A0550"/>
    <w:rsid w:val="3752B418"/>
    <w:rsid w:val="375BB484"/>
    <w:rsid w:val="3764A2DD"/>
    <w:rsid w:val="37752064"/>
    <w:rsid w:val="37A4DE8F"/>
    <w:rsid w:val="37ADA32B"/>
    <w:rsid w:val="37D19C9A"/>
    <w:rsid w:val="37E9C2CA"/>
    <w:rsid w:val="37F47D2B"/>
    <w:rsid w:val="37FF9490"/>
    <w:rsid w:val="381A55D8"/>
    <w:rsid w:val="38262A43"/>
    <w:rsid w:val="3851CCA4"/>
    <w:rsid w:val="38660E2D"/>
    <w:rsid w:val="3874587A"/>
    <w:rsid w:val="38DEB750"/>
    <w:rsid w:val="38E19534"/>
    <w:rsid w:val="38FEF197"/>
    <w:rsid w:val="39145A65"/>
    <w:rsid w:val="39166D6E"/>
    <w:rsid w:val="39180496"/>
    <w:rsid w:val="39650F29"/>
    <w:rsid w:val="3969B75E"/>
    <w:rsid w:val="39902A04"/>
    <w:rsid w:val="399C5224"/>
    <w:rsid w:val="39A0D28C"/>
    <w:rsid w:val="39A2D0DB"/>
    <w:rsid w:val="39B0EA16"/>
    <w:rsid w:val="39B8C421"/>
    <w:rsid w:val="39BD10B8"/>
    <w:rsid w:val="39D3E4FB"/>
    <w:rsid w:val="39D93CF2"/>
    <w:rsid w:val="39FF3628"/>
    <w:rsid w:val="3A0B0782"/>
    <w:rsid w:val="3A1FC799"/>
    <w:rsid w:val="3A4503AD"/>
    <w:rsid w:val="3A520DD9"/>
    <w:rsid w:val="3A6574FA"/>
    <w:rsid w:val="3A69B2A5"/>
    <w:rsid w:val="3A759D45"/>
    <w:rsid w:val="3AF9783B"/>
    <w:rsid w:val="3B02F2A5"/>
    <w:rsid w:val="3B1B6556"/>
    <w:rsid w:val="3B3CB9B6"/>
    <w:rsid w:val="3B6E9CE0"/>
    <w:rsid w:val="3B6F9374"/>
    <w:rsid w:val="3B718E85"/>
    <w:rsid w:val="3B790937"/>
    <w:rsid w:val="3B8E1A51"/>
    <w:rsid w:val="3B997A74"/>
    <w:rsid w:val="3B9CC739"/>
    <w:rsid w:val="3BA8D88C"/>
    <w:rsid w:val="3BB191D3"/>
    <w:rsid w:val="3BC10252"/>
    <w:rsid w:val="3C15BF3B"/>
    <w:rsid w:val="3C2C8B60"/>
    <w:rsid w:val="3C373E7F"/>
    <w:rsid w:val="3C47631B"/>
    <w:rsid w:val="3C98B3D2"/>
    <w:rsid w:val="3CCC3B0A"/>
    <w:rsid w:val="3CF029BF"/>
    <w:rsid w:val="3CF968D4"/>
    <w:rsid w:val="3CF9EF8F"/>
    <w:rsid w:val="3D142B37"/>
    <w:rsid w:val="3D26287D"/>
    <w:rsid w:val="3D36F4BE"/>
    <w:rsid w:val="3D644DF7"/>
    <w:rsid w:val="3D70249F"/>
    <w:rsid w:val="3D7897F0"/>
    <w:rsid w:val="3D87FDDB"/>
    <w:rsid w:val="3D916658"/>
    <w:rsid w:val="3DAB2B3A"/>
    <w:rsid w:val="3DB4F6EA"/>
    <w:rsid w:val="3DD16471"/>
    <w:rsid w:val="3DD735A0"/>
    <w:rsid w:val="3DEDD990"/>
    <w:rsid w:val="3DF0DD84"/>
    <w:rsid w:val="3DF9C589"/>
    <w:rsid w:val="3DFB860F"/>
    <w:rsid w:val="3E0FD893"/>
    <w:rsid w:val="3E1490C3"/>
    <w:rsid w:val="3E23F0AA"/>
    <w:rsid w:val="3E2698F6"/>
    <w:rsid w:val="3E44A3F2"/>
    <w:rsid w:val="3E6D3D2A"/>
    <w:rsid w:val="3E745819"/>
    <w:rsid w:val="3EA728BD"/>
    <w:rsid w:val="3EBD8FFB"/>
    <w:rsid w:val="3ED7D925"/>
    <w:rsid w:val="3EEB6C89"/>
    <w:rsid w:val="3F010A6E"/>
    <w:rsid w:val="3F23D694"/>
    <w:rsid w:val="3F34B847"/>
    <w:rsid w:val="3F380199"/>
    <w:rsid w:val="3F7BCFA7"/>
    <w:rsid w:val="3F8013A0"/>
    <w:rsid w:val="3F99FB23"/>
    <w:rsid w:val="3FA3E182"/>
    <w:rsid w:val="3FB9CC5A"/>
    <w:rsid w:val="3FC03F1A"/>
    <w:rsid w:val="3FF876BF"/>
    <w:rsid w:val="4005E485"/>
    <w:rsid w:val="404245AC"/>
    <w:rsid w:val="405AEA7F"/>
    <w:rsid w:val="405B7AB3"/>
    <w:rsid w:val="408B9000"/>
    <w:rsid w:val="40A4FBA0"/>
    <w:rsid w:val="40D359F6"/>
    <w:rsid w:val="40E69A7A"/>
    <w:rsid w:val="40ED00B5"/>
    <w:rsid w:val="40F696B7"/>
    <w:rsid w:val="40FAAF67"/>
    <w:rsid w:val="410EFEAA"/>
    <w:rsid w:val="4134C09F"/>
    <w:rsid w:val="416576A8"/>
    <w:rsid w:val="416946B2"/>
    <w:rsid w:val="41A9F8B3"/>
    <w:rsid w:val="41AF9D9A"/>
    <w:rsid w:val="41B9155E"/>
    <w:rsid w:val="41C3D98F"/>
    <w:rsid w:val="41E82872"/>
    <w:rsid w:val="42588A32"/>
    <w:rsid w:val="427BEF2F"/>
    <w:rsid w:val="427C7FB8"/>
    <w:rsid w:val="4288E188"/>
    <w:rsid w:val="42AEF230"/>
    <w:rsid w:val="42C46737"/>
    <w:rsid w:val="42D36AB5"/>
    <w:rsid w:val="42D5C798"/>
    <w:rsid w:val="42E2FCEB"/>
    <w:rsid w:val="42EB6844"/>
    <w:rsid w:val="42EC74DF"/>
    <w:rsid w:val="436A030C"/>
    <w:rsid w:val="436E406E"/>
    <w:rsid w:val="43C73DFC"/>
    <w:rsid w:val="43CE78FF"/>
    <w:rsid w:val="43F33114"/>
    <w:rsid w:val="440D3CC8"/>
    <w:rsid w:val="443509DA"/>
    <w:rsid w:val="443E08CE"/>
    <w:rsid w:val="44473C95"/>
    <w:rsid w:val="4485F312"/>
    <w:rsid w:val="44915544"/>
    <w:rsid w:val="44AF4607"/>
    <w:rsid w:val="44B7C659"/>
    <w:rsid w:val="44BF4611"/>
    <w:rsid w:val="44C66718"/>
    <w:rsid w:val="44CBCF55"/>
    <w:rsid w:val="44E39311"/>
    <w:rsid w:val="44E60154"/>
    <w:rsid w:val="44EAF238"/>
    <w:rsid w:val="450E1634"/>
    <w:rsid w:val="45196817"/>
    <w:rsid w:val="45533B6E"/>
    <w:rsid w:val="45726488"/>
    <w:rsid w:val="4572EC70"/>
    <w:rsid w:val="45878D24"/>
    <w:rsid w:val="45940FCD"/>
    <w:rsid w:val="4599EF0E"/>
    <w:rsid w:val="45A87409"/>
    <w:rsid w:val="45B1259C"/>
    <w:rsid w:val="45BDB468"/>
    <w:rsid w:val="45DF6C98"/>
    <w:rsid w:val="45E2C80E"/>
    <w:rsid w:val="4602C82A"/>
    <w:rsid w:val="46084E91"/>
    <w:rsid w:val="460965F6"/>
    <w:rsid w:val="46569F06"/>
    <w:rsid w:val="4686E56F"/>
    <w:rsid w:val="468CA67F"/>
    <w:rsid w:val="46A0EB0E"/>
    <w:rsid w:val="46D2CD4E"/>
    <w:rsid w:val="46D7C6F7"/>
    <w:rsid w:val="470B8817"/>
    <w:rsid w:val="470F570B"/>
    <w:rsid w:val="47122845"/>
    <w:rsid w:val="471255A1"/>
    <w:rsid w:val="4731D084"/>
    <w:rsid w:val="4738CBB0"/>
    <w:rsid w:val="47481C55"/>
    <w:rsid w:val="474D4AD4"/>
    <w:rsid w:val="47A18563"/>
    <w:rsid w:val="47B90406"/>
    <w:rsid w:val="47CC6882"/>
    <w:rsid w:val="47CC8E69"/>
    <w:rsid w:val="47E35518"/>
    <w:rsid w:val="48043AE8"/>
    <w:rsid w:val="481F1571"/>
    <w:rsid w:val="482638AC"/>
    <w:rsid w:val="482A21FA"/>
    <w:rsid w:val="4841713A"/>
    <w:rsid w:val="485EAF8B"/>
    <w:rsid w:val="48991AB5"/>
    <w:rsid w:val="48AF901E"/>
    <w:rsid w:val="48CC9F37"/>
    <w:rsid w:val="48E5F3B3"/>
    <w:rsid w:val="48ECB41B"/>
    <w:rsid w:val="48F0E8A9"/>
    <w:rsid w:val="48F4D52F"/>
    <w:rsid w:val="49163021"/>
    <w:rsid w:val="49347878"/>
    <w:rsid w:val="495F5002"/>
    <w:rsid w:val="49759B44"/>
    <w:rsid w:val="49882474"/>
    <w:rsid w:val="498A4E12"/>
    <w:rsid w:val="498DA8BD"/>
    <w:rsid w:val="49C03F05"/>
    <w:rsid w:val="49E8D74B"/>
    <w:rsid w:val="49F21AEB"/>
    <w:rsid w:val="4A366874"/>
    <w:rsid w:val="4A505E41"/>
    <w:rsid w:val="4A610B1D"/>
    <w:rsid w:val="4A725F11"/>
    <w:rsid w:val="4A731D7A"/>
    <w:rsid w:val="4A92642E"/>
    <w:rsid w:val="4AEF19BD"/>
    <w:rsid w:val="4B0C6AEA"/>
    <w:rsid w:val="4B24709F"/>
    <w:rsid w:val="4BCD7DD0"/>
    <w:rsid w:val="4BF58EDA"/>
    <w:rsid w:val="4BF8C2D9"/>
    <w:rsid w:val="4C157D97"/>
    <w:rsid w:val="4C31DD04"/>
    <w:rsid w:val="4C531319"/>
    <w:rsid w:val="4C610B5E"/>
    <w:rsid w:val="4C698BF4"/>
    <w:rsid w:val="4C6F276D"/>
    <w:rsid w:val="4C7C30F9"/>
    <w:rsid w:val="4C92FEB1"/>
    <w:rsid w:val="4CBA7594"/>
    <w:rsid w:val="4CCA9387"/>
    <w:rsid w:val="4CDD048F"/>
    <w:rsid w:val="4CDED8E2"/>
    <w:rsid w:val="4CED3056"/>
    <w:rsid w:val="4CFF9062"/>
    <w:rsid w:val="4D005B5F"/>
    <w:rsid w:val="4D19439A"/>
    <w:rsid w:val="4D284CB3"/>
    <w:rsid w:val="4D29F460"/>
    <w:rsid w:val="4D6350DB"/>
    <w:rsid w:val="4D6E98AC"/>
    <w:rsid w:val="4D774F58"/>
    <w:rsid w:val="4D804637"/>
    <w:rsid w:val="4D86DB23"/>
    <w:rsid w:val="4D941ECE"/>
    <w:rsid w:val="4D9E7F69"/>
    <w:rsid w:val="4DABD82C"/>
    <w:rsid w:val="4DAE6E91"/>
    <w:rsid w:val="4DB28D0B"/>
    <w:rsid w:val="4DD91C5A"/>
    <w:rsid w:val="4DECA379"/>
    <w:rsid w:val="4DF7E4BA"/>
    <w:rsid w:val="4DFE5ECD"/>
    <w:rsid w:val="4DFEF28A"/>
    <w:rsid w:val="4E0B11E7"/>
    <w:rsid w:val="4E3ABB33"/>
    <w:rsid w:val="4E43B2DA"/>
    <w:rsid w:val="4E46C71F"/>
    <w:rsid w:val="4E66BFD6"/>
    <w:rsid w:val="4E713BAF"/>
    <w:rsid w:val="4E740604"/>
    <w:rsid w:val="4EC03885"/>
    <w:rsid w:val="4EE6DB64"/>
    <w:rsid w:val="4EEC0802"/>
    <w:rsid w:val="4F1013EF"/>
    <w:rsid w:val="4F1B727F"/>
    <w:rsid w:val="4F37DB9C"/>
    <w:rsid w:val="4F412420"/>
    <w:rsid w:val="4F4435F3"/>
    <w:rsid w:val="4F53D30C"/>
    <w:rsid w:val="4F5D38DB"/>
    <w:rsid w:val="4F683889"/>
    <w:rsid w:val="4F7FD9C0"/>
    <w:rsid w:val="4F965A13"/>
    <w:rsid w:val="4FB14AC9"/>
    <w:rsid w:val="4FDC365A"/>
    <w:rsid w:val="4FE0FF3A"/>
    <w:rsid w:val="4FF42254"/>
    <w:rsid w:val="503B770A"/>
    <w:rsid w:val="504F7AD6"/>
    <w:rsid w:val="50704630"/>
    <w:rsid w:val="5089037C"/>
    <w:rsid w:val="50AD36CB"/>
    <w:rsid w:val="50BA2B87"/>
    <w:rsid w:val="50BAA5C6"/>
    <w:rsid w:val="50CF4058"/>
    <w:rsid w:val="5120D12F"/>
    <w:rsid w:val="51216964"/>
    <w:rsid w:val="513C56DF"/>
    <w:rsid w:val="514E9CDB"/>
    <w:rsid w:val="5182001D"/>
    <w:rsid w:val="518D6BF8"/>
    <w:rsid w:val="51972F86"/>
    <w:rsid w:val="519C4B37"/>
    <w:rsid w:val="51CE25D4"/>
    <w:rsid w:val="51D9B4CE"/>
    <w:rsid w:val="51E74660"/>
    <w:rsid w:val="51F4686F"/>
    <w:rsid w:val="520327AC"/>
    <w:rsid w:val="52260BBD"/>
    <w:rsid w:val="522817E9"/>
    <w:rsid w:val="522F5F78"/>
    <w:rsid w:val="5240F8A4"/>
    <w:rsid w:val="527085DA"/>
    <w:rsid w:val="52B1B645"/>
    <w:rsid w:val="52B264C3"/>
    <w:rsid w:val="52CC2F6E"/>
    <w:rsid w:val="532DF1F8"/>
    <w:rsid w:val="5333C2E1"/>
    <w:rsid w:val="535957D5"/>
    <w:rsid w:val="53729DDC"/>
    <w:rsid w:val="5375FCD8"/>
    <w:rsid w:val="5395B14A"/>
    <w:rsid w:val="53C6DD30"/>
    <w:rsid w:val="5458D9D4"/>
    <w:rsid w:val="54595183"/>
    <w:rsid w:val="549D663F"/>
    <w:rsid w:val="54A3344C"/>
    <w:rsid w:val="551B3CDF"/>
    <w:rsid w:val="552273BC"/>
    <w:rsid w:val="55850B78"/>
    <w:rsid w:val="559B93D2"/>
    <w:rsid w:val="55D82EF9"/>
    <w:rsid w:val="55E3739D"/>
    <w:rsid w:val="5615FA81"/>
    <w:rsid w:val="562BC301"/>
    <w:rsid w:val="563DCF87"/>
    <w:rsid w:val="565B10B6"/>
    <w:rsid w:val="56692191"/>
    <w:rsid w:val="5672AB13"/>
    <w:rsid w:val="5672CD6E"/>
    <w:rsid w:val="5682600D"/>
    <w:rsid w:val="568DAF30"/>
    <w:rsid w:val="56BF0AE3"/>
    <w:rsid w:val="56CBDD64"/>
    <w:rsid w:val="56CCA532"/>
    <w:rsid w:val="56DD68DF"/>
    <w:rsid w:val="57020BF2"/>
    <w:rsid w:val="5704AE80"/>
    <w:rsid w:val="5705D5E1"/>
    <w:rsid w:val="5712C98F"/>
    <w:rsid w:val="57281BF8"/>
    <w:rsid w:val="572FB8AF"/>
    <w:rsid w:val="57334898"/>
    <w:rsid w:val="5746A9E5"/>
    <w:rsid w:val="574C4D07"/>
    <w:rsid w:val="5757FCF0"/>
    <w:rsid w:val="576B567E"/>
    <w:rsid w:val="576FACCB"/>
    <w:rsid w:val="57880E89"/>
    <w:rsid w:val="5791A243"/>
    <w:rsid w:val="57942238"/>
    <w:rsid w:val="57961D18"/>
    <w:rsid w:val="57CA2F83"/>
    <w:rsid w:val="57D1DAF3"/>
    <w:rsid w:val="57D2CD52"/>
    <w:rsid w:val="57D5F744"/>
    <w:rsid w:val="57FC517D"/>
    <w:rsid w:val="5815FC05"/>
    <w:rsid w:val="581E4FCD"/>
    <w:rsid w:val="585F52FB"/>
    <w:rsid w:val="58706B08"/>
    <w:rsid w:val="58880EB0"/>
    <w:rsid w:val="588ECB6B"/>
    <w:rsid w:val="588EFB26"/>
    <w:rsid w:val="58BF975F"/>
    <w:rsid w:val="58C04601"/>
    <w:rsid w:val="58C2A7A3"/>
    <w:rsid w:val="58D1CCCF"/>
    <w:rsid w:val="58D70796"/>
    <w:rsid w:val="58E4A34F"/>
    <w:rsid w:val="58EE00DC"/>
    <w:rsid w:val="59020915"/>
    <w:rsid w:val="590E3182"/>
    <w:rsid w:val="59163CA4"/>
    <w:rsid w:val="5924BED2"/>
    <w:rsid w:val="59318A31"/>
    <w:rsid w:val="5966C56E"/>
    <w:rsid w:val="5979B0DE"/>
    <w:rsid w:val="598B743B"/>
    <w:rsid w:val="599B556F"/>
    <w:rsid w:val="59A9B441"/>
    <w:rsid w:val="59C7B271"/>
    <w:rsid w:val="59D35BCA"/>
    <w:rsid w:val="59D65033"/>
    <w:rsid w:val="59EBF26C"/>
    <w:rsid w:val="59FBA4E5"/>
    <w:rsid w:val="59FF4747"/>
    <w:rsid w:val="5A02D799"/>
    <w:rsid w:val="5A1970B7"/>
    <w:rsid w:val="5A1C0F90"/>
    <w:rsid w:val="5A8A55BC"/>
    <w:rsid w:val="5AE4E0F3"/>
    <w:rsid w:val="5B1B72C9"/>
    <w:rsid w:val="5B51C32C"/>
    <w:rsid w:val="5B5BA86B"/>
    <w:rsid w:val="5B619CEE"/>
    <w:rsid w:val="5B683120"/>
    <w:rsid w:val="5BB886A9"/>
    <w:rsid w:val="5BC2C978"/>
    <w:rsid w:val="5BF768E3"/>
    <w:rsid w:val="5BFAA525"/>
    <w:rsid w:val="5C01EC48"/>
    <w:rsid w:val="5C123BAA"/>
    <w:rsid w:val="5C1640A0"/>
    <w:rsid w:val="5C16A8A9"/>
    <w:rsid w:val="5C3740C7"/>
    <w:rsid w:val="5C4F3764"/>
    <w:rsid w:val="5C7056D9"/>
    <w:rsid w:val="5CB71B10"/>
    <w:rsid w:val="5CE7393E"/>
    <w:rsid w:val="5CF2F741"/>
    <w:rsid w:val="5CF36692"/>
    <w:rsid w:val="5D0BF4D4"/>
    <w:rsid w:val="5D24FCA1"/>
    <w:rsid w:val="5D2516ED"/>
    <w:rsid w:val="5D26838F"/>
    <w:rsid w:val="5D277864"/>
    <w:rsid w:val="5D286DE2"/>
    <w:rsid w:val="5D2B7351"/>
    <w:rsid w:val="5D43508C"/>
    <w:rsid w:val="5D560E1F"/>
    <w:rsid w:val="5D5887CB"/>
    <w:rsid w:val="5D69EA03"/>
    <w:rsid w:val="5D905A8C"/>
    <w:rsid w:val="5DB0F4C2"/>
    <w:rsid w:val="5DB539E3"/>
    <w:rsid w:val="5E15F330"/>
    <w:rsid w:val="5E1D42B1"/>
    <w:rsid w:val="5E31C349"/>
    <w:rsid w:val="5E56803C"/>
    <w:rsid w:val="5E582CB5"/>
    <w:rsid w:val="5E6A44E9"/>
    <w:rsid w:val="5EAA4E1C"/>
    <w:rsid w:val="5ED011D5"/>
    <w:rsid w:val="5ED60ED2"/>
    <w:rsid w:val="5EFBFFCA"/>
    <w:rsid w:val="5F01C9E5"/>
    <w:rsid w:val="5F07D80A"/>
    <w:rsid w:val="5F1D2038"/>
    <w:rsid w:val="5F31420C"/>
    <w:rsid w:val="5F385D9A"/>
    <w:rsid w:val="5F4588C8"/>
    <w:rsid w:val="5F562A05"/>
    <w:rsid w:val="5F578905"/>
    <w:rsid w:val="5FB6A64A"/>
    <w:rsid w:val="5FC81B34"/>
    <w:rsid w:val="5FE27B14"/>
    <w:rsid w:val="5FFAFB0E"/>
    <w:rsid w:val="602D14E3"/>
    <w:rsid w:val="604BD8F6"/>
    <w:rsid w:val="6050DB70"/>
    <w:rsid w:val="60592E9A"/>
    <w:rsid w:val="6059BBA7"/>
    <w:rsid w:val="605C7EEA"/>
    <w:rsid w:val="605F90BB"/>
    <w:rsid w:val="6062A3FA"/>
    <w:rsid w:val="607A4CA3"/>
    <w:rsid w:val="60811901"/>
    <w:rsid w:val="6085D1DB"/>
    <w:rsid w:val="60A681EE"/>
    <w:rsid w:val="60B81DA4"/>
    <w:rsid w:val="60C7EDA4"/>
    <w:rsid w:val="60E294FC"/>
    <w:rsid w:val="60EBA144"/>
    <w:rsid w:val="60F7D7EF"/>
    <w:rsid w:val="6101B81A"/>
    <w:rsid w:val="6108012D"/>
    <w:rsid w:val="61092949"/>
    <w:rsid w:val="610C980A"/>
    <w:rsid w:val="61362943"/>
    <w:rsid w:val="613AF648"/>
    <w:rsid w:val="613DFA01"/>
    <w:rsid w:val="6153E30D"/>
    <w:rsid w:val="61693AD6"/>
    <w:rsid w:val="61978DD4"/>
    <w:rsid w:val="61C7F755"/>
    <w:rsid w:val="61CF43B0"/>
    <w:rsid w:val="61E66F03"/>
    <w:rsid w:val="620B589B"/>
    <w:rsid w:val="620CEC4F"/>
    <w:rsid w:val="62298347"/>
    <w:rsid w:val="6229A300"/>
    <w:rsid w:val="623778E2"/>
    <w:rsid w:val="6249CB3F"/>
    <w:rsid w:val="625AC697"/>
    <w:rsid w:val="62773FBC"/>
    <w:rsid w:val="6297AE71"/>
    <w:rsid w:val="62D84C6C"/>
    <w:rsid w:val="62D88AC9"/>
    <w:rsid w:val="632FDB32"/>
    <w:rsid w:val="636A8449"/>
    <w:rsid w:val="636C1488"/>
    <w:rsid w:val="636FC9B3"/>
    <w:rsid w:val="63A2E65B"/>
    <w:rsid w:val="63A9B77A"/>
    <w:rsid w:val="63C985C9"/>
    <w:rsid w:val="63CA8538"/>
    <w:rsid w:val="63DD6172"/>
    <w:rsid w:val="63DD71EC"/>
    <w:rsid w:val="63E5C8D9"/>
    <w:rsid w:val="63E93BF2"/>
    <w:rsid w:val="64037D50"/>
    <w:rsid w:val="6415E6E5"/>
    <w:rsid w:val="64264DD9"/>
    <w:rsid w:val="642A3C42"/>
    <w:rsid w:val="643D9177"/>
    <w:rsid w:val="644549FE"/>
    <w:rsid w:val="64488A92"/>
    <w:rsid w:val="646C357F"/>
    <w:rsid w:val="64970080"/>
    <w:rsid w:val="649C33B1"/>
    <w:rsid w:val="64A4D9A4"/>
    <w:rsid w:val="64D0EC10"/>
    <w:rsid w:val="64DD87F7"/>
    <w:rsid w:val="64EEC9CE"/>
    <w:rsid w:val="64F1ECF2"/>
    <w:rsid w:val="6500CF6F"/>
    <w:rsid w:val="651A126C"/>
    <w:rsid w:val="651FEEFD"/>
    <w:rsid w:val="6556C6C0"/>
    <w:rsid w:val="656F4566"/>
    <w:rsid w:val="659291EC"/>
    <w:rsid w:val="65C485D2"/>
    <w:rsid w:val="65D4E9BB"/>
    <w:rsid w:val="65D78A0A"/>
    <w:rsid w:val="65EBACF4"/>
    <w:rsid w:val="65FF96CA"/>
    <w:rsid w:val="66027DBB"/>
    <w:rsid w:val="66056BEA"/>
    <w:rsid w:val="66677F88"/>
    <w:rsid w:val="667AEA7B"/>
    <w:rsid w:val="6696C3C9"/>
    <w:rsid w:val="669A999D"/>
    <w:rsid w:val="66B22BC3"/>
    <w:rsid w:val="66B55C3B"/>
    <w:rsid w:val="66C418A6"/>
    <w:rsid w:val="66E8C2C5"/>
    <w:rsid w:val="66F5B241"/>
    <w:rsid w:val="6704244F"/>
    <w:rsid w:val="67275963"/>
    <w:rsid w:val="672B0E0B"/>
    <w:rsid w:val="6733C2C3"/>
    <w:rsid w:val="6767462A"/>
    <w:rsid w:val="67794944"/>
    <w:rsid w:val="677BB485"/>
    <w:rsid w:val="679E68E0"/>
    <w:rsid w:val="67A59D8D"/>
    <w:rsid w:val="67A737F1"/>
    <w:rsid w:val="67C95C66"/>
    <w:rsid w:val="67EE3C6A"/>
    <w:rsid w:val="67F4E90C"/>
    <w:rsid w:val="67FCEAA3"/>
    <w:rsid w:val="6814B54E"/>
    <w:rsid w:val="682507FC"/>
    <w:rsid w:val="6842951C"/>
    <w:rsid w:val="685B48EB"/>
    <w:rsid w:val="686130FF"/>
    <w:rsid w:val="6875FB86"/>
    <w:rsid w:val="6876A317"/>
    <w:rsid w:val="687C9CB3"/>
    <w:rsid w:val="68964544"/>
    <w:rsid w:val="68AB3422"/>
    <w:rsid w:val="68D617A7"/>
    <w:rsid w:val="68EEAC5B"/>
    <w:rsid w:val="68F6B12E"/>
    <w:rsid w:val="690CE0E0"/>
    <w:rsid w:val="69358A5A"/>
    <w:rsid w:val="69391B00"/>
    <w:rsid w:val="694EBF26"/>
    <w:rsid w:val="696AA328"/>
    <w:rsid w:val="698A062B"/>
    <w:rsid w:val="698B980C"/>
    <w:rsid w:val="6990FFBD"/>
    <w:rsid w:val="69B5586B"/>
    <w:rsid w:val="69C4AD44"/>
    <w:rsid w:val="69CA5DD2"/>
    <w:rsid w:val="69D0E6C8"/>
    <w:rsid w:val="69D9C34D"/>
    <w:rsid w:val="69E052CE"/>
    <w:rsid w:val="69F990AC"/>
    <w:rsid w:val="6A0EA236"/>
    <w:rsid w:val="6A1E341E"/>
    <w:rsid w:val="6A26A526"/>
    <w:rsid w:val="6A42FCD0"/>
    <w:rsid w:val="6A5F2612"/>
    <w:rsid w:val="6A6D01C5"/>
    <w:rsid w:val="6A7B7287"/>
    <w:rsid w:val="6A8AB8B3"/>
    <w:rsid w:val="6A9ECF1D"/>
    <w:rsid w:val="6AA7BDD9"/>
    <w:rsid w:val="6ABEB25E"/>
    <w:rsid w:val="6ACC8CFC"/>
    <w:rsid w:val="6AE11257"/>
    <w:rsid w:val="6AEA7BA1"/>
    <w:rsid w:val="6AFF191C"/>
    <w:rsid w:val="6B07BE3E"/>
    <w:rsid w:val="6B37D8BC"/>
    <w:rsid w:val="6B44E551"/>
    <w:rsid w:val="6B693378"/>
    <w:rsid w:val="6B72FCD9"/>
    <w:rsid w:val="6B9B560F"/>
    <w:rsid w:val="6BC1813B"/>
    <w:rsid w:val="6BD45BCF"/>
    <w:rsid w:val="6BD85C3C"/>
    <w:rsid w:val="6BE1AC07"/>
    <w:rsid w:val="6BE47734"/>
    <w:rsid w:val="6BFAD964"/>
    <w:rsid w:val="6BFB96BA"/>
    <w:rsid w:val="6C09453B"/>
    <w:rsid w:val="6C09543B"/>
    <w:rsid w:val="6C11784F"/>
    <w:rsid w:val="6C342123"/>
    <w:rsid w:val="6C48E516"/>
    <w:rsid w:val="6C63D04E"/>
    <w:rsid w:val="6C6C446D"/>
    <w:rsid w:val="6C764864"/>
    <w:rsid w:val="6C78370C"/>
    <w:rsid w:val="6CBDC2F4"/>
    <w:rsid w:val="6CBE4745"/>
    <w:rsid w:val="6CE0208C"/>
    <w:rsid w:val="6D0C6998"/>
    <w:rsid w:val="6D106494"/>
    <w:rsid w:val="6D179FB8"/>
    <w:rsid w:val="6D1CFAA0"/>
    <w:rsid w:val="6D1E626C"/>
    <w:rsid w:val="6D79403A"/>
    <w:rsid w:val="6D7F1588"/>
    <w:rsid w:val="6D974288"/>
    <w:rsid w:val="6DAC2DDD"/>
    <w:rsid w:val="6DCB91CF"/>
    <w:rsid w:val="6DD3B433"/>
    <w:rsid w:val="6DF2C579"/>
    <w:rsid w:val="6DF9A02C"/>
    <w:rsid w:val="6E0A6FF5"/>
    <w:rsid w:val="6E1D1D92"/>
    <w:rsid w:val="6E201600"/>
    <w:rsid w:val="6E28A8B2"/>
    <w:rsid w:val="6E4A958F"/>
    <w:rsid w:val="6E5D5DA0"/>
    <w:rsid w:val="6E74FF27"/>
    <w:rsid w:val="6E99285E"/>
    <w:rsid w:val="6EE9F4A2"/>
    <w:rsid w:val="6EF376E2"/>
    <w:rsid w:val="6F2BC9C3"/>
    <w:rsid w:val="6F430507"/>
    <w:rsid w:val="6F457205"/>
    <w:rsid w:val="6F7708D3"/>
    <w:rsid w:val="6F90B905"/>
    <w:rsid w:val="6F9309F4"/>
    <w:rsid w:val="6FB837CA"/>
    <w:rsid w:val="6FE017FA"/>
    <w:rsid w:val="6FF2F97A"/>
    <w:rsid w:val="6FF8F963"/>
    <w:rsid w:val="6FFC1684"/>
    <w:rsid w:val="7009E07D"/>
    <w:rsid w:val="70275CDE"/>
    <w:rsid w:val="7039D6CE"/>
    <w:rsid w:val="705E480F"/>
    <w:rsid w:val="705F5C56"/>
    <w:rsid w:val="707D6BFC"/>
    <w:rsid w:val="7084A323"/>
    <w:rsid w:val="7091FCC7"/>
    <w:rsid w:val="70971EA6"/>
    <w:rsid w:val="70CE55B1"/>
    <w:rsid w:val="70D37420"/>
    <w:rsid w:val="70DFE76F"/>
    <w:rsid w:val="70E1AA09"/>
    <w:rsid w:val="70EAA2C9"/>
    <w:rsid w:val="70ED36EB"/>
    <w:rsid w:val="7106711B"/>
    <w:rsid w:val="711BA973"/>
    <w:rsid w:val="7135CF17"/>
    <w:rsid w:val="715A433C"/>
    <w:rsid w:val="717B1224"/>
    <w:rsid w:val="7194303C"/>
    <w:rsid w:val="719CDC01"/>
    <w:rsid w:val="719F7722"/>
    <w:rsid w:val="71E2EB9E"/>
    <w:rsid w:val="71F2906F"/>
    <w:rsid w:val="7201256E"/>
    <w:rsid w:val="724714CE"/>
    <w:rsid w:val="72574832"/>
    <w:rsid w:val="7269A222"/>
    <w:rsid w:val="727874C6"/>
    <w:rsid w:val="727DD55E"/>
    <w:rsid w:val="729324EC"/>
    <w:rsid w:val="72C70587"/>
    <w:rsid w:val="72E456C4"/>
    <w:rsid w:val="72EF109B"/>
    <w:rsid w:val="732D980D"/>
    <w:rsid w:val="7355F425"/>
    <w:rsid w:val="735611D1"/>
    <w:rsid w:val="73638C7D"/>
    <w:rsid w:val="7366835F"/>
    <w:rsid w:val="73A823DD"/>
    <w:rsid w:val="73C9362A"/>
    <w:rsid w:val="73CA86FB"/>
    <w:rsid w:val="7407C831"/>
    <w:rsid w:val="740D644B"/>
    <w:rsid w:val="744AE048"/>
    <w:rsid w:val="74588B0B"/>
    <w:rsid w:val="745B30F2"/>
    <w:rsid w:val="745FAEB6"/>
    <w:rsid w:val="746EFEEA"/>
    <w:rsid w:val="748FB313"/>
    <w:rsid w:val="74D2576D"/>
    <w:rsid w:val="7529AFF5"/>
    <w:rsid w:val="752D208F"/>
    <w:rsid w:val="7546DAD9"/>
    <w:rsid w:val="75524AA5"/>
    <w:rsid w:val="756C2126"/>
    <w:rsid w:val="75825CA2"/>
    <w:rsid w:val="758C774C"/>
    <w:rsid w:val="75988BB9"/>
    <w:rsid w:val="759B1933"/>
    <w:rsid w:val="75A42E24"/>
    <w:rsid w:val="75A840B1"/>
    <w:rsid w:val="75AAD790"/>
    <w:rsid w:val="75BEE917"/>
    <w:rsid w:val="75DAFCCD"/>
    <w:rsid w:val="76143C09"/>
    <w:rsid w:val="761DD6BB"/>
    <w:rsid w:val="7643BA5D"/>
    <w:rsid w:val="764E85FC"/>
    <w:rsid w:val="766FDEAB"/>
    <w:rsid w:val="76A657E1"/>
    <w:rsid w:val="76C5CBBF"/>
    <w:rsid w:val="76C698D1"/>
    <w:rsid w:val="76FABB6D"/>
    <w:rsid w:val="770F7044"/>
    <w:rsid w:val="771987B9"/>
    <w:rsid w:val="771F3244"/>
    <w:rsid w:val="7748B622"/>
    <w:rsid w:val="7781A3DE"/>
    <w:rsid w:val="77A793B0"/>
    <w:rsid w:val="77C32879"/>
    <w:rsid w:val="77D9EA12"/>
    <w:rsid w:val="77DA6CEA"/>
    <w:rsid w:val="77DD7EB3"/>
    <w:rsid w:val="77F0CCF0"/>
    <w:rsid w:val="78201056"/>
    <w:rsid w:val="78444DEB"/>
    <w:rsid w:val="784A7A11"/>
    <w:rsid w:val="785C89F5"/>
    <w:rsid w:val="7866F91C"/>
    <w:rsid w:val="786EF9F3"/>
    <w:rsid w:val="78723D36"/>
    <w:rsid w:val="7875E8A9"/>
    <w:rsid w:val="787D0F10"/>
    <w:rsid w:val="78954330"/>
    <w:rsid w:val="78B064F3"/>
    <w:rsid w:val="78B8D38D"/>
    <w:rsid w:val="78B8DF62"/>
    <w:rsid w:val="78BB5D66"/>
    <w:rsid w:val="78D000A2"/>
    <w:rsid w:val="78DBD1CC"/>
    <w:rsid w:val="78DCE0A4"/>
    <w:rsid w:val="7900E8A6"/>
    <w:rsid w:val="7959D668"/>
    <w:rsid w:val="795BC263"/>
    <w:rsid w:val="7971644B"/>
    <w:rsid w:val="7971A352"/>
    <w:rsid w:val="79CD1776"/>
    <w:rsid w:val="79DAA21C"/>
    <w:rsid w:val="7A0B198B"/>
    <w:rsid w:val="7A227978"/>
    <w:rsid w:val="7A4EB386"/>
    <w:rsid w:val="7A79ADF5"/>
    <w:rsid w:val="7A9C9FC7"/>
    <w:rsid w:val="7AAB8502"/>
    <w:rsid w:val="7AB30518"/>
    <w:rsid w:val="7AC03488"/>
    <w:rsid w:val="7B4C7748"/>
    <w:rsid w:val="7B8A0A6A"/>
    <w:rsid w:val="7B8ACCC0"/>
    <w:rsid w:val="7B91E3EA"/>
    <w:rsid w:val="7BAEEEC3"/>
    <w:rsid w:val="7BBAE1E1"/>
    <w:rsid w:val="7BCE6B48"/>
    <w:rsid w:val="7BDD4FCF"/>
    <w:rsid w:val="7BF2F8C8"/>
    <w:rsid w:val="7C117461"/>
    <w:rsid w:val="7C372E6E"/>
    <w:rsid w:val="7C410467"/>
    <w:rsid w:val="7C43A7C9"/>
    <w:rsid w:val="7C5796FE"/>
    <w:rsid w:val="7C5CCDD9"/>
    <w:rsid w:val="7C62D986"/>
    <w:rsid w:val="7C6F9013"/>
    <w:rsid w:val="7C9DA39C"/>
    <w:rsid w:val="7CAA9F8A"/>
    <w:rsid w:val="7CCD35C2"/>
    <w:rsid w:val="7CF08D4A"/>
    <w:rsid w:val="7D251946"/>
    <w:rsid w:val="7D2C2FB7"/>
    <w:rsid w:val="7D2D6F9A"/>
    <w:rsid w:val="7D4EFB69"/>
    <w:rsid w:val="7D52974A"/>
    <w:rsid w:val="7D577676"/>
    <w:rsid w:val="7D79E3BE"/>
    <w:rsid w:val="7D9DD8B9"/>
    <w:rsid w:val="7DBE0E7B"/>
    <w:rsid w:val="7DC90B82"/>
    <w:rsid w:val="7DDE41B6"/>
    <w:rsid w:val="7DF0D42E"/>
    <w:rsid w:val="7E364A37"/>
    <w:rsid w:val="7E5BA087"/>
    <w:rsid w:val="7E90D47A"/>
    <w:rsid w:val="7E98BE63"/>
    <w:rsid w:val="7EA6A7CB"/>
    <w:rsid w:val="7EB1906D"/>
    <w:rsid w:val="7EC56C77"/>
    <w:rsid w:val="7ED21214"/>
    <w:rsid w:val="7F085376"/>
    <w:rsid w:val="7F1337E0"/>
    <w:rsid w:val="7F2B303B"/>
    <w:rsid w:val="7F2DBE1C"/>
    <w:rsid w:val="7F44912C"/>
    <w:rsid w:val="7F4F09BD"/>
    <w:rsid w:val="7F5B5643"/>
    <w:rsid w:val="7F5BB72F"/>
    <w:rsid w:val="7F6CAD6D"/>
    <w:rsid w:val="7F75CE7A"/>
    <w:rsid w:val="7FA56095"/>
    <w:rsid w:val="7FA727D7"/>
    <w:rsid w:val="7FCBB0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C86B0"/>
  <w14:defaultImageDpi w14:val="330"/>
  <w15:docId w15:val="{2EFC034B-EA2E-4AB2-9F03-232268A9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D6"/>
    <w:pPr>
      <w:jc w:val="both"/>
    </w:pPr>
    <w:rPr>
      <w:lang w:val="fr-BE"/>
    </w:rPr>
  </w:style>
  <w:style w:type="paragraph" w:styleId="Titre1">
    <w:name w:val="heading 1"/>
    <w:basedOn w:val="Normal"/>
    <w:next w:val="Normal"/>
    <w:link w:val="Titre1Car"/>
    <w:qFormat/>
    <w:rsid w:val="00B2362D"/>
    <w:pPr>
      <w:keepNext/>
      <w:keepLines/>
      <w:numPr>
        <w:numId w:val="11"/>
      </w:numPr>
      <w:spacing w:before="480" w:after="0"/>
      <w:outlineLvl w:val="0"/>
    </w:pPr>
    <w:rPr>
      <w:rFonts w:eastAsiaTheme="majorEastAsia" w:cstheme="majorBidi"/>
      <w:b/>
      <w:bCs/>
      <w:sz w:val="32"/>
      <w:szCs w:val="28"/>
      <w:u w:val="single"/>
    </w:rPr>
  </w:style>
  <w:style w:type="paragraph" w:styleId="Titre2">
    <w:name w:val="heading 2"/>
    <w:basedOn w:val="Normal"/>
    <w:next w:val="Normal"/>
    <w:link w:val="Titre2Car"/>
    <w:unhideWhenUsed/>
    <w:qFormat/>
    <w:rsid w:val="00590C9A"/>
    <w:pPr>
      <w:keepNext/>
      <w:keepLines/>
      <w:numPr>
        <w:numId w:val="12"/>
      </w:numPr>
      <w:spacing w:before="200" w:after="0"/>
      <w:outlineLvl w:val="1"/>
    </w:pPr>
    <w:rPr>
      <w:rFonts w:eastAsiaTheme="majorEastAsia" w:cstheme="majorBidi"/>
      <w:b/>
      <w:bCs/>
      <w:sz w:val="28"/>
      <w:szCs w:val="26"/>
    </w:rPr>
  </w:style>
  <w:style w:type="paragraph" w:styleId="Titre3">
    <w:name w:val="heading 3"/>
    <w:basedOn w:val="Normal"/>
    <w:next w:val="Normal"/>
    <w:link w:val="Titre3Car"/>
    <w:uiPriority w:val="9"/>
    <w:unhideWhenUsed/>
    <w:qFormat/>
    <w:rsid w:val="00590C9A"/>
    <w:pPr>
      <w:keepNext/>
      <w:keepLines/>
      <w:numPr>
        <w:numId w:val="203"/>
      </w:numPr>
      <w:spacing w:before="200" w:after="0"/>
      <w:outlineLvl w:val="2"/>
    </w:pPr>
    <w:rPr>
      <w:rFonts w:eastAsiaTheme="majorEastAsia" w:cstheme="majorBidi"/>
      <w:b/>
      <w:bCs/>
      <w:i/>
      <w:u w:val="single"/>
    </w:rPr>
  </w:style>
  <w:style w:type="paragraph" w:styleId="Titre4">
    <w:name w:val="heading 4"/>
    <w:basedOn w:val="Normal"/>
    <w:next w:val="Normal"/>
    <w:link w:val="Titre4Car"/>
    <w:uiPriority w:val="9"/>
    <w:unhideWhenUsed/>
    <w:qFormat/>
    <w:rsid w:val="003010F2"/>
    <w:pPr>
      <w:keepNext/>
      <w:keepLines/>
      <w:spacing w:before="200" w:after="0"/>
      <w:outlineLvl w:val="3"/>
    </w:pPr>
    <w:rPr>
      <w:rFonts w:eastAsiaTheme="majorEastAsia" w:cstheme="majorBidi"/>
      <w:bCs/>
      <w:i/>
      <w:iCs/>
    </w:rPr>
  </w:style>
  <w:style w:type="paragraph" w:styleId="Titre5">
    <w:name w:val="heading 5"/>
    <w:basedOn w:val="Normal"/>
    <w:next w:val="Normal"/>
    <w:link w:val="Titre5C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link w:val="SansinterligneCar"/>
    <w:uiPriority w:val="1"/>
    <w:qFormat/>
    <w:rsid w:val="00FC693F"/>
    <w:pPr>
      <w:spacing w:after="0" w:line="240" w:lineRule="auto"/>
    </w:pPr>
  </w:style>
  <w:style w:type="character" w:customStyle="1" w:styleId="Titre1Car">
    <w:name w:val="Titre 1 Car"/>
    <w:basedOn w:val="Policepardfaut"/>
    <w:link w:val="Titre1"/>
    <w:rsid w:val="00B2362D"/>
    <w:rPr>
      <w:rFonts w:eastAsiaTheme="majorEastAsia" w:cstheme="majorBidi"/>
      <w:b/>
      <w:bCs/>
      <w:sz w:val="32"/>
      <w:szCs w:val="28"/>
      <w:u w:val="single"/>
      <w:lang w:val="fr-BE"/>
    </w:rPr>
  </w:style>
  <w:style w:type="character" w:customStyle="1" w:styleId="Titre2Car">
    <w:name w:val="Titre 2 Car"/>
    <w:basedOn w:val="Policepardfaut"/>
    <w:link w:val="Titre2"/>
    <w:rsid w:val="00590C9A"/>
    <w:rPr>
      <w:rFonts w:eastAsiaTheme="majorEastAsia" w:cstheme="majorBidi"/>
      <w:b/>
      <w:bCs/>
      <w:sz w:val="28"/>
      <w:szCs w:val="26"/>
      <w:lang w:val="fr-BE"/>
    </w:rPr>
  </w:style>
  <w:style w:type="character" w:customStyle="1" w:styleId="Titre3Car">
    <w:name w:val="Titre 3 Car"/>
    <w:basedOn w:val="Policepardfaut"/>
    <w:link w:val="Titre3"/>
    <w:uiPriority w:val="9"/>
    <w:rsid w:val="00590C9A"/>
    <w:rPr>
      <w:rFonts w:eastAsiaTheme="majorEastAsia" w:cstheme="majorBidi"/>
      <w:b/>
      <w:bCs/>
      <w:i/>
      <w:u w:val="single"/>
      <w:lang w:val="fr-BE"/>
    </w:rPr>
  </w:style>
  <w:style w:type="paragraph" w:styleId="Titre">
    <w:name w:val="Title"/>
    <w:basedOn w:val="Normal"/>
    <w:next w:val="Normal"/>
    <w:link w:val="TitreCar"/>
    <w:autoRedefine/>
    <w:qFormat/>
    <w:rsid w:val="00806CFB"/>
    <w:pPr>
      <w:pBdr>
        <w:bottom w:val="single" w:sz="8" w:space="4" w:color="4F81BD" w:themeColor="accent1"/>
      </w:pBdr>
      <w:spacing w:after="300" w:line="240" w:lineRule="auto"/>
      <w:contextualSpacing/>
      <w:jc w:val="center"/>
    </w:pPr>
    <w:rPr>
      <w:rFonts w:eastAsiaTheme="majorEastAsia" w:cstheme="majorBidi"/>
      <w:spacing w:val="5"/>
      <w:kern w:val="28"/>
      <w:sz w:val="144"/>
      <w:szCs w:val="144"/>
      <w:u w:val="single"/>
    </w:rPr>
  </w:style>
  <w:style w:type="character" w:customStyle="1" w:styleId="TitreCar">
    <w:name w:val="Titre Car"/>
    <w:basedOn w:val="Policepardfaut"/>
    <w:link w:val="Titre"/>
    <w:rsid w:val="00806CFB"/>
    <w:rPr>
      <w:rFonts w:eastAsiaTheme="majorEastAsia" w:cstheme="majorBidi"/>
      <w:spacing w:val="5"/>
      <w:kern w:val="28"/>
      <w:sz w:val="144"/>
      <w:szCs w:val="144"/>
      <w:u w:val="single"/>
      <w:lang w:val="fr-BE"/>
    </w:rPr>
  </w:style>
  <w:style w:type="paragraph" w:styleId="Sous-titre">
    <w:name w:val="Subtitle"/>
    <w:basedOn w:val="Normal"/>
    <w:next w:val="Normal"/>
    <w:link w:val="Sous-titreCar"/>
    <w:qFormat/>
    <w:rsid w:val="00097CFB"/>
    <w:pPr>
      <w:numPr>
        <w:ilvl w:val="1"/>
      </w:numPr>
    </w:pPr>
    <w:rPr>
      <w:rFonts w:asciiTheme="majorHAnsi" w:eastAsiaTheme="majorEastAsia" w:hAnsiTheme="majorHAnsi" w:cstheme="majorBidi"/>
      <w:i/>
      <w:iCs/>
      <w:spacing w:val="15"/>
      <w:szCs w:val="24"/>
      <w:u w:val="single"/>
    </w:rPr>
  </w:style>
  <w:style w:type="character" w:customStyle="1" w:styleId="Sous-titreCar">
    <w:name w:val="Sous-titre Car"/>
    <w:basedOn w:val="Policepardfaut"/>
    <w:link w:val="Sous-titre"/>
    <w:rsid w:val="00097CFB"/>
    <w:rPr>
      <w:rFonts w:asciiTheme="majorHAnsi" w:eastAsiaTheme="majorEastAsia" w:hAnsiTheme="majorHAnsi" w:cstheme="majorBidi"/>
      <w:i/>
      <w:iCs/>
      <w:spacing w:val="15"/>
      <w:szCs w:val="24"/>
      <w:u w:val="single"/>
    </w:rPr>
  </w:style>
  <w:style w:type="paragraph" w:styleId="Paragraphedeliste">
    <w:name w:val="List Paragraph"/>
    <w:aliases w:val="Paragraphe + puce,Lettre d'introduction,liste à numéros,Puce tiret"/>
    <w:basedOn w:val="Normal"/>
    <w:link w:val="ParagraphedelisteCar"/>
    <w:uiPriority w:val="34"/>
    <w:qFormat/>
    <w:rsid w:val="00FC693F"/>
    <w:pPr>
      <w:ind w:left="720"/>
      <w:contextualSpacing/>
    </w:pPr>
  </w:style>
  <w:style w:type="paragraph" w:styleId="Corpsdetexte">
    <w:name w:val="Body Text"/>
    <w:basedOn w:val="Normal"/>
    <w:link w:val="CorpsdetexteCar"/>
    <w:unhideWhenUsed/>
    <w:rsid w:val="00AA1D8D"/>
    <w:pPr>
      <w:spacing w:after="120"/>
    </w:pPr>
  </w:style>
  <w:style w:type="character" w:customStyle="1" w:styleId="CorpsdetexteCar">
    <w:name w:val="Corps de texte Car"/>
    <w:basedOn w:val="Policepardfaut"/>
    <w:link w:val="Corpsdetexte"/>
    <w:rsid w:val="00AA1D8D"/>
  </w:style>
  <w:style w:type="paragraph" w:styleId="Corpsdetexte2">
    <w:name w:val="Body Text 2"/>
    <w:basedOn w:val="Normal"/>
    <w:link w:val="Corpsdetexte2Car"/>
    <w:unhideWhenUsed/>
    <w:rsid w:val="00AA1D8D"/>
    <w:pPr>
      <w:spacing w:after="120" w:line="480" w:lineRule="auto"/>
    </w:pPr>
  </w:style>
  <w:style w:type="character" w:customStyle="1" w:styleId="Corpsdetexte2Car">
    <w:name w:val="Corps de texte 2 Car"/>
    <w:basedOn w:val="Policepardfaut"/>
    <w:link w:val="Corpsdetexte2"/>
    <w:rsid w:val="00AA1D8D"/>
  </w:style>
  <w:style w:type="paragraph" w:styleId="Corpsdetexte3">
    <w:name w:val="Body Text 3"/>
    <w:basedOn w:val="Normal"/>
    <w:link w:val="Corpsdetexte3Car"/>
    <w:unhideWhenUsed/>
    <w:rsid w:val="00AA1D8D"/>
    <w:pPr>
      <w:spacing w:after="120"/>
    </w:pPr>
    <w:rPr>
      <w:sz w:val="16"/>
      <w:szCs w:val="16"/>
    </w:rPr>
  </w:style>
  <w:style w:type="character" w:customStyle="1" w:styleId="Corpsdetexte3Car">
    <w:name w:val="Corps de texte 3 Car"/>
    <w:basedOn w:val="Policepardfaut"/>
    <w:link w:val="Corpsdetexte3"/>
    <w:rsid w:val="00AA1D8D"/>
    <w:rPr>
      <w:sz w:val="16"/>
      <w:szCs w:val="16"/>
    </w:rPr>
  </w:style>
  <w:style w:type="paragraph" w:styleId="Liste">
    <w:name w:val="List"/>
    <w:basedOn w:val="Normal"/>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2"/>
      </w:numPr>
      <w:contextualSpacing/>
    </w:pPr>
  </w:style>
  <w:style w:type="paragraph" w:styleId="Listepuces2">
    <w:name w:val="List Bullet 2"/>
    <w:basedOn w:val="Normal"/>
    <w:uiPriority w:val="99"/>
    <w:unhideWhenUsed/>
    <w:rsid w:val="00326F90"/>
    <w:pPr>
      <w:tabs>
        <w:tab w:val="num" w:pos="720"/>
      </w:tabs>
      <w:ind w:left="720" w:hanging="360"/>
      <w:contextualSpacing/>
    </w:pPr>
  </w:style>
  <w:style w:type="paragraph" w:styleId="Listepuces3">
    <w:name w:val="List Bullet 3"/>
    <w:basedOn w:val="Normal"/>
    <w:uiPriority w:val="99"/>
    <w:unhideWhenUsed/>
    <w:rsid w:val="00326F90"/>
    <w:pPr>
      <w:numPr>
        <w:numId w:val="4"/>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tabs>
        <w:tab w:val="clear" w:pos="720"/>
        <w:tab w:val="num" w:pos="360"/>
      </w:tabs>
      <w:ind w:left="0" w:firstLine="0"/>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rsid w:val="003010F2"/>
    <w:rPr>
      <w:rFonts w:eastAsiaTheme="majorEastAsia" w:cstheme="majorBidi"/>
      <w:bCs/>
      <w:i/>
      <w:iCs/>
      <w:lang w:val="fr-BE"/>
    </w:rPr>
  </w:style>
  <w:style w:type="character" w:customStyle="1" w:styleId="Titre5Car">
    <w:name w:val="Titre 5 Car"/>
    <w:basedOn w:val="Policepardfaut"/>
    <w:link w:val="Titre5"/>
    <w:uiPriority w:val="9"/>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am1">
    <w:name w:val="Sam 1"/>
    <w:basedOn w:val="Normal"/>
    <w:link w:val="Sam1Car"/>
    <w:qFormat/>
    <w:rsid w:val="003675B5"/>
    <w:pPr>
      <w:numPr>
        <w:numId w:val="8"/>
      </w:numPr>
      <w:spacing w:before="240" w:after="240" w:line="240" w:lineRule="auto"/>
      <w:jc w:val="center"/>
    </w:pPr>
    <w:rPr>
      <w:rFonts w:ascii="Calibri" w:eastAsia="Times New Roman" w:hAnsi="Calibri" w:cs="Times New Roman"/>
      <w:b/>
      <w:i/>
      <w:sz w:val="32"/>
      <w:szCs w:val="26"/>
      <w:u w:val="single"/>
      <w:lang w:eastAsia="fr-FR"/>
    </w:rPr>
  </w:style>
  <w:style w:type="paragraph" w:customStyle="1" w:styleId="Sam2">
    <w:name w:val="Sam 2"/>
    <w:basedOn w:val="Sam1"/>
    <w:link w:val="Sam2Car"/>
    <w:qFormat/>
    <w:rsid w:val="003675B5"/>
    <w:pPr>
      <w:numPr>
        <w:ilvl w:val="1"/>
      </w:numPr>
      <w:jc w:val="left"/>
    </w:pPr>
    <w:rPr>
      <w:i w:val="0"/>
      <w:sz w:val="28"/>
    </w:rPr>
  </w:style>
  <w:style w:type="paragraph" w:customStyle="1" w:styleId="Sam4">
    <w:name w:val="Sam 4"/>
    <w:autoRedefine/>
    <w:qFormat/>
    <w:rsid w:val="00A978E6"/>
    <w:pPr>
      <w:numPr>
        <w:ilvl w:val="2"/>
        <w:numId w:val="8"/>
      </w:numPr>
      <w:spacing w:after="120" w:line="240" w:lineRule="auto"/>
      <w:ind w:hanging="425"/>
    </w:pPr>
    <w:rPr>
      <w:rFonts w:ascii="Calibri" w:eastAsia="Times New Roman" w:hAnsi="Calibri" w:cs="Times New Roman"/>
      <w:i/>
      <w:sz w:val="24"/>
      <w:szCs w:val="24"/>
      <w:u w:val="single"/>
      <w:lang w:val="fr-BE" w:eastAsia="fr-FR"/>
    </w:rPr>
  </w:style>
  <w:style w:type="character" w:customStyle="1" w:styleId="Sam2Car">
    <w:name w:val="Sam 2 Car"/>
    <w:basedOn w:val="Policepardfaut"/>
    <w:link w:val="Sam2"/>
    <w:rsid w:val="003675B5"/>
    <w:rPr>
      <w:rFonts w:ascii="Calibri" w:eastAsia="Times New Roman" w:hAnsi="Calibri" w:cs="Times New Roman"/>
      <w:b/>
      <w:sz w:val="28"/>
      <w:szCs w:val="26"/>
      <w:u w:val="single"/>
      <w:lang w:val="fr-BE" w:eastAsia="fr-FR"/>
    </w:rPr>
  </w:style>
  <w:style w:type="character" w:customStyle="1" w:styleId="ParagraphedelisteCar">
    <w:name w:val="Paragraphe de liste Car"/>
    <w:aliases w:val="Paragraphe + puce Car,Lettre d'introduction Car,liste à numéros Car,Puce tiret Car"/>
    <w:link w:val="Paragraphedeliste"/>
    <w:uiPriority w:val="34"/>
    <w:rsid w:val="00B82AAE"/>
    <w:rPr>
      <w:lang w:val="fr-BE"/>
    </w:rPr>
  </w:style>
  <w:style w:type="paragraph" w:customStyle="1" w:styleId="3">
    <w:name w:val="3"/>
    <w:basedOn w:val="Titre3"/>
    <w:link w:val="3Car"/>
    <w:qFormat/>
    <w:rsid w:val="00EC11CF"/>
    <w:pPr>
      <w:keepLines w:val="0"/>
      <w:numPr>
        <w:numId w:val="10"/>
      </w:numPr>
      <w:spacing w:before="240" w:after="200" w:line="240" w:lineRule="auto"/>
    </w:pPr>
    <w:rPr>
      <w:rFonts w:ascii="Calibri" w:eastAsia="Times New Roman" w:hAnsi="Calibri" w:cs="Times New Roman"/>
      <w:bCs w:val="0"/>
      <w:i w:val="0"/>
      <w:color w:val="365F91" w:themeColor="accent1" w:themeShade="BF"/>
      <w:sz w:val="24"/>
      <w:szCs w:val="20"/>
      <w:lang w:val="fr-FR" w:eastAsia="zh-CN"/>
    </w:rPr>
  </w:style>
  <w:style w:type="character" w:customStyle="1" w:styleId="3Car">
    <w:name w:val="3 Car"/>
    <w:basedOn w:val="Titre3Car"/>
    <w:link w:val="3"/>
    <w:rsid w:val="00EC11CF"/>
    <w:rPr>
      <w:rFonts w:ascii="Calibri" w:eastAsia="Times New Roman" w:hAnsi="Calibri" w:cs="Times New Roman"/>
      <w:b/>
      <w:bCs w:val="0"/>
      <w:i w:val="0"/>
      <w:color w:val="365F91" w:themeColor="accent1" w:themeShade="BF"/>
      <w:sz w:val="24"/>
      <w:szCs w:val="20"/>
      <w:u w:val="single"/>
      <w:lang w:val="fr-FR" w:eastAsia="zh-CN"/>
    </w:rPr>
  </w:style>
  <w:style w:type="paragraph" w:styleId="TM1">
    <w:name w:val="toc 1"/>
    <w:basedOn w:val="Normal"/>
    <w:next w:val="Normal"/>
    <w:autoRedefine/>
    <w:uiPriority w:val="39"/>
    <w:unhideWhenUsed/>
    <w:rsid w:val="005E5A38"/>
    <w:pPr>
      <w:tabs>
        <w:tab w:val="left" w:pos="435"/>
        <w:tab w:val="right" w:leader="dot" w:pos="8625"/>
      </w:tabs>
      <w:spacing w:after="100"/>
    </w:pPr>
    <w:rPr>
      <w:b/>
      <w:bCs/>
      <w:noProof/>
      <w:kern w:val="2"/>
      <w:sz w:val="24"/>
      <w:szCs w:val="24"/>
      <w:lang w:eastAsia="fr-BE"/>
      <w14:ligatures w14:val="standardContextual"/>
    </w:rPr>
  </w:style>
  <w:style w:type="paragraph" w:styleId="TM2">
    <w:name w:val="toc 2"/>
    <w:basedOn w:val="Normal"/>
    <w:next w:val="Normal"/>
    <w:autoRedefine/>
    <w:uiPriority w:val="39"/>
    <w:unhideWhenUsed/>
    <w:rsid w:val="00B45688"/>
    <w:pPr>
      <w:spacing w:after="100"/>
      <w:ind w:left="220"/>
    </w:pPr>
  </w:style>
  <w:style w:type="paragraph" w:styleId="TM3">
    <w:name w:val="toc 3"/>
    <w:basedOn w:val="Normal"/>
    <w:next w:val="Normal"/>
    <w:autoRedefine/>
    <w:uiPriority w:val="39"/>
    <w:unhideWhenUsed/>
    <w:rsid w:val="00B45688"/>
    <w:pPr>
      <w:spacing w:after="100"/>
      <w:ind w:left="440"/>
    </w:pPr>
  </w:style>
  <w:style w:type="character" w:styleId="Lienhypertexte">
    <w:name w:val="Hyperlink"/>
    <w:basedOn w:val="Policepardfaut"/>
    <w:uiPriority w:val="99"/>
    <w:unhideWhenUsed/>
    <w:rsid w:val="00B45688"/>
    <w:rPr>
      <w:color w:val="0000FF" w:themeColor="hyperlink"/>
      <w:u w:val="single"/>
    </w:rPr>
  </w:style>
  <w:style w:type="paragraph" w:styleId="TM4">
    <w:name w:val="toc 4"/>
    <w:basedOn w:val="Normal"/>
    <w:next w:val="Normal"/>
    <w:autoRedefine/>
    <w:uiPriority w:val="39"/>
    <w:unhideWhenUsed/>
    <w:rsid w:val="002F7BD6"/>
    <w:pPr>
      <w:spacing w:after="100" w:line="278" w:lineRule="auto"/>
      <w:ind w:left="720"/>
    </w:pPr>
    <w:rPr>
      <w:kern w:val="2"/>
      <w:sz w:val="24"/>
      <w:szCs w:val="24"/>
      <w:lang w:eastAsia="fr-BE"/>
      <w14:ligatures w14:val="standardContextual"/>
    </w:rPr>
  </w:style>
  <w:style w:type="paragraph" w:styleId="TM5">
    <w:name w:val="toc 5"/>
    <w:basedOn w:val="Normal"/>
    <w:next w:val="Normal"/>
    <w:autoRedefine/>
    <w:uiPriority w:val="39"/>
    <w:unhideWhenUsed/>
    <w:rsid w:val="002F7BD6"/>
    <w:pPr>
      <w:spacing w:after="100" w:line="278" w:lineRule="auto"/>
      <w:ind w:left="960"/>
    </w:pPr>
    <w:rPr>
      <w:kern w:val="2"/>
      <w:sz w:val="24"/>
      <w:szCs w:val="24"/>
      <w:lang w:eastAsia="fr-BE"/>
      <w14:ligatures w14:val="standardContextual"/>
    </w:rPr>
  </w:style>
  <w:style w:type="paragraph" w:styleId="TM6">
    <w:name w:val="toc 6"/>
    <w:basedOn w:val="Normal"/>
    <w:next w:val="Normal"/>
    <w:autoRedefine/>
    <w:uiPriority w:val="39"/>
    <w:unhideWhenUsed/>
    <w:rsid w:val="002F7BD6"/>
    <w:pPr>
      <w:spacing w:after="100" w:line="278" w:lineRule="auto"/>
      <w:ind w:left="1200"/>
    </w:pPr>
    <w:rPr>
      <w:kern w:val="2"/>
      <w:sz w:val="24"/>
      <w:szCs w:val="24"/>
      <w:lang w:eastAsia="fr-BE"/>
      <w14:ligatures w14:val="standardContextual"/>
    </w:rPr>
  </w:style>
  <w:style w:type="paragraph" w:styleId="TM7">
    <w:name w:val="toc 7"/>
    <w:basedOn w:val="Normal"/>
    <w:next w:val="Normal"/>
    <w:autoRedefine/>
    <w:uiPriority w:val="39"/>
    <w:unhideWhenUsed/>
    <w:rsid w:val="002F7BD6"/>
    <w:pPr>
      <w:spacing w:after="100" w:line="278" w:lineRule="auto"/>
      <w:ind w:left="1440"/>
    </w:pPr>
    <w:rPr>
      <w:kern w:val="2"/>
      <w:sz w:val="24"/>
      <w:szCs w:val="24"/>
      <w:lang w:eastAsia="fr-BE"/>
      <w14:ligatures w14:val="standardContextual"/>
    </w:rPr>
  </w:style>
  <w:style w:type="paragraph" w:styleId="TM8">
    <w:name w:val="toc 8"/>
    <w:basedOn w:val="Normal"/>
    <w:next w:val="Normal"/>
    <w:autoRedefine/>
    <w:uiPriority w:val="39"/>
    <w:unhideWhenUsed/>
    <w:rsid w:val="002F7BD6"/>
    <w:pPr>
      <w:spacing w:after="100" w:line="278" w:lineRule="auto"/>
      <w:ind w:left="1680"/>
    </w:pPr>
    <w:rPr>
      <w:kern w:val="2"/>
      <w:sz w:val="24"/>
      <w:szCs w:val="24"/>
      <w:lang w:eastAsia="fr-BE"/>
      <w14:ligatures w14:val="standardContextual"/>
    </w:rPr>
  </w:style>
  <w:style w:type="paragraph" w:styleId="TM9">
    <w:name w:val="toc 9"/>
    <w:basedOn w:val="Normal"/>
    <w:next w:val="Normal"/>
    <w:autoRedefine/>
    <w:uiPriority w:val="39"/>
    <w:unhideWhenUsed/>
    <w:rsid w:val="002F7BD6"/>
    <w:pPr>
      <w:spacing w:after="100" w:line="278" w:lineRule="auto"/>
      <w:ind w:left="1920"/>
    </w:pPr>
    <w:rPr>
      <w:kern w:val="2"/>
      <w:sz w:val="24"/>
      <w:szCs w:val="24"/>
      <w:lang w:eastAsia="fr-BE"/>
      <w14:ligatures w14:val="standardContextual"/>
    </w:rPr>
  </w:style>
  <w:style w:type="character" w:styleId="Mentionnonrsolue">
    <w:name w:val="Unresolved Mention"/>
    <w:basedOn w:val="Policepardfaut"/>
    <w:uiPriority w:val="99"/>
    <w:semiHidden/>
    <w:unhideWhenUsed/>
    <w:rsid w:val="002F7BD6"/>
    <w:rPr>
      <w:color w:val="605E5C"/>
      <w:shd w:val="clear" w:color="auto" w:fill="E1DFDD"/>
    </w:rPr>
  </w:style>
  <w:style w:type="paragraph" w:customStyle="1" w:styleId="WW-Standard">
    <w:name w:val="WW-Standard"/>
    <w:rsid w:val="002A6554"/>
    <w:pPr>
      <w:suppressAutoHyphens/>
      <w:spacing w:before="120" w:after="0" w:line="240" w:lineRule="auto"/>
      <w:jc w:val="both"/>
    </w:pPr>
    <w:rPr>
      <w:rFonts w:ascii="Times New Roman" w:eastAsia="Arial" w:hAnsi="Times New Roman" w:cs="Times New Roman"/>
      <w:kern w:val="1"/>
      <w:sz w:val="24"/>
      <w:szCs w:val="24"/>
      <w:lang w:val="fr-FR" w:eastAsia="zh-CN"/>
    </w:rPr>
  </w:style>
  <w:style w:type="paragraph" w:styleId="Notedebasdepage">
    <w:name w:val="footnote text"/>
    <w:basedOn w:val="Normal"/>
    <w:link w:val="NotedebasdepageCar"/>
    <w:uiPriority w:val="99"/>
    <w:unhideWhenUsed/>
    <w:rsid w:val="002503F4"/>
    <w:pPr>
      <w:spacing w:after="0" w:line="240" w:lineRule="auto"/>
    </w:pPr>
    <w:rPr>
      <w:sz w:val="20"/>
      <w:szCs w:val="20"/>
    </w:rPr>
  </w:style>
  <w:style w:type="character" w:customStyle="1" w:styleId="NotedebasdepageCar">
    <w:name w:val="Note de bas de page Car"/>
    <w:basedOn w:val="Policepardfaut"/>
    <w:link w:val="Notedebasdepage"/>
    <w:uiPriority w:val="99"/>
    <w:rsid w:val="002503F4"/>
    <w:rPr>
      <w:sz w:val="20"/>
      <w:szCs w:val="20"/>
      <w:lang w:val="fr-BE"/>
    </w:rPr>
  </w:style>
  <w:style w:type="character" w:styleId="Appelnotedebasdep">
    <w:name w:val="footnote reference"/>
    <w:basedOn w:val="Policepardfaut"/>
    <w:uiPriority w:val="99"/>
    <w:unhideWhenUsed/>
    <w:rsid w:val="002503F4"/>
    <w:rPr>
      <w:vertAlign w:val="superscript"/>
    </w:rPr>
  </w:style>
  <w:style w:type="paragraph" w:styleId="Retraitcorpsdetexte2">
    <w:name w:val="Body Text Indent 2"/>
    <w:basedOn w:val="Normal"/>
    <w:link w:val="Retraitcorpsdetexte2Car"/>
    <w:rsid w:val="00795C3E"/>
    <w:pPr>
      <w:spacing w:after="120" w:line="480" w:lineRule="auto"/>
      <w:ind w:left="283"/>
    </w:pPr>
    <w:rPr>
      <w:rFonts w:ascii="Calibri" w:eastAsia="Times New Roman" w:hAnsi="Calibri" w:cs="Times New Roman"/>
      <w:sz w:val="24"/>
      <w:szCs w:val="24"/>
      <w:lang w:val="fr-FR" w:eastAsia="fr-FR"/>
    </w:rPr>
  </w:style>
  <w:style w:type="character" w:customStyle="1" w:styleId="Retraitcorpsdetexte2Car">
    <w:name w:val="Retrait corps de texte 2 Car"/>
    <w:basedOn w:val="Policepardfaut"/>
    <w:link w:val="Retraitcorpsdetexte2"/>
    <w:rsid w:val="00795C3E"/>
    <w:rPr>
      <w:rFonts w:ascii="Calibri" w:eastAsia="Times New Roman" w:hAnsi="Calibri" w:cs="Times New Roman"/>
      <w:sz w:val="24"/>
      <w:szCs w:val="24"/>
      <w:lang w:val="fr-FR" w:eastAsia="fr-FR"/>
    </w:rPr>
  </w:style>
  <w:style w:type="paragraph" w:styleId="Retraitcorpsdetexte3">
    <w:name w:val="Body Text Indent 3"/>
    <w:basedOn w:val="Normal"/>
    <w:link w:val="Retraitcorpsdetexte3Car"/>
    <w:rsid w:val="00795C3E"/>
    <w:pPr>
      <w:spacing w:after="120" w:line="240" w:lineRule="auto"/>
      <w:ind w:left="283"/>
    </w:pPr>
    <w:rPr>
      <w:rFonts w:ascii="Calibri" w:eastAsia="Times New Roman" w:hAnsi="Calibri" w:cs="Times New Roman"/>
      <w:sz w:val="16"/>
      <w:szCs w:val="16"/>
      <w:lang w:val="fr-FR" w:eastAsia="fr-FR"/>
    </w:rPr>
  </w:style>
  <w:style w:type="character" w:customStyle="1" w:styleId="Retraitcorpsdetexte3Car">
    <w:name w:val="Retrait corps de texte 3 Car"/>
    <w:basedOn w:val="Policepardfaut"/>
    <w:link w:val="Retraitcorpsdetexte3"/>
    <w:rsid w:val="00795C3E"/>
    <w:rPr>
      <w:rFonts w:ascii="Calibri" w:eastAsia="Times New Roman" w:hAnsi="Calibri" w:cs="Times New Roman"/>
      <w:sz w:val="16"/>
      <w:szCs w:val="16"/>
      <w:lang w:val="fr-FR" w:eastAsia="fr-FR"/>
    </w:rPr>
  </w:style>
  <w:style w:type="paragraph" w:styleId="Textedebulles">
    <w:name w:val="Balloon Text"/>
    <w:basedOn w:val="Normal"/>
    <w:link w:val="TextedebullesCar"/>
    <w:unhideWhenUsed/>
    <w:rsid w:val="00795C3E"/>
    <w:pPr>
      <w:spacing w:after="120" w:line="240" w:lineRule="auto"/>
    </w:pPr>
    <w:rPr>
      <w:rFonts w:ascii="Tahoma" w:eastAsia="Times New Roman" w:hAnsi="Tahoma" w:cs="Tahoma"/>
      <w:sz w:val="16"/>
      <w:szCs w:val="16"/>
      <w:lang w:val="fr-FR" w:eastAsia="fr-FR"/>
    </w:rPr>
  </w:style>
  <w:style w:type="character" w:customStyle="1" w:styleId="TextedebullesCar">
    <w:name w:val="Texte de bulles Car"/>
    <w:basedOn w:val="Policepardfaut"/>
    <w:link w:val="Textedebulles"/>
    <w:rsid w:val="00795C3E"/>
    <w:rPr>
      <w:rFonts w:ascii="Tahoma" w:eastAsia="Times New Roman" w:hAnsi="Tahoma" w:cs="Tahoma"/>
      <w:sz w:val="16"/>
      <w:szCs w:val="16"/>
      <w:lang w:val="fr-FR" w:eastAsia="fr-FR"/>
    </w:rPr>
  </w:style>
  <w:style w:type="paragraph" w:customStyle="1" w:styleId="Sam3">
    <w:name w:val="Sam 3"/>
    <w:basedOn w:val="Sam2"/>
    <w:link w:val="Sam3Car"/>
    <w:autoRedefine/>
    <w:qFormat/>
    <w:rsid w:val="009E3799"/>
    <w:pPr>
      <w:numPr>
        <w:ilvl w:val="0"/>
        <w:numId w:val="0"/>
      </w:numPr>
      <w:spacing w:before="120" w:after="120"/>
      <w:jc w:val="both"/>
    </w:pPr>
    <w:rPr>
      <w:rFonts w:asciiTheme="minorHAnsi" w:eastAsiaTheme="minorEastAsia" w:hAnsiTheme="minorHAnsi" w:cs="Calibri Light"/>
      <w:b w:val="0"/>
      <w:spacing w:val="-2"/>
      <w:sz w:val="22"/>
      <w:szCs w:val="22"/>
      <w:lang w:eastAsia="en-US"/>
    </w:rPr>
  </w:style>
  <w:style w:type="paragraph" w:customStyle="1" w:styleId="Sam5">
    <w:name w:val="Sam 5"/>
    <w:basedOn w:val="Sam3"/>
    <w:autoRedefine/>
    <w:qFormat/>
    <w:rsid w:val="00795C3E"/>
    <w:pPr>
      <w:numPr>
        <w:numId w:val="38"/>
      </w:numPr>
      <w:tabs>
        <w:tab w:val="num" w:pos="360"/>
      </w:tabs>
      <w:ind w:left="709" w:firstLine="0"/>
    </w:pPr>
    <w:rPr>
      <w:bCs/>
    </w:rPr>
  </w:style>
  <w:style w:type="character" w:customStyle="1" w:styleId="Sam1Car">
    <w:name w:val="Sam 1 Car"/>
    <w:basedOn w:val="Policepardfaut"/>
    <w:link w:val="Sam1"/>
    <w:rsid w:val="00795C3E"/>
    <w:rPr>
      <w:rFonts w:ascii="Calibri" w:eastAsia="Times New Roman" w:hAnsi="Calibri" w:cs="Times New Roman"/>
      <w:b/>
      <w:i/>
      <w:sz w:val="32"/>
      <w:szCs w:val="26"/>
      <w:u w:val="single"/>
      <w:lang w:val="fr-BE" w:eastAsia="fr-FR"/>
    </w:rPr>
  </w:style>
  <w:style w:type="paragraph" w:customStyle="1" w:styleId="Style1">
    <w:name w:val="Style1"/>
    <w:basedOn w:val="Normal"/>
    <w:link w:val="Style1Car"/>
    <w:qFormat/>
    <w:rsid w:val="00795C3E"/>
    <w:pPr>
      <w:spacing w:after="120" w:line="240" w:lineRule="auto"/>
      <w:ind w:left="1080" w:hanging="720"/>
    </w:pPr>
    <w:rPr>
      <w:rFonts w:ascii="Arial" w:eastAsia="Calibri" w:hAnsi="Arial" w:cs="Times New Roman"/>
      <w:b/>
      <w:i/>
      <w:sz w:val="24"/>
      <w:szCs w:val="24"/>
      <w:u w:val="single"/>
      <w:lang w:eastAsia="fr-FR"/>
    </w:rPr>
  </w:style>
  <w:style w:type="character" w:customStyle="1" w:styleId="Style1Car">
    <w:name w:val="Style1 Car"/>
    <w:basedOn w:val="Policepardfaut"/>
    <w:link w:val="Style1"/>
    <w:rsid w:val="00795C3E"/>
    <w:rPr>
      <w:rFonts w:ascii="Arial" w:eastAsia="Calibri" w:hAnsi="Arial" w:cs="Times New Roman"/>
      <w:b/>
      <w:i/>
      <w:sz w:val="24"/>
      <w:szCs w:val="24"/>
      <w:u w:val="single"/>
      <w:lang w:val="fr-BE" w:eastAsia="fr-FR"/>
    </w:rPr>
  </w:style>
  <w:style w:type="paragraph" w:customStyle="1" w:styleId="Titre11">
    <w:name w:val="Titre 11"/>
    <w:basedOn w:val="WW-Standard"/>
    <w:next w:val="Normal"/>
    <w:rsid w:val="00795C3E"/>
    <w:pPr>
      <w:keepNext/>
      <w:numPr>
        <w:numId w:val="15"/>
      </w:numPr>
      <w:tabs>
        <w:tab w:val="left" w:pos="792"/>
      </w:tabs>
      <w:spacing w:before="240" w:after="240"/>
      <w:ind w:left="720"/>
      <w:jc w:val="center"/>
      <w:outlineLvl w:val="0"/>
    </w:pPr>
    <w:rPr>
      <w:b/>
      <w:caps/>
    </w:rPr>
  </w:style>
  <w:style w:type="paragraph" w:customStyle="1" w:styleId="Titre21">
    <w:name w:val="Titre 21"/>
    <w:next w:val="Normal"/>
    <w:rsid w:val="00795C3E"/>
    <w:pPr>
      <w:widowControl w:val="0"/>
      <w:numPr>
        <w:ilvl w:val="1"/>
        <w:numId w:val="15"/>
      </w:numPr>
      <w:tabs>
        <w:tab w:val="clear" w:pos="0"/>
      </w:tabs>
      <w:suppressAutoHyphens/>
      <w:spacing w:before="120" w:after="120" w:line="240" w:lineRule="auto"/>
      <w:jc w:val="both"/>
      <w:outlineLvl w:val="1"/>
    </w:pPr>
    <w:rPr>
      <w:rFonts w:ascii="Times New Roman" w:eastAsia="Arial" w:hAnsi="Times New Roman" w:cs="Times New Roman"/>
      <w:caps/>
      <w:kern w:val="1"/>
      <w:sz w:val="20"/>
      <w:szCs w:val="20"/>
      <w:u w:val="single"/>
      <w:lang w:val="fr-BE" w:eastAsia="zh-CN"/>
    </w:rPr>
  </w:style>
  <w:style w:type="paragraph" w:customStyle="1" w:styleId="Titre51">
    <w:name w:val="Titre 51"/>
    <w:basedOn w:val="WW-Standard"/>
    <w:next w:val="Normal"/>
    <w:rsid w:val="00795C3E"/>
    <w:pPr>
      <w:numPr>
        <w:ilvl w:val="4"/>
        <w:numId w:val="15"/>
      </w:numPr>
      <w:tabs>
        <w:tab w:val="clear" w:pos="0"/>
      </w:tabs>
      <w:spacing w:before="360"/>
      <w:outlineLvl w:val="4"/>
    </w:pPr>
    <w:rPr>
      <w:b/>
    </w:rPr>
  </w:style>
  <w:style w:type="paragraph" w:customStyle="1" w:styleId="Titre61">
    <w:name w:val="Titre 61"/>
    <w:basedOn w:val="WW-Standard"/>
    <w:next w:val="Normal"/>
    <w:rsid w:val="00795C3E"/>
    <w:pPr>
      <w:keepNext/>
      <w:numPr>
        <w:ilvl w:val="5"/>
        <w:numId w:val="15"/>
      </w:numPr>
      <w:tabs>
        <w:tab w:val="clear" w:pos="0"/>
      </w:tabs>
      <w:outlineLvl w:val="5"/>
    </w:pPr>
    <w:rPr>
      <w:rFonts w:ascii="Arial" w:hAnsi="Arial"/>
    </w:rPr>
  </w:style>
  <w:style w:type="paragraph" w:customStyle="1" w:styleId="Titre71">
    <w:name w:val="Titre 71"/>
    <w:basedOn w:val="WW-Standard"/>
    <w:next w:val="Normal"/>
    <w:rsid w:val="00795C3E"/>
    <w:pPr>
      <w:keepNext/>
      <w:numPr>
        <w:ilvl w:val="6"/>
        <w:numId w:val="15"/>
      </w:numPr>
      <w:tabs>
        <w:tab w:val="clear" w:pos="0"/>
      </w:tabs>
      <w:outlineLvl w:val="6"/>
    </w:pPr>
    <w:rPr>
      <w:rFonts w:ascii="Arial" w:hAnsi="Arial"/>
      <w:u w:val="single"/>
    </w:rPr>
  </w:style>
  <w:style w:type="paragraph" w:customStyle="1" w:styleId="Titre81">
    <w:name w:val="Titre 81"/>
    <w:basedOn w:val="WW-Standard"/>
    <w:next w:val="Normal"/>
    <w:rsid w:val="00795C3E"/>
    <w:pPr>
      <w:keepNext/>
      <w:numPr>
        <w:ilvl w:val="7"/>
        <w:numId w:val="15"/>
      </w:numPr>
      <w:tabs>
        <w:tab w:val="clear" w:pos="0"/>
      </w:tabs>
      <w:spacing w:before="240" w:after="120"/>
      <w:outlineLvl w:val="7"/>
    </w:pPr>
    <w:rPr>
      <w:rFonts w:ascii="Arial" w:hAnsi="Arial"/>
      <w:u w:val="single"/>
    </w:rPr>
  </w:style>
  <w:style w:type="paragraph" w:customStyle="1" w:styleId="Titre91">
    <w:name w:val="Titre 91"/>
    <w:basedOn w:val="WW-Standard"/>
    <w:next w:val="Normal"/>
    <w:rsid w:val="00795C3E"/>
    <w:pPr>
      <w:keepNext/>
      <w:numPr>
        <w:ilvl w:val="8"/>
        <w:numId w:val="15"/>
      </w:numPr>
      <w:tabs>
        <w:tab w:val="clear" w:pos="0"/>
      </w:tabs>
      <w:spacing w:after="120"/>
      <w:outlineLvl w:val="8"/>
    </w:pPr>
    <w:rPr>
      <w:rFonts w:ascii="Arial" w:hAnsi="Arial"/>
      <w:b/>
      <w:u w:val="single"/>
    </w:rPr>
  </w:style>
  <w:style w:type="paragraph" w:styleId="Notedefin">
    <w:name w:val="endnote text"/>
    <w:basedOn w:val="Normal"/>
    <w:link w:val="NotedefinCar"/>
    <w:uiPriority w:val="99"/>
    <w:semiHidden/>
    <w:unhideWhenUsed/>
    <w:rsid w:val="00795C3E"/>
    <w:pPr>
      <w:spacing w:after="120" w:line="240" w:lineRule="auto"/>
    </w:pPr>
    <w:rPr>
      <w:rFonts w:ascii="Calibri" w:eastAsia="PMingLiU" w:hAnsi="Calibri" w:cs="Times New Roman"/>
      <w:sz w:val="20"/>
      <w:szCs w:val="20"/>
      <w:lang w:val="en-US"/>
    </w:rPr>
  </w:style>
  <w:style w:type="character" w:customStyle="1" w:styleId="NotedefinCar">
    <w:name w:val="Note de fin Car"/>
    <w:basedOn w:val="Policepardfaut"/>
    <w:link w:val="Notedefin"/>
    <w:uiPriority w:val="99"/>
    <w:semiHidden/>
    <w:rsid w:val="00795C3E"/>
    <w:rPr>
      <w:rFonts w:ascii="Calibri" w:eastAsia="PMingLiU" w:hAnsi="Calibri" w:cs="Times New Roman"/>
      <w:sz w:val="20"/>
      <w:szCs w:val="20"/>
    </w:rPr>
  </w:style>
  <w:style w:type="character" w:styleId="Appeldenotedefin">
    <w:name w:val="endnote reference"/>
    <w:uiPriority w:val="99"/>
    <w:semiHidden/>
    <w:unhideWhenUsed/>
    <w:rsid w:val="00795C3E"/>
    <w:rPr>
      <w:vertAlign w:val="superscript"/>
    </w:rPr>
  </w:style>
  <w:style w:type="character" w:customStyle="1" w:styleId="WW8Num1z1">
    <w:name w:val="WW8Num1z1"/>
    <w:rsid w:val="00795C3E"/>
    <w:rPr>
      <w:rFonts w:cs="Times New Roman"/>
    </w:rPr>
  </w:style>
  <w:style w:type="character" w:customStyle="1" w:styleId="WW8Num3z0">
    <w:name w:val="WW8Num3z0"/>
    <w:rsid w:val="00795C3E"/>
    <w:rPr>
      <w:rFonts w:eastAsia="Times New Roman" w:cs="Times New Roman"/>
    </w:rPr>
  </w:style>
  <w:style w:type="character" w:customStyle="1" w:styleId="WW8Num3z1">
    <w:name w:val="WW8Num3z1"/>
    <w:rsid w:val="00795C3E"/>
    <w:rPr>
      <w:rFonts w:cs="Times New Roman"/>
    </w:rPr>
  </w:style>
  <w:style w:type="character" w:customStyle="1" w:styleId="WW8Num4z1">
    <w:name w:val="WW8Num4z1"/>
    <w:rsid w:val="00795C3E"/>
    <w:rPr>
      <w:rFonts w:cs="Times New Roman"/>
    </w:rPr>
  </w:style>
  <w:style w:type="character" w:customStyle="1" w:styleId="WW8Num5z0">
    <w:name w:val="WW8Num5z0"/>
    <w:rsid w:val="00795C3E"/>
    <w:rPr>
      <w:rFonts w:cs="Times New Roman"/>
    </w:rPr>
  </w:style>
  <w:style w:type="character" w:customStyle="1" w:styleId="WW8Num7z1">
    <w:name w:val="WW8Num7z1"/>
    <w:rsid w:val="00795C3E"/>
    <w:rPr>
      <w:rFonts w:cs="Times New Roman"/>
    </w:rPr>
  </w:style>
  <w:style w:type="character" w:customStyle="1" w:styleId="WW8Num9z1">
    <w:name w:val="WW8Num9z1"/>
    <w:rsid w:val="00795C3E"/>
    <w:rPr>
      <w:rFonts w:cs="Times New Roman"/>
    </w:rPr>
  </w:style>
  <w:style w:type="character" w:customStyle="1" w:styleId="WW8Num11z1">
    <w:name w:val="WW8Num11z1"/>
    <w:rsid w:val="00795C3E"/>
    <w:rPr>
      <w:rFonts w:cs="Times New Roman"/>
    </w:rPr>
  </w:style>
  <w:style w:type="character" w:customStyle="1" w:styleId="WW8Num12z0">
    <w:name w:val="WW8Num12z0"/>
    <w:rsid w:val="00795C3E"/>
    <w:rPr>
      <w:rFonts w:cs="Times New Roman"/>
    </w:rPr>
  </w:style>
  <w:style w:type="character" w:customStyle="1" w:styleId="WW8Num14z0">
    <w:name w:val="WW8Num14z0"/>
    <w:rsid w:val="00795C3E"/>
    <w:rPr>
      <w:rFonts w:cs="Times New Roman"/>
    </w:rPr>
  </w:style>
  <w:style w:type="character" w:customStyle="1" w:styleId="WW8Num14z1">
    <w:name w:val="WW8Num14z1"/>
    <w:rsid w:val="00795C3E"/>
    <w:rPr>
      <w:rFonts w:eastAsia="Times New Roman" w:cs="Times New Roman"/>
    </w:rPr>
  </w:style>
  <w:style w:type="character" w:customStyle="1" w:styleId="WW8Num15z1">
    <w:name w:val="WW8Num15z1"/>
    <w:rsid w:val="00795C3E"/>
    <w:rPr>
      <w:rFonts w:cs="Times New Roman"/>
    </w:rPr>
  </w:style>
  <w:style w:type="character" w:customStyle="1" w:styleId="WW8Num16z0">
    <w:name w:val="WW8Num16z0"/>
    <w:rsid w:val="00795C3E"/>
    <w:rPr>
      <w:rFonts w:cs="Times New Roman"/>
    </w:rPr>
  </w:style>
  <w:style w:type="character" w:customStyle="1" w:styleId="WW8Num17z0">
    <w:name w:val="WW8Num17z0"/>
    <w:rsid w:val="00795C3E"/>
    <w:rPr>
      <w:rFonts w:cs="Times New Roman"/>
    </w:rPr>
  </w:style>
  <w:style w:type="character" w:customStyle="1" w:styleId="WW8Num18z0">
    <w:name w:val="WW8Num18z0"/>
    <w:rsid w:val="00795C3E"/>
    <w:rPr>
      <w:rFonts w:cs="Times New Roman"/>
    </w:rPr>
  </w:style>
  <w:style w:type="character" w:customStyle="1" w:styleId="WW8Num21z1">
    <w:name w:val="WW8Num21z1"/>
    <w:rsid w:val="00795C3E"/>
    <w:rPr>
      <w:rFonts w:ascii="Courier New" w:hAnsi="Courier New" w:cs="Calibri"/>
    </w:rPr>
  </w:style>
  <w:style w:type="character" w:customStyle="1" w:styleId="WW8Num21z2">
    <w:name w:val="WW8Num21z2"/>
    <w:rsid w:val="00795C3E"/>
    <w:rPr>
      <w:rFonts w:ascii="Wingdings" w:hAnsi="Wingdings"/>
    </w:rPr>
  </w:style>
  <w:style w:type="character" w:customStyle="1" w:styleId="WW8Num21z3">
    <w:name w:val="WW8Num21z3"/>
    <w:rsid w:val="00795C3E"/>
    <w:rPr>
      <w:rFonts w:ascii="Symbol" w:hAnsi="Symbol"/>
    </w:rPr>
  </w:style>
  <w:style w:type="character" w:customStyle="1" w:styleId="WW8Num22z0">
    <w:name w:val="WW8Num22z0"/>
    <w:rsid w:val="00795C3E"/>
    <w:rPr>
      <w:rFonts w:cs="Times New Roman"/>
    </w:rPr>
  </w:style>
  <w:style w:type="character" w:customStyle="1" w:styleId="WW8Num23z0">
    <w:name w:val="WW8Num23z0"/>
    <w:rsid w:val="00795C3E"/>
    <w:rPr>
      <w:rFonts w:cs="Times New Roman"/>
    </w:rPr>
  </w:style>
  <w:style w:type="character" w:customStyle="1" w:styleId="WW8Num24z1">
    <w:name w:val="WW8Num24z1"/>
    <w:rsid w:val="00795C3E"/>
    <w:rPr>
      <w:rFonts w:ascii="Courier New" w:hAnsi="Courier New" w:cs="Calibri"/>
    </w:rPr>
  </w:style>
  <w:style w:type="character" w:customStyle="1" w:styleId="WW8Num24z2">
    <w:name w:val="WW8Num24z2"/>
    <w:rsid w:val="00795C3E"/>
    <w:rPr>
      <w:rFonts w:ascii="Wingdings" w:hAnsi="Wingdings"/>
    </w:rPr>
  </w:style>
  <w:style w:type="character" w:customStyle="1" w:styleId="WW8Num24z3">
    <w:name w:val="WW8Num24z3"/>
    <w:rsid w:val="00795C3E"/>
    <w:rPr>
      <w:rFonts w:ascii="Symbol" w:hAnsi="Symbol"/>
    </w:rPr>
  </w:style>
  <w:style w:type="character" w:customStyle="1" w:styleId="WW8Num30z0">
    <w:name w:val="WW8Num30z0"/>
    <w:rsid w:val="00795C3E"/>
    <w:rPr>
      <w:rFonts w:cs="Times New Roman"/>
    </w:rPr>
  </w:style>
  <w:style w:type="character" w:customStyle="1" w:styleId="WW8Num31z1">
    <w:name w:val="WW8Num31z1"/>
    <w:rsid w:val="00795C3E"/>
    <w:rPr>
      <w:rFonts w:ascii="Courier New" w:hAnsi="Courier New" w:cs="Calibri"/>
    </w:rPr>
  </w:style>
  <w:style w:type="character" w:customStyle="1" w:styleId="WW8Num31z2">
    <w:name w:val="WW8Num31z2"/>
    <w:rsid w:val="00795C3E"/>
    <w:rPr>
      <w:rFonts w:ascii="Wingdings" w:hAnsi="Wingdings"/>
    </w:rPr>
  </w:style>
  <w:style w:type="character" w:customStyle="1" w:styleId="WW8Num31z3">
    <w:name w:val="WW8Num31z3"/>
    <w:rsid w:val="00795C3E"/>
    <w:rPr>
      <w:rFonts w:ascii="Symbol" w:hAnsi="Symbol"/>
    </w:rPr>
  </w:style>
  <w:style w:type="character" w:customStyle="1" w:styleId="WW8Num32z0">
    <w:name w:val="WW8Num32z0"/>
    <w:rsid w:val="00795C3E"/>
    <w:rPr>
      <w:rFonts w:ascii="Symbol" w:hAnsi="Symbol"/>
    </w:rPr>
  </w:style>
  <w:style w:type="character" w:customStyle="1" w:styleId="Policepardfaut1">
    <w:name w:val="Police par défaut1"/>
    <w:rsid w:val="00795C3E"/>
  </w:style>
  <w:style w:type="character" w:customStyle="1" w:styleId="Titre5Car1">
    <w:name w:val="Titre 5 Car1"/>
    <w:rsid w:val="00795C3E"/>
    <w:rPr>
      <w:rFonts w:ascii="Calibri" w:hAnsi="Calibri" w:cs="Times New Roman"/>
      <w:b/>
      <w:bCs/>
      <w:i/>
      <w:noProof w:val="0"/>
      <w:sz w:val="26"/>
      <w:szCs w:val="26"/>
      <w:lang w:val="fr-FR"/>
    </w:rPr>
  </w:style>
  <w:style w:type="character" w:customStyle="1" w:styleId="Numrodepage1">
    <w:name w:val="Numéro de page1"/>
    <w:rsid w:val="00795C3E"/>
    <w:rPr>
      <w:rFonts w:cs="Times New Roman"/>
    </w:rPr>
  </w:style>
  <w:style w:type="character" w:customStyle="1" w:styleId="ExplorateurdedocumentsCar">
    <w:name w:val="Explorateur de documents Car"/>
    <w:rsid w:val="00795C3E"/>
    <w:rPr>
      <w:rFonts w:cs="Times New Roman"/>
      <w:noProof w:val="0"/>
      <w:sz w:val="2"/>
      <w:lang w:val="fr-FR"/>
    </w:rPr>
  </w:style>
  <w:style w:type="character" w:customStyle="1" w:styleId="Titre3CarCar">
    <w:name w:val="Titre 3 Car Car"/>
    <w:rsid w:val="00795C3E"/>
    <w:rPr>
      <w:rFonts w:cs="Times New Roman"/>
      <w:b/>
      <w:i/>
      <w:noProof w:val="0"/>
      <w:sz w:val="24"/>
      <w:szCs w:val="24"/>
      <w:u w:val="single"/>
      <w:lang w:val="fr-FR" w:eastAsia="ar-SA" w:bidi="ar-SA"/>
    </w:rPr>
  </w:style>
  <w:style w:type="character" w:customStyle="1" w:styleId="Accentuation1">
    <w:name w:val="Accentuation1"/>
    <w:rsid w:val="00795C3E"/>
    <w:rPr>
      <w:rFonts w:cs="Times New Roman"/>
      <w:i/>
    </w:rPr>
  </w:style>
  <w:style w:type="character" w:customStyle="1" w:styleId="Fort">
    <w:name w:val="Fort"/>
    <w:rsid w:val="00795C3E"/>
    <w:rPr>
      <w:b/>
    </w:rPr>
  </w:style>
  <w:style w:type="character" w:customStyle="1" w:styleId="Emphasis1">
    <w:name w:val="Emphasis1"/>
    <w:rsid w:val="00795C3E"/>
    <w:rPr>
      <w:rFonts w:cs="Times New Roman"/>
      <w:i/>
    </w:rPr>
  </w:style>
  <w:style w:type="character" w:customStyle="1" w:styleId="Lienhypertexte1">
    <w:name w:val="Lien hypertexte1"/>
    <w:rsid w:val="00795C3E"/>
    <w:rPr>
      <w:rFonts w:cs="Times New Roman"/>
      <w:color w:val="0000FF"/>
      <w:u w:val="single"/>
    </w:rPr>
  </w:style>
  <w:style w:type="character" w:customStyle="1" w:styleId="Internetlink">
    <w:name w:val="Internet link"/>
    <w:rsid w:val="00795C3E"/>
    <w:rPr>
      <w:rFonts w:cs="Times New Roman"/>
      <w:color w:val="0000FF"/>
      <w:u w:val="single"/>
    </w:rPr>
  </w:style>
  <w:style w:type="character" w:customStyle="1" w:styleId="Titre4CarCar">
    <w:name w:val="Titre 4 Car Car"/>
    <w:rsid w:val="00795C3E"/>
    <w:rPr>
      <w:rFonts w:cs="Times New Roman"/>
      <w:i/>
      <w:noProof w:val="0"/>
      <w:sz w:val="24"/>
      <w:szCs w:val="24"/>
      <w:u w:val="single"/>
      <w:lang w:val="fr-FR" w:eastAsia="ar-SA" w:bidi="ar-SA"/>
    </w:rPr>
  </w:style>
  <w:style w:type="character" w:customStyle="1" w:styleId="RetraitcorpsdetexteCar">
    <w:name w:val="Retrait corps de texte Car"/>
    <w:rsid w:val="00795C3E"/>
    <w:rPr>
      <w:rFonts w:cs="Times New Roman"/>
      <w:noProof w:val="0"/>
      <w:sz w:val="24"/>
      <w:szCs w:val="24"/>
      <w:lang w:val="fr-FR"/>
    </w:rPr>
  </w:style>
  <w:style w:type="character" w:styleId="Lienhypertextesuivivisit">
    <w:name w:val="FollowedHyperlink"/>
    <w:semiHidden/>
    <w:rsid w:val="00795C3E"/>
    <w:rPr>
      <w:color w:val="800080"/>
      <w:u w:val="single"/>
    </w:rPr>
  </w:style>
  <w:style w:type="character" w:customStyle="1" w:styleId="StrongEmphasis">
    <w:name w:val="Strong Emphasis"/>
    <w:rsid w:val="00795C3E"/>
    <w:rPr>
      <w:rFonts w:cs="Times New Roman"/>
      <w:b/>
      <w:bCs/>
    </w:rPr>
  </w:style>
  <w:style w:type="character" w:customStyle="1" w:styleId="Appelnotedebasdep1">
    <w:name w:val="Appel note de bas de p.1"/>
    <w:rsid w:val="00795C3E"/>
    <w:rPr>
      <w:rFonts w:cs="Times New Roman"/>
      <w:vertAlign w:val="superscript"/>
    </w:rPr>
  </w:style>
  <w:style w:type="character" w:customStyle="1" w:styleId="titrep">
    <w:name w:val="titrep"/>
    <w:rsid w:val="00795C3E"/>
    <w:rPr>
      <w:rFonts w:cs="Times New Roman"/>
    </w:rPr>
  </w:style>
  <w:style w:type="character" w:customStyle="1" w:styleId="fluo">
    <w:name w:val="fluo"/>
    <w:rsid w:val="00795C3E"/>
    <w:rPr>
      <w:rFonts w:cs="Times New Roman"/>
    </w:rPr>
  </w:style>
  <w:style w:type="character" w:customStyle="1" w:styleId="SignaturelectroniqueCar">
    <w:name w:val="Signature électronique Car"/>
    <w:rsid w:val="00795C3E"/>
    <w:rPr>
      <w:rFonts w:cs="Times New Roman"/>
      <w:noProof w:val="0"/>
      <w:sz w:val="24"/>
      <w:szCs w:val="24"/>
      <w:lang w:val="fr-FR"/>
    </w:rPr>
  </w:style>
  <w:style w:type="character" w:customStyle="1" w:styleId="TextebrutCar">
    <w:name w:val="Texte brut Car"/>
    <w:rsid w:val="00795C3E"/>
    <w:rPr>
      <w:rFonts w:ascii="Verdana" w:hAnsi="Verdana" w:cs="Times New Roman"/>
      <w:noProof w:val="0"/>
      <w:sz w:val="21"/>
      <w:szCs w:val="21"/>
      <w:lang w:val="fr-BE"/>
    </w:rPr>
  </w:style>
  <w:style w:type="character" w:customStyle="1" w:styleId="ListLabel1">
    <w:name w:val="ListLabel 1"/>
    <w:rsid w:val="00795C3E"/>
    <w:rPr>
      <w:rFonts w:cs="Times New Roman"/>
    </w:rPr>
  </w:style>
  <w:style w:type="character" w:customStyle="1" w:styleId="ListLabel2">
    <w:name w:val="ListLabel 2"/>
    <w:rsid w:val="00795C3E"/>
    <w:rPr>
      <w:rFonts w:eastAsia="Times New Roman"/>
    </w:rPr>
  </w:style>
  <w:style w:type="character" w:customStyle="1" w:styleId="ListLabel3">
    <w:name w:val="ListLabel 3"/>
    <w:rsid w:val="00795C3E"/>
    <w:rPr>
      <w:rFonts w:eastAsia="Times New Roman" w:cs="Times New Roman"/>
    </w:rPr>
  </w:style>
  <w:style w:type="character" w:customStyle="1" w:styleId="ListLabel4">
    <w:name w:val="ListLabel 4"/>
    <w:rsid w:val="00795C3E"/>
    <w:rPr>
      <w:i/>
    </w:rPr>
  </w:style>
  <w:style w:type="character" w:customStyle="1" w:styleId="ListLabel5">
    <w:name w:val="ListLabel 5"/>
    <w:rsid w:val="00795C3E"/>
    <w:rPr>
      <w:spacing w:val="4"/>
      <w:sz w:val="22"/>
    </w:rPr>
  </w:style>
  <w:style w:type="character" w:customStyle="1" w:styleId="notereference">
    <w:name w:val="note reference"/>
    <w:rsid w:val="00795C3E"/>
  </w:style>
  <w:style w:type="character" w:customStyle="1" w:styleId="notereference1">
    <w:name w:val="note reference_1"/>
    <w:rsid w:val="00795C3E"/>
  </w:style>
  <w:style w:type="character" w:customStyle="1" w:styleId="CommentaireCar">
    <w:name w:val="Commentaire Car"/>
    <w:basedOn w:val="Policepardfaut"/>
    <w:uiPriority w:val="99"/>
    <w:rsid w:val="00795C3E"/>
  </w:style>
  <w:style w:type="character" w:customStyle="1" w:styleId="ObjetducommentaireCar">
    <w:name w:val="Objet du commentaire Car"/>
    <w:rsid w:val="00795C3E"/>
    <w:rPr>
      <w:b/>
      <w:bCs/>
    </w:rPr>
  </w:style>
  <w:style w:type="character" w:customStyle="1" w:styleId="TextedebullesCar1">
    <w:name w:val="Texte de bulles Car1"/>
    <w:rsid w:val="00795C3E"/>
    <w:rPr>
      <w:rFonts w:ascii="Tahoma" w:hAnsi="Tahoma" w:cs="Tahoma"/>
      <w:sz w:val="16"/>
      <w:szCs w:val="16"/>
    </w:rPr>
  </w:style>
  <w:style w:type="character" w:customStyle="1" w:styleId="Caractresdenumrotation">
    <w:name w:val="Caractères de numérotation"/>
    <w:rsid w:val="00795C3E"/>
  </w:style>
  <w:style w:type="character" w:customStyle="1" w:styleId="Puces">
    <w:name w:val="Puces"/>
    <w:rsid w:val="00795C3E"/>
    <w:rPr>
      <w:rFonts w:ascii="OpenSymbol" w:eastAsia="OpenSymbol" w:hAnsi="OpenSymbol" w:cs="OpenSymbol"/>
    </w:rPr>
  </w:style>
  <w:style w:type="character" w:customStyle="1" w:styleId="CorpsdetexteCar1">
    <w:name w:val="Corps de texte Car1"/>
    <w:basedOn w:val="Policepardfaut"/>
    <w:semiHidden/>
    <w:rsid w:val="00795C3E"/>
    <w:rPr>
      <w:rFonts w:ascii="Calibri" w:eastAsia="Times New Roman" w:hAnsi="Calibri" w:cs="Times New Roman"/>
      <w:kern w:val="1"/>
      <w:sz w:val="20"/>
      <w:szCs w:val="20"/>
      <w:lang w:eastAsia="zh-CN"/>
    </w:rPr>
  </w:style>
  <w:style w:type="paragraph" w:customStyle="1" w:styleId="Index">
    <w:name w:val="Index"/>
    <w:basedOn w:val="WW-Standard"/>
    <w:rsid w:val="00795C3E"/>
    <w:pPr>
      <w:widowControl w:val="0"/>
    </w:pPr>
    <w:rPr>
      <w:rFonts w:cs="Tahoma"/>
    </w:rPr>
  </w:style>
  <w:style w:type="paragraph" w:customStyle="1" w:styleId="Heading">
    <w:name w:val="Heading"/>
    <w:basedOn w:val="WW-Standard"/>
    <w:next w:val="Textbody"/>
    <w:rsid w:val="00795C3E"/>
    <w:pPr>
      <w:keepNext/>
      <w:widowControl w:val="0"/>
      <w:spacing w:before="240" w:after="120"/>
    </w:pPr>
    <w:rPr>
      <w:rFonts w:ascii="Arial" w:eastAsia="Lucida Sans Unicode" w:hAnsi="Arial" w:cs="Tahoma"/>
      <w:sz w:val="28"/>
      <w:szCs w:val="28"/>
    </w:rPr>
  </w:style>
  <w:style w:type="paragraph" w:customStyle="1" w:styleId="Textbody">
    <w:name w:val="Text body"/>
    <w:basedOn w:val="WW-Standard"/>
    <w:rsid w:val="00795C3E"/>
    <w:pPr>
      <w:spacing w:after="120"/>
    </w:pPr>
    <w:rPr>
      <w:rFonts w:ascii="Arial" w:hAnsi="Arial"/>
    </w:rPr>
  </w:style>
  <w:style w:type="paragraph" w:customStyle="1" w:styleId="Lgende1">
    <w:name w:val="Légende1"/>
    <w:basedOn w:val="WW-Standard"/>
    <w:rsid w:val="00795C3E"/>
    <w:pPr>
      <w:widowControl w:val="0"/>
      <w:spacing w:after="120"/>
    </w:pPr>
    <w:rPr>
      <w:rFonts w:cs="Tahoma"/>
      <w:i/>
    </w:rPr>
  </w:style>
  <w:style w:type="paragraph" w:customStyle="1" w:styleId="Titre31">
    <w:name w:val="Titre 31"/>
    <w:basedOn w:val="WW-Standard"/>
    <w:next w:val="Textbody"/>
    <w:rsid w:val="00795C3E"/>
    <w:pPr>
      <w:keepNext/>
      <w:spacing w:after="120"/>
    </w:pPr>
    <w:rPr>
      <w:b/>
      <w:i/>
      <w:u w:val="single"/>
    </w:rPr>
  </w:style>
  <w:style w:type="paragraph" w:customStyle="1" w:styleId="Titre41">
    <w:name w:val="Titre 41"/>
    <w:basedOn w:val="WW-Standard"/>
    <w:next w:val="Textbody"/>
    <w:rsid w:val="00795C3E"/>
    <w:pPr>
      <w:keepNext/>
      <w:spacing w:after="120"/>
      <w:outlineLvl w:val="3"/>
    </w:pPr>
    <w:rPr>
      <w:i/>
      <w:u w:val="single"/>
    </w:rPr>
  </w:style>
  <w:style w:type="paragraph" w:customStyle="1" w:styleId="Corpsdetexte21">
    <w:name w:val="Corps de texte 21"/>
    <w:basedOn w:val="WW-Standard"/>
    <w:rsid w:val="00795C3E"/>
    <w:pPr>
      <w:widowControl w:val="0"/>
      <w:spacing w:after="120"/>
    </w:pPr>
    <w:rPr>
      <w:rFonts w:ascii="Arial" w:hAnsi="Arial"/>
      <w:color w:val="FF0000"/>
    </w:rPr>
  </w:style>
  <w:style w:type="paragraph" w:customStyle="1" w:styleId="BodyText21">
    <w:name w:val="Body Text 21"/>
    <w:basedOn w:val="WW-Standard"/>
    <w:rsid w:val="00795C3E"/>
    <w:pPr>
      <w:ind w:firstLine="709"/>
    </w:pPr>
    <w:rPr>
      <w:rFonts w:ascii="Arial" w:hAnsi="Arial"/>
    </w:rPr>
  </w:style>
  <w:style w:type="paragraph" w:customStyle="1" w:styleId="corps">
    <w:name w:val="corps"/>
    <w:basedOn w:val="WW-Standard"/>
    <w:rsid w:val="00795C3E"/>
    <w:pPr>
      <w:spacing w:after="120"/>
      <w:ind w:firstLine="567"/>
    </w:pPr>
    <w:rPr>
      <w:rFonts w:ascii="Arial" w:hAnsi="Arial"/>
    </w:rPr>
  </w:style>
  <w:style w:type="paragraph" w:customStyle="1" w:styleId="Corpsdetexte31">
    <w:name w:val="Corps de texte 31"/>
    <w:basedOn w:val="WW-Standard"/>
    <w:rsid w:val="00795C3E"/>
    <w:rPr>
      <w:rFonts w:ascii="Arial" w:hAnsi="Arial"/>
      <w:sz w:val="22"/>
    </w:rPr>
  </w:style>
  <w:style w:type="paragraph" w:customStyle="1" w:styleId="Retraitcorpsdetexte31">
    <w:name w:val="Retrait corps de texte 31"/>
    <w:basedOn w:val="WW-Standard"/>
    <w:rsid w:val="00795C3E"/>
    <w:pPr>
      <w:ind w:firstLine="851"/>
    </w:pPr>
    <w:rPr>
      <w:rFonts w:ascii="Arial" w:hAnsi="Arial"/>
      <w:i/>
    </w:rPr>
  </w:style>
  <w:style w:type="paragraph" w:customStyle="1" w:styleId="Corpsdetexte32">
    <w:name w:val="Corps de texte 32"/>
    <w:basedOn w:val="WW-Standard"/>
    <w:rsid w:val="00795C3E"/>
  </w:style>
  <w:style w:type="paragraph" w:customStyle="1" w:styleId="Corpsdetexte22">
    <w:name w:val="Corps de texte 22"/>
    <w:basedOn w:val="WW-Standard"/>
    <w:rsid w:val="00795C3E"/>
    <w:pPr>
      <w:spacing w:after="120"/>
    </w:pPr>
    <w:rPr>
      <w:rFonts w:ascii="Arial" w:hAnsi="Arial"/>
      <w:color w:val="FF00FF"/>
    </w:rPr>
  </w:style>
  <w:style w:type="paragraph" w:customStyle="1" w:styleId="Mentionbaspage">
    <w:name w:val="Mention bas page"/>
    <w:basedOn w:val="WW-Standard"/>
    <w:rsid w:val="00795C3E"/>
    <w:pPr>
      <w:spacing w:before="600"/>
    </w:pPr>
    <w:rPr>
      <w:rFonts w:ascii="Arial" w:hAnsi="Arial"/>
      <w:i/>
      <w:sz w:val="22"/>
    </w:rPr>
  </w:style>
  <w:style w:type="paragraph" w:customStyle="1" w:styleId="BodyText22">
    <w:name w:val="Body Text 22"/>
    <w:basedOn w:val="WW-Standard"/>
    <w:rsid w:val="00795C3E"/>
    <w:rPr>
      <w:rFonts w:ascii="Arial" w:hAnsi="Arial"/>
      <w:i/>
    </w:rPr>
  </w:style>
  <w:style w:type="paragraph" w:customStyle="1" w:styleId="Retraitcorpsdetexte21">
    <w:name w:val="Retrait corps de texte 21"/>
    <w:basedOn w:val="WW-Standard"/>
    <w:rsid w:val="00795C3E"/>
    <w:pPr>
      <w:ind w:firstLine="851"/>
    </w:pPr>
    <w:rPr>
      <w:rFonts w:ascii="Arial" w:hAnsi="Arial"/>
    </w:rPr>
  </w:style>
  <w:style w:type="paragraph" w:customStyle="1" w:styleId="En-tte1">
    <w:name w:val="En-tête1"/>
    <w:basedOn w:val="WW-Standard"/>
    <w:rsid w:val="00795C3E"/>
    <w:pPr>
      <w:widowControl w:val="0"/>
    </w:pPr>
  </w:style>
  <w:style w:type="paragraph" w:customStyle="1" w:styleId="Explorateurdedocuments1">
    <w:name w:val="Explorateur de documents1"/>
    <w:basedOn w:val="WW-Standard"/>
    <w:rsid w:val="00795C3E"/>
    <w:pPr>
      <w:widowControl w:val="0"/>
      <w:shd w:val="clear" w:color="auto" w:fill="000080"/>
    </w:pPr>
    <w:rPr>
      <w:rFonts w:ascii="Tahoma" w:hAnsi="Tahoma" w:cs="Courier New"/>
      <w:sz w:val="20"/>
      <w:szCs w:val="20"/>
    </w:rPr>
  </w:style>
  <w:style w:type="paragraph" w:customStyle="1" w:styleId="Adressedest">
    <w:name w:val="Adresse dest."/>
    <w:rsid w:val="00795C3E"/>
    <w:pPr>
      <w:widowControl w:val="0"/>
      <w:suppressAutoHyphens/>
      <w:spacing w:after="0" w:line="240" w:lineRule="auto"/>
      <w:ind w:left="4536" w:right="-1"/>
    </w:pPr>
    <w:rPr>
      <w:rFonts w:ascii="Times New Roman" w:eastAsia="Arial" w:hAnsi="Times New Roman" w:cs="Times New Roman"/>
      <w:kern w:val="1"/>
      <w:sz w:val="20"/>
      <w:szCs w:val="20"/>
      <w:lang w:val="fr-BE" w:eastAsia="zh-CN"/>
    </w:rPr>
  </w:style>
  <w:style w:type="character" w:customStyle="1" w:styleId="Sous-titreCar1">
    <w:name w:val="Sous-titre Car1"/>
    <w:basedOn w:val="Policepardfaut"/>
    <w:rsid w:val="00795C3E"/>
    <w:rPr>
      <w:rFonts w:ascii="Arial" w:eastAsia="Arial" w:hAnsi="Arial" w:cs="Times New Roman"/>
      <w:b/>
      <w:i/>
      <w:caps/>
      <w:kern w:val="1"/>
      <w:sz w:val="28"/>
      <w:szCs w:val="28"/>
      <w:u w:val="single"/>
      <w:lang w:val="fr-FR" w:eastAsia="zh-CN"/>
    </w:rPr>
  </w:style>
  <w:style w:type="paragraph" w:customStyle="1" w:styleId="H3">
    <w:name w:val="H3"/>
    <w:basedOn w:val="WW-Standard"/>
    <w:rsid w:val="00795C3E"/>
    <w:pPr>
      <w:keepNext/>
      <w:spacing w:before="100" w:after="100"/>
    </w:pPr>
    <w:rPr>
      <w:rFonts w:ascii="Arial" w:hAnsi="Arial"/>
      <w:b/>
      <w:sz w:val="28"/>
      <w:lang w:val="fr-BE"/>
    </w:rPr>
  </w:style>
  <w:style w:type="paragraph" w:customStyle="1" w:styleId="OmniPage9">
    <w:name w:val="OmniPage #9"/>
    <w:basedOn w:val="WW-Standard"/>
    <w:rsid w:val="00795C3E"/>
    <w:pPr>
      <w:spacing w:line="369" w:lineRule="auto"/>
      <w:ind w:left="764" w:right="61"/>
    </w:pPr>
    <w:rPr>
      <w:rFonts w:ascii="Arial" w:hAnsi="Arial"/>
    </w:rPr>
  </w:style>
  <w:style w:type="paragraph" w:customStyle="1" w:styleId="OmniPage10">
    <w:name w:val="OmniPage #10"/>
    <w:basedOn w:val="WW-Standard"/>
    <w:rsid w:val="00795C3E"/>
    <w:pPr>
      <w:spacing w:line="352" w:lineRule="auto"/>
      <w:ind w:left="50" w:right="55" w:firstLine="715"/>
    </w:pPr>
    <w:rPr>
      <w:rFonts w:ascii="Arial" w:hAnsi="Arial"/>
    </w:rPr>
  </w:style>
  <w:style w:type="paragraph" w:customStyle="1" w:styleId="OmniPage11">
    <w:name w:val="OmniPage #11"/>
    <w:basedOn w:val="WW-Standard"/>
    <w:rsid w:val="00795C3E"/>
    <w:pPr>
      <w:spacing w:line="352" w:lineRule="auto"/>
      <w:ind w:left="55" w:right="50" w:firstLine="715"/>
    </w:pPr>
    <w:rPr>
      <w:rFonts w:ascii="Arial" w:hAnsi="Arial"/>
    </w:rPr>
  </w:style>
  <w:style w:type="paragraph" w:customStyle="1" w:styleId="OmniPage12">
    <w:name w:val="OmniPage #12"/>
    <w:basedOn w:val="WW-Standard"/>
    <w:rsid w:val="00795C3E"/>
    <w:pPr>
      <w:spacing w:line="348" w:lineRule="auto"/>
      <w:ind w:left="50" w:right="59" w:firstLine="715"/>
    </w:pPr>
    <w:rPr>
      <w:rFonts w:ascii="Arial" w:hAnsi="Arial"/>
    </w:rPr>
  </w:style>
  <w:style w:type="paragraph" w:customStyle="1" w:styleId="OmniPage13">
    <w:name w:val="OmniPage #13"/>
    <w:basedOn w:val="WW-Standard"/>
    <w:rsid w:val="00795C3E"/>
    <w:pPr>
      <w:spacing w:line="352" w:lineRule="auto"/>
      <w:ind w:left="50" w:right="50" w:firstLine="715"/>
    </w:pPr>
    <w:rPr>
      <w:rFonts w:ascii="Arial" w:hAnsi="Arial"/>
    </w:rPr>
  </w:style>
  <w:style w:type="paragraph" w:customStyle="1" w:styleId="OmniPage14">
    <w:name w:val="OmniPage #14"/>
    <w:basedOn w:val="WW-Standard"/>
    <w:rsid w:val="00795C3E"/>
    <w:pPr>
      <w:spacing w:line="348" w:lineRule="auto"/>
      <w:ind w:left="50" w:right="50" w:firstLine="715"/>
    </w:pPr>
    <w:rPr>
      <w:rFonts w:ascii="Arial" w:hAnsi="Arial"/>
    </w:rPr>
  </w:style>
  <w:style w:type="paragraph" w:customStyle="1" w:styleId="OmniPage15">
    <w:name w:val="OmniPage #15"/>
    <w:basedOn w:val="WW-Standard"/>
    <w:rsid w:val="00795C3E"/>
    <w:pPr>
      <w:spacing w:line="352" w:lineRule="auto"/>
      <w:ind w:left="50" w:right="50" w:firstLine="715"/>
    </w:pPr>
    <w:rPr>
      <w:rFonts w:ascii="Arial" w:hAnsi="Arial"/>
    </w:rPr>
  </w:style>
  <w:style w:type="paragraph" w:customStyle="1" w:styleId="OmniPage16">
    <w:name w:val="OmniPage #16"/>
    <w:basedOn w:val="WW-Standard"/>
    <w:rsid w:val="00795C3E"/>
    <w:pPr>
      <w:spacing w:line="369" w:lineRule="auto"/>
      <w:ind w:left="758" w:right="85"/>
    </w:pPr>
    <w:rPr>
      <w:rFonts w:ascii="Arial" w:hAnsi="Arial"/>
    </w:rPr>
  </w:style>
  <w:style w:type="paragraph" w:customStyle="1" w:styleId="OmniPage17">
    <w:name w:val="OmniPage #17"/>
    <w:basedOn w:val="WW-Standard"/>
    <w:rsid w:val="00795C3E"/>
    <w:pPr>
      <w:spacing w:line="357" w:lineRule="auto"/>
      <w:ind w:left="50" w:right="50" w:firstLine="716"/>
    </w:pPr>
    <w:rPr>
      <w:rFonts w:ascii="Arial" w:hAnsi="Arial"/>
    </w:rPr>
  </w:style>
  <w:style w:type="paragraph" w:customStyle="1" w:styleId="txt">
    <w:name w:val="txt"/>
    <w:basedOn w:val="WW-Standard"/>
    <w:rsid w:val="00795C3E"/>
    <w:pPr>
      <w:spacing w:before="240" w:line="372" w:lineRule="auto"/>
      <w:ind w:firstLine="709"/>
    </w:pPr>
    <w:rPr>
      <w:rFonts w:ascii="Arial" w:hAnsi="Arial"/>
      <w:color w:val="0000FF"/>
    </w:rPr>
  </w:style>
  <w:style w:type="paragraph" w:customStyle="1" w:styleId="BodyTextIndent21">
    <w:name w:val="Body Text Indent 21"/>
    <w:basedOn w:val="WW-Standard"/>
    <w:rsid w:val="00795C3E"/>
    <w:pPr>
      <w:ind w:firstLine="851"/>
    </w:pPr>
    <w:rPr>
      <w:rFonts w:ascii="Arial" w:hAnsi="Arial"/>
    </w:rPr>
  </w:style>
  <w:style w:type="paragraph" w:customStyle="1" w:styleId="NormalWeb1">
    <w:name w:val="Normal (Web)1"/>
    <w:basedOn w:val="WW-Standard"/>
    <w:rsid w:val="00795C3E"/>
    <w:pPr>
      <w:spacing w:before="100" w:after="100"/>
    </w:pPr>
    <w:rPr>
      <w:rFonts w:ascii="Arial" w:hAnsi="Arial"/>
      <w:color w:val="000000"/>
    </w:rPr>
  </w:style>
  <w:style w:type="paragraph" w:customStyle="1" w:styleId="Textedebulles1">
    <w:name w:val="Texte de bulles1"/>
    <w:basedOn w:val="WW-Standard"/>
    <w:rsid w:val="00795C3E"/>
    <w:rPr>
      <w:rFonts w:ascii="Tahoma" w:hAnsi="Tahoma"/>
      <w:sz w:val="16"/>
    </w:rPr>
  </w:style>
  <w:style w:type="paragraph" w:customStyle="1" w:styleId="OmniPage1">
    <w:name w:val="OmniPage #1"/>
    <w:basedOn w:val="WW-Standard"/>
    <w:rsid w:val="00795C3E"/>
    <w:pPr>
      <w:spacing w:line="372" w:lineRule="auto"/>
    </w:pPr>
    <w:rPr>
      <w:rFonts w:ascii="Arial" w:hAnsi="Arial"/>
      <w:lang w:val="en-US"/>
    </w:rPr>
  </w:style>
  <w:style w:type="paragraph" w:customStyle="1" w:styleId="Notedebasdepage1">
    <w:name w:val="Note de bas de page1"/>
    <w:basedOn w:val="WW-Standard"/>
    <w:rsid w:val="00795C3E"/>
    <w:pPr>
      <w:widowControl w:val="0"/>
      <w:ind w:firstLine="709"/>
    </w:pPr>
    <w:rPr>
      <w:rFonts w:ascii="Arial" w:hAnsi="Arial"/>
    </w:rPr>
  </w:style>
  <w:style w:type="paragraph" w:customStyle="1" w:styleId="Contents1">
    <w:name w:val="Contents 1"/>
    <w:basedOn w:val="WW-Standard"/>
    <w:rsid w:val="00795C3E"/>
    <w:rPr>
      <w:b/>
      <w:color w:val="0000FF"/>
    </w:rPr>
  </w:style>
  <w:style w:type="paragraph" w:customStyle="1" w:styleId="Pieddepage1">
    <w:name w:val="Pied de page1"/>
    <w:basedOn w:val="WW-Standard"/>
    <w:rsid w:val="00795C3E"/>
    <w:pPr>
      <w:widowControl w:val="0"/>
    </w:pPr>
    <w:rPr>
      <w:rFonts w:ascii="Arial" w:hAnsi="Arial"/>
    </w:rPr>
  </w:style>
  <w:style w:type="paragraph" w:customStyle="1" w:styleId="Textbodyindent">
    <w:name w:val="Text body indent"/>
    <w:basedOn w:val="WW-Standard"/>
    <w:rsid w:val="00795C3E"/>
    <w:pPr>
      <w:spacing w:after="120"/>
      <w:ind w:left="283"/>
    </w:pPr>
    <w:rPr>
      <w:rFonts w:ascii="Arial" w:hAnsi="Arial"/>
    </w:rPr>
  </w:style>
  <w:style w:type="paragraph" w:customStyle="1" w:styleId="Retraitcorpsdetexte22">
    <w:name w:val="Retrait corps de texte 22"/>
    <w:basedOn w:val="WW-Standard"/>
    <w:rsid w:val="00795C3E"/>
    <w:pPr>
      <w:spacing w:after="120" w:line="480" w:lineRule="auto"/>
      <w:ind w:left="283"/>
    </w:pPr>
    <w:rPr>
      <w:rFonts w:ascii="Arial" w:hAnsi="Arial"/>
    </w:rPr>
  </w:style>
  <w:style w:type="paragraph" w:customStyle="1" w:styleId="Retraitcorpsdetexte32">
    <w:name w:val="Retrait corps de texte 32"/>
    <w:basedOn w:val="WW-Standard"/>
    <w:rsid w:val="00795C3E"/>
    <w:pPr>
      <w:widowControl w:val="0"/>
      <w:ind w:firstLine="709"/>
    </w:pPr>
    <w:rPr>
      <w:rFonts w:ascii="Arial" w:hAnsi="Arial"/>
    </w:rPr>
  </w:style>
  <w:style w:type="paragraph" w:customStyle="1" w:styleId="Normalcentr1">
    <w:name w:val="Normal centré1"/>
    <w:basedOn w:val="WW-Standard"/>
    <w:rsid w:val="00795C3E"/>
    <w:pPr>
      <w:widowControl w:val="0"/>
      <w:spacing w:before="240"/>
      <w:ind w:left="539" w:right="1151"/>
    </w:pPr>
    <w:rPr>
      <w:rFonts w:ascii="Arial" w:hAnsi="Arial"/>
      <w:i/>
      <w:sz w:val="22"/>
    </w:rPr>
  </w:style>
  <w:style w:type="paragraph" w:customStyle="1" w:styleId="Tab1">
    <w:name w:val="Tab 1"/>
    <w:basedOn w:val="WW-Standard"/>
    <w:rsid w:val="00795C3E"/>
  </w:style>
  <w:style w:type="paragraph" w:customStyle="1" w:styleId="Contents2">
    <w:name w:val="Contents 2"/>
    <w:basedOn w:val="WW-Standard"/>
    <w:rsid w:val="00795C3E"/>
    <w:pPr>
      <w:widowControl w:val="0"/>
      <w:ind w:left="240"/>
    </w:pPr>
    <w:rPr>
      <w:b/>
    </w:rPr>
  </w:style>
  <w:style w:type="paragraph" w:customStyle="1" w:styleId="Contents3">
    <w:name w:val="Contents 3"/>
    <w:basedOn w:val="WW-Standard"/>
    <w:rsid w:val="00795C3E"/>
    <w:pPr>
      <w:widowControl w:val="0"/>
      <w:ind w:left="480"/>
    </w:pPr>
  </w:style>
  <w:style w:type="paragraph" w:customStyle="1" w:styleId="Contents4">
    <w:name w:val="Contents 4"/>
    <w:basedOn w:val="WW-Standard"/>
    <w:rsid w:val="00795C3E"/>
    <w:pPr>
      <w:widowControl w:val="0"/>
      <w:spacing w:before="0"/>
      <w:ind w:left="720"/>
      <w:jc w:val="left"/>
    </w:pPr>
  </w:style>
  <w:style w:type="paragraph" w:customStyle="1" w:styleId="Contents5">
    <w:name w:val="Contents 5"/>
    <w:basedOn w:val="WW-Standard"/>
    <w:rsid w:val="00795C3E"/>
    <w:pPr>
      <w:widowControl w:val="0"/>
      <w:spacing w:before="0"/>
      <w:ind w:left="960"/>
      <w:jc w:val="left"/>
    </w:pPr>
  </w:style>
  <w:style w:type="paragraph" w:customStyle="1" w:styleId="Contents6">
    <w:name w:val="Contents 6"/>
    <w:basedOn w:val="WW-Standard"/>
    <w:rsid w:val="00795C3E"/>
    <w:pPr>
      <w:widowControl w:val="0"/>
      <w:spacing w:before="0"/>
      <w:ind w:left="1200"/>
      <w:jc w:val="left"/>
    </w:pPr>
  </w:style>
  <w:style w:type="paragraph" w:customStyle="1" w:styleId="Contents7">
    <w:name w:val="Contents 7"/>
    <w:basedOn w:val="WW-Standard"/>
    <w:rsid w:val="00795C3E"/>
    <w:pPr>
      <w:widowControl w:val="0"/>
      <w:spacing w:before="0"/>
      <w:ind w:left="1440"/>
      <w:jc w:val="left"/>
    </w:pPr>
  </w:style>
  <w:style w:type="paragraph" w:customStyle="1" w:styleId="Contents8">
    <w:name w:val="Contents 8"/>
    <w:basedOn w:val="WW-Standard"/>
    <w:rsid w:val="00795C3E"/>
    <w:pPr>
      <w:widowControl w:val="0"/>
      <w:spacing w:before="0"/>
      <w:ind w:left="1680"/>
      <w:jc w:val="left"/>
    </w:pPr>
  </w:style>
  <w:style w:type="paragraph" w:customStyle="1" w:styleId="Contents9">
    <w:name w:val="Contents 9"/>
    <w:basedOn w:val="WW-Standard"/>
    <w:rsid w:val="00795C3E"/>
    <w:pPr>
      <w:widowControl w:val="0"/>
      <w:spacing w:before="0"/>
      <w:ind w:left="1920"/>
      <w:jc w:val="left"/>
    </w:pPr>
  </w:style>
  <w:style w:type="paragraph" w:customStyle="1" w:styleId="Paragraphedeliste1">
    <w:name w:val="Paragraphe de liste1"/>
    <w:basedOn w:val="WW-Standard"/>
    <w:rsid w:val="00795C3E"/>
    <w:pPr>
      <w:widowControl w:val="0"/>
      <w:spacing w:before="0" w:after="200" w:line="276" w:lineRule="auto"/>
      <w:ind w:left="720"/>
      <w:jc w:val="left"/>
    </w:pPr>
    <w:rPr>
      <w:rFonts w:ascii="Calibri" w:hAnsi="Calibri"/>
      <w:sz w:val="22"/>
      <w:szCs w:val="22"/>
    </w:rPr>
  </w:style>
  <w:style w:type="paragraph" w:customStyle="1" w:styleId="Index11">
    <w:name w:val="Index 11"/>
    <w:basedOn w:val="WW-Standard"/>
    <w:rsid w:val="00795C3E"/>
    <w:pPr>
      <w:widowControl w:val="0"/>
      <w:spacing w:before="0"/>
      <w:ind w:left="240" w:hanging="240"/>
      <w:jc w:val="left"/>
    </w:pPr>
    <w:rPr>
      <w:sz w:val="20"/>
      <w:szCs w:val="20"/>
    </w:rPr>
  </w:style>
  <w:style w:type="paragraph" w:customStyle="1" w:styleId="Index21">
    <w:name w:val="Index 21"/>
    <w:basedOn w:val="WW-Standard"/>
    <w:rsid w:val="00795C3E"/>
    <w:pPr>
      <w:widowControl w:val="0"/>
      <w:spacing w:before="0"/>
      <w:ind w:left="480" w:hanging="240"/>
      <w:jc w:val="left"/>
    </w:pPr>
    <w:rPr>
      <w:sz w:val="20"/>
      <w:szCs w:val="20"/>
    </w:rPr>
  </w:style>
  <w:style w:type="paragraph" w:customStyle="1" w:styleId="Index31">
    <w:name w:val="Index 31"/>
    <w:basedOn w:val="WW-Standard"/>
    <w:rsid w:val="00795C3E"/>
    <w:pPr>
      <w:widowControl w:val="0"/>
      <w:spacing w:before="0"/>
      <w:ind w:left="720" w:hanging="240"/>
      <w:jc w:val="left"/>
    </w:pPr>
    <w:rPr>
      <w:sz w:val="20"/>
      <w:szCs w:val="20"/>
    </w:rPr>
  </w:style>
  <w:style w:type="paragraph" w:customStyle="1" w:styleId="Index41">
    <w:name w:val="Index 41"/>
    <w:basedOn w:val="WW-Standard"/>
    <w:rsid w:val="00795C3E"/>
    <w:pPr>
      <w:widowControl w:val="0"/>
      <w:spacing w:before="0"/>
      <w:ind w:left="960" w:hanging="240"/>
      <w:jc w:val="left"/>
    </w:pPr>
    <w:rPr>
      <w:sz w:val="20"/>
      <w:szCs w:val="20"/>
    </w:rPr>
  </w:style>
  <w:style w:type="paragraph" w:customStyle="1" w:styleId="Index51">
    <w:name w:val="Index 51"/>
    <w:basedOn w:val="WW-Standard"/>
    <w:rsid w:val="00795C3E"/>
    <w:pPr>
      <w:widowControl w:val="0"/>
      <w:spacing w:before="0"/>
      <w:ind w:left="1200" w:hanging="240"/>
      <w:jc w:val="left"/>
    </w:pPr>
    <w:rPr>
      <w:sz w:val="20"/>
      <w:szCs w:val="20"/>
    </w:rPr>
  </w:style>
  <w:style w:type="paragraph" w:customStyle="1" w:styleId="Index61">
    <w:name w:val="Index 61"/>
    <w:basedOn w:val="WW-Standard"/>
    <w:rsid w:val="00795C3E"/>
    <w:pPr>
      <w:widowControl w:val="0"/>
      <w:spacing w:before="0"/>
      <w:ind w:left="1440" w:hanging="240"/>
      <w:jc w:val="left"/>
    </w:pPr>
    <w:rPr>
      <w:sz w:val="20"/>
      <w:szCs w:val="20"/>
    </w:rPr>
  </w:style>
  <w:style w:type="paragraph" w:customStyle="1" w:styleId="Index71">
    <w:name w:val="Index 71"/>
    <w:basedOn w:val="WW-Standard"/>
    <w:rsid w:val="00795C3E"/>
    <w:pPr>
      <w:widowControl w:val="0"/>
      <w:spacing w:before="0"/>
      <w:ind w:left="1680" w:hanging="240"/>
      <w:jc w:val="left"/>
    </w:pPr>
    <w:rPr>
      <w:sz w:val="20"/>
      <w:szCs w:val="20"/>
    </w:rPr>
  </w:style>
  <w:style w:type="paragraph" w:customStyle="1" w:styleId="Index81">
    <w:name w:val="Index 81"/>
    <w:basedOn w:val="WW-Standard"/>
    <w:rsid w:val="00795C3E"/>
    <w:pPr>
      <w:widowControl w:val="0"/>
      <w:spacing w:before="0"/>
      <w:ind w:left="1920" w:hanging="240"/>
      <w:jc w:val="left"/>
    </w:pPr>
    <w:rPr>
      <w:sz w:val="20"/>
      <w:szCs w:val="20"/>
    </w:rPr>
  </w:style>
  <w:style w:type="paragraph" w:customStyle="1" w:styleId="Index91">
    <w:name w:val="Index 91"/>
    <w:basedOn w:val="WW-Standard"/>
    <w:rsid w:val="00795C3E"/>
    <w:pPr>
      <w:widowControl w:val="0"/>
      <w:spacing w:before="0"/>
      <w:ind w:left="2160" w:hanging="240"/>
      <w:jc w:val="left"/>
    </w:pPr>
    <w:rPr>
      <w:sz w:val="20"/>
      <w:szCs w:val="20"/>
    </w:rPr>
  </w:style>
  <w:style w:type="paragraph" w:customStyle="1" w:styleId="Titreindex1">
    <w:name w:val="Titre index1"/>
    <w:basedOn w:val="WW-Standard"/>
    <w:rsid w:val="00795C3E"/>
    <w:pPr>
      <w:widowControl w:val="0"/>
      <w:spacing w:after="120"/>
      <w:jc w:val="left"/>
    </w:pPr>
    <w:rPr>
      <w:b/>
      <w:bCs/>
      <w:i/>
      <w:sz w:val="20"/>
      <w:szCs w:val="20"/>
    </w:rPr>
  </w:style>
  <w:style w:type="paragraph" w:customStyle="1" w:styleId="Paragraphedeliste2">
    <w:name w:val="Paragraphe de liste2"/>
    <w:basedOn w:val="WW-Standard"/>
    <w:rsid w:val="00795C3E"/>
    <w:pPr>
      <w:widowControl w:val="0"/>
      <w:spacing w:before="0"/>
      <w:ind w:left="720"/>
      <w:jc w:val="left"/>
    </w:pPr>
    <w:rPr>
      <w:rFonts w:ascii="Calibri" w:hAnsi="Calibri"/>
      <w:sz w:val="22"/>
      <w:szCs w:val="22"/>
      <w:lang w:val="fr-BE"/>
    </w:rPr>
  </w:style>
  <w:style w:type="paragraph" w:customStyle="1" w:styleId="Signaturelectronique1">
    <w:name w:val="Signature électronique1"/>
    <w:basedOn w:val="WW-Standard"/>
    <w:rsid w:val="00795C3E"/>
    <w:pPr>
      <w:widowControl w:val="0"/>
      <w:spacing w:before="0"/>
      <w:jc w:val="left"/>
    </w:pPr>
    <w:rPr>
      <w:rFonts w:ascii="Calibri" w:hAnsi="Calibri"/>
      <w:sz w:val="22"/>
    </w:rPr>
  </w:style>
  <w:style w:type="paragraph" w:customStyle="1" w:styleId="Listepuces1">
    <w:name w:val="Liste à puces1"/>
    <w:basedOn w:val="WW-Standard"/>
    <w:rsid w:val="00795C3E"/>
    <w:pPr>
      <w:widowControl w:val="0"/>
      <w:spacing w:before="0" w:after="180" w:line="264" w:lineRule="auto"/>
      <w:jc w:val="left"/>
    </w:pPr>
    <w:rPr>
      <w:rFonts w:ascii="Tw Cen MT" w:hAnsi="Tw Cen MT"/>
    </w:rPr>
  </w:style>
  <w:style w:type="paragraph" w:customStyle="1" w:styleId="Textebrut1">
    <w:name w:val="Texte brut1"/>
    <w:basedOn w:val="WW-Standard"/>
    <w:rsid w:val="00795C3E"/>
    <w:pPr>
      <w:widowControl w:val="0"/>
      <w:spacing w:before="0"/>
      <w:jc w:val="left"/>
    </w:pPr>
    <w:rPr>
      <w:rFonts w:ascii="Verdana" w:hAnsi="Verdana"/>
      <w:sz w:val="20"/>
      <w:szCs w:val="21"/>
      <w:lang w:val="fr-BE"/>
    </w:rPr>
  </w:style>
  <w:style w:type="paragraph" w:customStyle="1" w:styleId="WW-Corpsdetexte22">
    <w:name w:val="WW-Corps de texte 22"/>
    <w:basedOn w:val="WW-Standard"/>
    <w:rsid w:val="00795C3E"/>
    <w:pPr>
      <w:widowControl w:val="0"/>
      <w:spacing w:after="120"/>
    </w:pPr>
  </w:style>
  <w:style w:type="paragraph" w:customStyle="1" w:styleId="Framecontents">
    <w:name w:val="Frame contents"/>
    <w:basedOn w:val="Textbody"/>
    <w:rsid w:val="00795C3E"/>
  </w:style>
  <w:style w:type="paragraph" w:customStyle="1" w:styleId="TableContents">
    <w:name w:val="Table Contents"/>
    <w:basedOn w:val="WW-Standard"/>
    <w:rsid w:val="00795C3E"/>
    <w:pPr>
      <w:widowControl w:val="0"/>
    </w:pPr>
  </w:style>
  <w:style w:type="paragraph" w:customStyle="1" w:styleId="heading31">
    <w:name w:val="heading 3_1"/>
    <w:basedOn w:val="WW-Standard"/>
    <w:next w:val="Textbody"/>
    <w:rsid w:val="00795C3E"/>
    <w:pPr>
      <w:keepNext/>
      <w:widowControl w:val="0"/>
      <w:tabs>
        <w:tab w:val="left" w:pos="720"/>
      </w:tabs>
      <w:spacing w:after="120"/>
    </w:pPr>
    <w:rPr>
      <w:b/>
      <w:bCs/>
      <w:i/>
      <w:u w:val="single"/>
    </w:rPr>
  </w:style>
  <w:style w:type="paragraph" w:customStyle="1" w:styleId="Heading10">
    <w:name w:val="Heading 10"/>
    <w:basedOn w:val="Heading"/>
    <w:next w:val="Textbody"/>
    <w:rsid w:val="00795C3E"/>
    <w:pPr>
      <w:tabs>
        <w:tab w:val="left" w:pos="360"/>
      </w:tabs>
    </w:pPr>
    <w:rPr>
      <w:b/>
      <w:bCs/>
      <w:sz w:val="21"/>
      <w:szCs w:val="21"/>
    </w:rPr>
  </w:style>
  <w:style w:type="paragraph" w:customStyle="1" w:styleId="Frame">
    <w:name w:val="Frame"/>
    <w:rsid w:val="00795C3E"/>
    <w:pPr>
      <w:widowControl w:val="0"/>
      <w:suppressAutoHyphens/>
      <w:spacing w:after="0" w:line="240" w:lineRule="auto"/>
    </w:pPr>
    <w:rPr>
      <w:rFonts w:ascii="Times New Roman" w:eastAsia="Arial" w:hAnsi="Times New Roman" w:cs="Times New Roman"/>
      <w:kern w:val="1"/>
      <w:sz w:val="20"/>
      <w:szCs w:val="20"/>
      <w:lang w:val="fr-BE" w:eastAsia="zh-CN"/>
    </w:rPr>
  </w:style>
  <w:style w:type="paragraph" w:customStyle="1" w:styleId="notetext">
    <w:name w:val="note text"/>
    <w:rsid w:val="00795C3E"/>
    <w:pPr>
      <w:widowControl w:val="0"/>
      <w:suppressAutoHyphens/>
      <w:spacing w:after="0" w:line="240" w:lineRule="auto"/>
    </w:pPr>
    <w:rPr>
      <w:rFonts w:ascii="Times New Roman" w:eastAsia="Arial" w:hAnsi="Times New Roman" w:cs="Times New Roman"/>
      <w:kern w:val="1"/>
      <w:sz w:val="20"/>
      <w:szCs w:val="20"/>
      <w:lang w:val="fr-BE" w:eastAsia="zh-CN"/>
    </w:rPr>
  </w:style>
  <w:style w:type="paragraph" w:customStyle="1" w:styleId="notetext1">
    <w:name w:val="note text_1"/>
    <w:rsid w:val="00795C3E"/>
    <w:pPr>
      <w:widowControl w:val="0"/>
      <w:suppressAutoHyphens/>
      <w:spacing w:after="0" w:line="240" w:lineRule="auto"/>
    </w:pPr>
    <w:rPr>
      <w:rFonts w:ascii="Times New Roman" w:eastAsia="Arial" w:hAnsi="Times New Roman" w:cs="Times New Roman"/>
      <w:kern w:val="1"/>
      <w:sz w:val="20"/>
      <w:szCs w:val="20"/>
      <w:lang w:val="fr-BE" w:eastAsia="zh-CN"/>
    </w:rPr>
  </w:style>
  <w:style w:type="paragraph" w:customStyle="1" w:styleId="Contenudetableau">
    <w:name w:val="Contenu de tableau"/>
    <w:basedOn w:val="Normal"/>
    <w:rsid w:val="00795C3E"/>
    <w:pPr>
      <w:widowControl w:val="0"/>
      <w:suppressLineNumbers/>
      <w:suppressAutoHyphens/>
      <w:spacing w:after="120" w:line="240" w:lineRule="auto"/>
    </w:pPr>
    <w:rPr>
      <w:rFonts w:ascii="Calibri" w:eastAsia="Times New Roman" w:hAnsi="Calibri" w:cs="Times New Roman"/>
      <w:kern w:val="1"/>
      <w:sz w:val="20"/>
      <w:szCs w:val="20"/>
      <w:lang w:eastAsia="zh-CN"/>
    </w:rPr>
  </w:style>
  <w:style w:type="paragraph" w:customStyle="1" w:styleId="Titredetableau">
    <w:name w:val="Titre de tableau"/>
    <w:basedOn w:val="Contenudetableau"/>
    <w:rsid w:val="00795C3E"/>
    <w:pPr>
      <w:jc w:val="center"/>
    </w:pPr>
    <w:rPr>
      <w:b/>
      <w:bCs/>
    </w:rPr>
  </w:style>
  <w:style w:type="paragraph" w:customStyle="1" w:styleId="Contenuducadre">
    <w:name w:val="Contenu du cadre"/>
    <w:basedOn w:val="Corpsdetexte"/>
    <w:rsid w:val="00795C3E"/>
    <w:pPr>
      <w:widowControl w:val="0"/>
      <w:suppressAutoHyphens/>
      <w:spacing w:line="240" w:lineRule="auto"/>
    </w:pPr>
    <w:rPr>
      <w:rFonts w:ascii="Calibri" w:eastAsia="Times New Roman" w:hAnsi="Calibri" w:cs="Times New Roman"/>
      <w:kern w:val="1"/>
      <w:sz w:val="20"/>
      <w:szCs w:val="20"/>
      <w:lang w:eastAsia="zh-CN"/>
    </w:rPr>
  </w:style>
  <w:style w:type="character" w:customStyle="1" w:styleId="Corpsdetexte2Car1">
    <w:name w:val="Corps de texte 2 Car1"/>
    <w:basedOn w:val="Policepardfaut"/>
    <w:semiHidden/>
    <w:rsid w:val="00795C3E"/>
    <w:rPr>
      <w:rFonts w:ascii="Calibri" w:eastAsia="Times New Roman" w:hAnsi="Calibri" w:cs="Times New Roman"/>
      <w:kern w:val="1"/>
      <w:sz w:val="20"/>
      <w:szCs w:val="20"/>
      <w:lang w:eastAsia="zh-CN"/>
    </w:rPr>
  </w:style>
  <w:style w:type="character" w:customStyle="1" w:styleId="Retraitcorpsdetexte3Car1">
    <w:name w:val="Retrait corps de texte 3 Car1"/>
    <w:semiHidden/>
    <w:rsid w:val="00795C3E"/>
    <w:rPr>
      <w:rFonts w:ascii="Arial" w:eastAsia="Times New Roman" w:hAnsi="Arial"/>
      <w:color w:val="0000FF"/>
      <w:szCs w:val="20"/>
      <w:lang w:val="fr-BE" w:eastAsia="zh-CN"/>
    </w:rPr>
  </w:style>
  <w:style w:type="character" w:customStyle="1" w:styleId="Corpsdetexte3Car1">
    <w:name w:val="Corps de texte 3 Car1"/>
    <w:basedOn w:val="Policepardfaut"/>
    <w:semiHidden/>
    <w:rsid w:val="00795C3E"/>
    <w:rPr>
      <w:rFonts w:ascii="Calibri" w:eastAsia="Times New Roman" w:hAnsi="Calibri" w:cs="Times New Roman"/>
      <w:color w:val="FF00FF"/>
      <w:kern w:val="1"/>
      <w:sz w:val="24"/>
      <w:szCs w:val="20"/>
      <w:u w:val="single"/>
      <w:lang w:eastAsia="zh-CN"/>
    </w:rPr>
  </w:style>
  <w:style w:type="character" w:customStyle="1" w:styleId="NotedebasdepageCar1">
    <w:name w:val="Note de bas de page Car1"/>
    <w:semiHidden/>
    <w:rsid w:val="00795C3E"/>
    <w:rPr>
      <w:noProof w:val="0"/>
      <w:kern w:val="1"/>
      <w:lang w:eastAsia="zh-CN"/>
    </w:rPr>
  </w:style>
  <w:style w:type="character" w:customStyle="1" w:styleId="Titre6Car1">
    <w:name w:val="Titre 6 Car1"/>
    <w:semiHidden/>
    <w:rsid w:val="00795C3E"/>
    <w:rPr>
      <w:rFonts w:ascii="Calibri" w:hAnsi="Calibri"/>
      <w:b/>
      <w:bCs/>
      <w:noProof w:val="0"/>
      <w:kern w:val="1"/>
      <w:sz w:val="22"/>
      <w:szCs w:val="22"/>
      <w:lang w:eastAsia="zh-CN"/>
    </w:rPr>
  </w:style>
  <w:style w:type="character" w:customStyle="1" w:styleId="Titre9Car1">
    <w:name w:val="Titre 9 Car1"/>
    <w:rsid w:val="00795C3E"/>
    <w:rPr>
      <w:rFonts w:ascii="Cambria" w:hAnsi="Cambria"/>
      <w:noProof w:val="0"/>
      <w:kern w:val="1"/>
      <w:sz w:val="22"/>
      <w:szCs w:val="22"/>
      <w:lang w:eastAsia="zh-CN"/>
    </w:rPr>
  </w:style>
  <w:style w:type="paragraph" w:styleId="Retraitcorpsdetexte">
    <w:name w:val="Body Text Indent"/>
    <w:basedOn w:val="Normal"/>
    <w:link w:val="RetraitcorpsdetexteCar1"/>
    <w:uiPriority w:val="99"/>
    <w:semiHidden/>
    <w:unhideWhenUsed/>
    <w:rsid w:val="00795C3E"/>
    <w:pPr>
      <w:widowControl w:val="0"/>
      <w:suppressAutoHyphens/>
      <w:spacing w:after="120" w:line="240" w:lineRule="auto"/>
      <w:ind w:left="283"/>
    </w:pPr>
    <w:rPr>
      <w:rFonts w:ascii="Calibri" w:eastAsia="Times New Roman" w:hAnsi="Calibri" w:cs="Times New Roman"/>
      <w:kern w:val="1"/>
      <w:sz w:val="20"/>
      <w:szCs w:val="20"/>
      <w:lang w:eastAsia="zh-CN"/>
    </w:rPr>
  </w:style>
  <w:style w:type="character" w:customStyle="1" w:styleId="RetraitcorpsdetexteCar1">
    <w:name w:val="Retrait corps de texte Car1"/>
    <w:basedOn w:val="Policepardfaut"/>
    <w:link w:val="Retraitcorpsdetexte"/>
    <w:uiPriority w:val="99"/>
    <w:semiHidden/>
    <w:rsid w:val="00795C3E"/>
    <w:rPr>
      <w:rFonts w:ascii="Calibri" w:eastAsia="Times New Roman" w:hAnsi="Calibri" w:cs="Times New Roman"/>
      <w:kern w:val="1"/>
      <w:sz w:val="20"/>
      <w:szCs w:val="20"/>
      <w:lang w:val="fr-BE" w:eastAsia="zh-CN"/>
    </w:rPr>
  </w:style>
  <w:style w:type="paragraph" w:styleId="NormalWeb">
    <w:name w:val="Normal (Web)"/>
    <w:basedOn w:val="Normal"/>
    <w:uiPriority w:val="99"/>
    <w:unhideWhenUsed/>
    <w:rsid w:val="00795C3E"/>
    <w:pPr>
      <w:spacing w:before="100" w:beforeAutospacing="1" w:after="100" w:afterAutospacing="1" w:line="240" w:lineRule="auto"/>
    </w:pPr>
    <w:rPr>
      <w:rFonts w:ascii="Calibri" w:eastAsia="Times New Roman" w:hAnsi="Calibri" w:cs="Times New Roman"/>
      <w:sz w:val="24"/>
      <w:szCs w:val="24"/>
      <w:lang w:eastAsia="fr-BE"/>
    </w:rPr>
  </w:style>
  <w:style w:type="paragraph" w:customStyle="1" w:styleId="ww-standard0">
    <w:name w:val="ww-standard"/>
    <w:basedOn w:val="Normal"/>
    <w:rsid w:val="00795C3E"/>
    <w:pPr>
      <w:spacing w:after="120" w:line="240" w:lineRule="auto"/>
    </w:pPr>
    <w:rPr>
      <w:rFonts w:ascii="Calibri" w:eastAsia="Times New Roman" w:hAnsi="Calibri" w:cs="Times New Roman"/>
      <w:sz w:val="24"/>
      <w:szCs w:val="24"/>
      <w:lang w:eastAsia="fr-BE"/>
    </w:rPr>
  </w:style>
  <w:style w:type="paragraph" w:customStyle="1" w:styleId="titre410">
    <w:name w:val="titre41"/>
    <w:basedOn w:val="Normal"/>
    <w:rsid w:val="00795C3E"/>
    <w:pPr>
      <w:spacing w:after="120" w:line="240" w:lineRule="auto"/>
    </w:pPr>
    <w:rPr>
      <w:rFonts w:ascii="Calibri" w:eastAsia="Times New Roman" w:hAnsi="Calibri" w:cs="Times New Roman"/>
      <w:sz w:val="24"/>
      <w:szCs w:val="24"/>
      <w:lang w:eastAsia="fr-BE"/>
    </w:rPr>
  </w:style>
  <w:style w:type="paragraph" w:customStyle="1" w:styleId="CM1">
    <w:name w:val="CM1"/>
    <w:basedOn w:val="Normal"/>
    <w:next w:val="Normal"/>
    <w:uiPriority w:val="99"/>
    <w:rsid w:val="00795C3E"/>
    <w:pPr>
      <w:autoSpaceDE w:val="0"/>
      <w:autoSpaceDN w:val="0"/>
      <w:adjustRightInd w:val="0"/>
      <w:spacing w:after="120" w:line="240" w:lineRule="auto"/>
    </w:pPr>
    <w:rPr>
      <w:rFonts w:ascii="EUAlbertina" w:eastAsia="Times New Roman" w:hAnsi="EUAlbertina" w:cs="Times New Roman"/>
      <w:sz w:val="24"/>
      <w:szCs w:val="24"/>
      <w:lang w:eastAsia="fr-FR"/>
    </w:rPr>
  </w:style>
  <w:style w:type="paragraph" w:customStyle="1" w:styleId="CM3">
    <w:name w:val="CM3"/>
    <w:basedOn w:val="Normal"/>
    <w:next w:val="Normal"/>
    <w:uiPriority w:val="99"/>
    <w:rsid w:val="00795C3E"/>
    <w:pPr>
      <w:autoSpaceDE w:val="0"/>
      <w:autoSpaceDN w:val="0"/>
      <w:adjustRightInd w:val="0"/>
      <w:spacing w:after="120" w:line="240" w:lineRule="auto"/>
    </w:pPr>
    <w:rPr>
      <w:rFonts w:ascii="EUAlbertina" w:eastAsia="Times New Roman" w:hAnsi="EUAlbertina" w:cs="Times New Roman"/>
      <w:sz w:val="24"/>
      <w:szCs w:val="24"/>
      <w:lang w:eastAsia="fr-FR"/>
    </w:rPr>
  </w:style>
  <w:style w:type="paragraph" w:customStyle="1" w:styleId="Body1">
    <w:name w:val="Body 1"/>
    <w:rsid w:val="00795C3E"/>
    <w:pPr>
      <w:widowControl w:val="0"/>
      <w:suppressAutoHyphens/>
      <w:spacing w:after="0" w:line="240" w:lineRule="auto"/>
      <w:outlineLvl w:val="0"/>
    </w:pPr>
    <w:rPr>
      <w:rFonts w:ascii="Times New Roman" w:eastAsia="Arial Unicode MS" w:hAnsi="Times New Roman" w:cs="Times New Roman"/>
      <w:color w:val="000000"/>
      <w:kern w:val="2"/>
      <w:sz w:val="20"/>
      <w:szCs w:val="20"/>
      <w:u w:color="000000"/>
      <w:lang w:val="fr-BE" w:eastAsia="fr-BE"/>
    </w:rPr>
  </w:style>
  <w:style w:type="paragraph" w:customStyle="1" w:styleId="doubleretrait-pol10">
    <w:name w:val="double retrait-pol 10"/>
    <w:basedOn w:val="Normal"/>
    <w:rsid w:val="00795C3E"/>
    <w:pPr>
      <w:spacing w:after="120" w:line="240" w:lineRule="auto"/>
      <w:ind w:left="840" w:right="718"/>
    </w:pPr>
    <w:rPr>
      <w:rFonts w:ascii="Palatino" w:eastAsia="Times New Roman" w:hAnsi="Palatino" w:cs="Times New Roman"/>
      <w:sz w:val="20"/>
      <w:szCs w:val="24"/>
      <w:lang w:val="fr-FR" w:eastAsia="fr-FR"/>
    </w:rPr>
  </w:style>
  <w:style w:type="character" w:customStyle="1" w:styleId="thumbhidden">
    <w:name w:val="thumb_hidden"/>
    <w:basedOn w:val="Policepardfaut"/>
    <w:rsid w:val="00795C3E"/>
  </w:style>
  <w:style w:type="paragraph" w:customStyle="1" w:styleId="Default">
    <w:name w:val="Default"/>
    <w:rsid w:val="00795C3E"/>
    <w:pPr>
      <w:autoSpaceDE w:val="0"/>
      <w:autoSpaceDN w:val="0"/>
      <w:adjustRightInd w:val="0"/>
      <w:spacing w:after="0" w:line="240" w:lineRule="auto"/>
    </w:pPr>
    <w:rPr>
      <w:rFonts w:ascii="Verdana" w:eastAsia="Calibri" w:hAnsi="Verdana" w:cs="Verdana"/>
      <w:color w:val="000000"/>
      <w:sz w:val="24"/>
      <w:szCs w:val="24"/>
      <w:lang w:val="fr-BE"/>
    </w:rPr>
  </w:style>
  <w:style w:type="character" w:customStyle="1" w:styleId="st1">
    <w:name w:val="st1"/>
    <w:basedOn w:val="Policepardfaut"/>
    <w:rsid w:val="00795C3E"/>
  </w:style>
  <w:style w:type="paragraph" w:customStyle="1" w:styleId="para-artnum11">
    <w:name w:val="para-artnum11"/>
    <w:basedOn w:val="Normal"/>
    <w:rsid w:val="00795C3E"/>
    <w:pPr>
      <w:spacing w:before="77" w:after="61" w:line="360" w:lineRule="atLeast"/>
    </w:pPr>
    <w:rPr>
      <w:rFonts w:ascii="Calibri" w:eastAsia="Times New Roman" w:hAnsi="Calibri" w:cs="Times New Roman"/>
      <w:sz w:val="24"/>
      <w:szCs w:val="24"/>
      <w:lang w:eastAsia="fr-BE"/>
    </w:rPr>
  </w:style>
  <w:style w:type="paragraph" w:customStyle="1" w:styleId="para1">
    <w:name w:val="para1"/>
    <w:basedOn w:val="Normal"/>
    <w:rsid w:val="00795C3E"/>
    <w:pPr>
      <w:spacing w:before="77" w:after="61" w:line="360" w:lineRule="atLeast"/>
    </w:pPr>
    <w:rPr>
      <w:rFonts w:ascii="Calibri" w:eastAsia="Times New Roman" w:hAnsi="Calibri" w:cs="Times New Roman"/>
      <w:sz w:val="24"/>
      <w:szCs w:val="24"/>
      <w:lang w:eastAsia="fr-BE"/>
    </w:rPr>
  </w:style>
  <w:style w:type="character" w:styleId="Numrodepage">
    <w:name w:val="page number"/>
    <w:basedOn w:val="Policepardfaut"/>
    <w:uiPriority w:val="99"/>
    <w:semiHidden/>
    <w:unhideWhenUsed/>
    <w:rsid w:val="00795C3E"/>
  </w:style>
  <w:style w:type="paragraph" w:styleId="Rvision">
    <w:name w:val="Revision"/>
    <w:hidden/>
    <w:uiPriority w:val="99"/>
    <w:semiHidden/>
    <w:rsid w:val="00795C3E"/>
    <w:pPr>
      <w:spacing w:after="0" w:line="240" w:lineRule="auto"/>
    </w:pPr>
    <w:rPr>
      <w:rFonts w:ascii="Times New Roman" w:eastAsia="Times New Roman" w:hAnsi="Times New Roman" w:cs="Times New Roman"/>
      <w:sz w:val="24"/>
      <w:szCs w:val="24"/>
      <w:lang w:val="fr-FR" w:eastAsia="fr-FR"/>
    </w:rPr>
  </w:style>
  <w:style w:type="character" w:customStyle="1" w:styleId="SansinterligneCar">
    <w:name w:val="Sans interligne Car"/>
    <w:basedOn w:val="Policepardfaut"/>
    <w:link w:val="Sansinterligne"/>
    <w:uiPriority w:val="1"/>
    <w:rsid w:val="00795C3E"/>
  </w:style>
  <w:style w:type="character" w:customStyle="1" w:styleId="Titre4Car1">
    <w:name w:val="Titre 4 Car1"/>
    <w:basedOn w:val="Policepardfaut"/>
    <w:uiPriority w:val="9"/>
    <w:rsid w:val="00795C3E"/>
    <w:rPr>
      <w:rFonts w:asciiTheme="majorHAnsi" w:eastAsiaTheme="majorEastAsia" w:hAnsiTheme="majorHAnsi" w:cstheme="majorBidi"/>
      <w:b/>
      <w:bCs/>
      <w:i/>
      <w:iCs/>
      <w:color w:val="4F81BD" w:themeColor="accent1"/>
      <w:lang w:val="en-US"/>
    </w:rPr>
  </w:style>
  <w:style w:type="character" w:customStyle="1" w:styleId="Titre5Car2">
    <w:name w:val="Titre 5 Car2"/>
    <w:basedOn w:val="Policepardfaut"/>
    <w:uiPriority w:val="9"/>
    <w:rsid w:val="00795C3E"/>
    <w:rPr>
      <w:rFonts w:asciiTheme="majorHAnsi" w:eastAsiaTheme="majorEastAsia" w:hAnsiTheme="majorHAnsi" w:cstheme="majorBidi"/>
      <w:color w:val="243F60" w:themeColor="accent1" w:themeShade="7F"/>
      <w:lang w:val="en-US"/>
    </w:rPr>
  </w:style>
  <w:style w:type="character" w:customStyle="1" w:styleId="breadcrumb-separator">
    <w:name w:val="breadcrumb-separator"/>
    <w:basedOn w:val="Policepardfaut"/>
    <w:rsid w:val="00795C3E"/>
  </w:style>
  <w:style w:type="character" w:customStyle="1" w:styleId="link">
    <w:name w:val="link"/>
    <w:basedOn w:val="Policepardfaut"/>
    <w:rsid w:val="00795C3E"/>
  </w:style>
  <w:style w:type="paragraph" w:customStyle="1" w:styleId="Standard">
    <w:name w:val="Standard"/>
    <w:rsid w:val="00795C3E"/>
    <w:pPr>
      <w:widowControl w:val="0"/>
      <w:suppressAutoHyphens/>
      <w:autoSpaceDN w:val="0"/>
      <w:spacing w:after="0" w:line="240" w:lineRule="auto"/>
      <w:textAlignment w:val="baseline"/>
    </w:pPr>
    <w:rPr>
      <w:rFonts w:ascii="Times New Roman" w:eastAsia="SimSun" w:hAnsi="Times New Roman" w:cs="Arial"/>
      <w:kern w:val="3"/>
      <w:sz w:val="24"/>
      <w:szCs w:val="24"/>
      <w:lang w:val="fr-BE" w:eastAsia="zh-CN" w:bidi="hi-IN"/>
    </w:rPr>
  </w:style>
  <w:style w:type="paragraph" w:customStyle="1" w:styleId="xmsonormal">
    <w:name w:val="x_msonormal"/>
    <w:basedOn w:val="Normal"/>
    <w:rsid w:val="00795C3E"/>
    <w:pPr>
      <w:spacing w:after="120" w:line="240" w:lineRule="auto"/>
    </w:pPr>
    <w:rPr>
      <w:rFonts w:ascii="Calibri" w:eastAsiaTheme="minorHAnsi" w:hAnsi="Calibri" w:cs="Calibri"/>
      <w:lang w:val="fr-FR" w:eastAsia="fr-FR"/>
    </w:rPr>
  </w:style>
  <w:style w:type="paragraph" w:customStyle="1" w:styleId="norm12-12">
    <w:name w:val="norm 12-12"/>
    <w:basedOn w:val="Normal"/>
    <w:link w:val="norm12-12Car"/>
    <w:qFormat/>
    <w:rsid w:val="00795C3E"/>
    <w:pPr>
      <w:spacing w:before="240" w:after="240" w:line="240" w:lineRule="auto"/>
    </w:pPr>
    <w:rPr>
      <w:rFonts w:ascii="Trebuchet MS" w:eastAsia="Times New Roman" w:hAnsi="Trebuchet MS"/>
      <w:sz w:val="24"/>
      <w:szCs w:val="24"/>
      <w:lang w:eastAsia="fr-FR"/>
    </w:rPr>
  </w:style>
  <w:style w:type="character" w:customStyle="1" w:styleId="norm12-12Car">
    <w:name w:val="norm 12-12 Car"/>
    <w:basedOn w:val="Policepardfaut"/>
    <w:link w:val="norm12-12"/>
    <w:rsid w:val="00795C3E"/>
    <w:rPr>
      <w:rFonts w:ascii="Trebuchet MS" w:eastAsia="Times New Roman" w:hAnsi="Trebuchet MS"/>
      <w:sz w:val="24"/>
      <w:szCs w:val="24"/>
      <w:lang w:val="fr-BE" w:eastAsia="fr-FR"/>
    </w:rPr>
  </w:style>
  <w:style w:type="character" w:customStyle="1" w:styleId="cf01">
    <w:name w:val="cf01"/>
    <w:basedOn w:val="Policepardfaut"/>
    <w:rsid w:val="00795C3E"/>
    <w:rPr>
      <w:rFonts w:ascii="Segoe UI" w:hAnsi="Segoe UI" w:cs="Segoe UI" w:hint="default"/>
      <w:sz w:val="18"/>
      <w:szCs w:val="18"/>
    </w:rPr>
  </w:style>
  <w:style w:type="paragraph" w:customStyle="1" w:styleId="Style2">
    <w:name w:val="Style2"/>
    <w:basedOn w:val="Sam2"/>
    <w:link w:val="Style2Car"/>
    <w:qFormat/>
    <w:rsid w:val="00795C3E"/>
    <w:pPr>
      <w:numPr>
        <w:numId w:val="3"/>
      </w:numPr>
      <w:jc w:val="both"/>
    </w:pPr>
    <w:rPr>
      <w:sz w:val="26"/>
    </w:rPr>
  </w:style>
  <w:style w:type="character" w:customStyle="1" w:styleId="Style2Car">
    <w:name w:val="Style2 Car"/>
    <w:basedOn w:val="Sam2Car"/>
    <w:link w:val="Style2"/>
    <w:rsid w:val="00795C3E"/>
    <w:rPr>
      <w:rFonts w:ascii="Calibri" w:eastAsia="Times New Roman" w:hAnsi="Calibri" w:cs="Times New Roman"/>
      <w:b/>
      <w:sz w:val="26"/>
      <w:szCs w:val="26"/>
      <w:u w:val="single"/>
      <w:lang w:val="fr-BE" w:eastAsia="fr-FR"/>
    </w:rPr>
  </w:style>
  <w:style w:type="numbering" w:customStyle="1" w:styleId="Style3">
    <w:name w:val="Style3"/>
    <w:uiPriority w:val="99"/>
    <w:rsid w:val="00795C3E"/>
    <w:pPr>
      <w:numPr>
        <w:numId w:val="39"/>
      </w:numPr>
    </w:pPr>
  </w:style>
  <w:style w:type="paragraph" w:customStyle="1" w:styleId="2">
    <w:name w:val="2"/>
    <w:basedOn w:val="Titre2"/>
    <w:link w:val="2Car"/>
    <w:autoRedefine/>
    <w:qFormat/>
    <w:rsid w:val="00795C3E"/>
    <w:pPr>
      <w:numPr>
        <w:ilvl w:val="1"/>
        <w:numId w:val="44"/>
      </w:numPr>
      <w:spacing w:after="200" w:line="264" w:lineRule="auto"/>
    </w:pPr>
    <w:rPr>
      <w:rFonts w:ascii="Calibri" w:eastAsia="Times New Roman" w:hAnsi="Calibri" w:cs="Times New Roman"/>
      <w:b w:val="0"/>
      <w:i/>
      <w:iCs/>
      <w:sz w:val="24"/>
      <w:szCs w:val="24"/>
      <w:u w:val="single"/>
      <w:lang w:val="fr-FR" w:eastAsia="zh-CN"/>
    </w:rPr>
  </w:style>
  <w:style w:type="character" w:customStyle="1" w:styleId="2Car">
    <w:name w:val="2 Car"/>
    <w:basedOn w:val="Titre2Car"/>
    <w:link w:val="2"/>
    <w:rsid w:val="00795C3E"/>
    <w:rPr>
      <w:rFonts w:ascii="Calibri" w:eastAsia="Times New Roman" w:hAnsi="Calibri" w:cs="Times New Roman"/>
      <w:b w:val="0"/>
      <w:bCs/>
      <w:i/>
      <w:iCs/>
      <w:sz w:val="24"/>
      <w:szCs w:val="24"/>
      <w:u w:val="single"/>
      <w:lang w:val="fr-FR" w:eastAsia="zh-CN"/>
    </w:rPr>
  </w:style>
  <w:style w:type="paragraph" w:customStyle="1" w:styleId="4">
    <w:name w:val="4"/>
    <w:basedOn w:val="Sam3"/>
    <w:link w:val="4Car"/>
    <w:autoRedefine/>
    <w:qFormat/>
    <w:rsid w:val="00795C3E"/>
    <w:pPr>
      <w:spacing w:after="200"/>
    </w:pPr>
    <w:rPr>
      <w:b/>
      <w:bCs/>
      <w:i/>
    </w:rPr>
  </w:style>
  <w:style w:type="character" w:customStyle="1" w:styleId="Sam3Car">
    <w:name w:val="Sam 3 Car"/>
    <w:basedOn w:val="Sam2Car"/>
    <w:link w:val="Sam3"/>
    <w:rsid w:val="009E3799"/>
    <w:rPr>
      <w:rFonts w:ascii="Calibri" w:eastAsia="Times New Roman" w:hAnsi="Calibri" w:cs="Calibri Light"/>
      <w:b w:val="0"/>
      <w:spacing w:val="-2"/>
      <w:sz w:val="28"/>
      <w:szCs w:val="26"/>
      <w:u w:val="single"/>
      <w:lang w:val="fr-BE" w:eastAsia="fr-FR"/>
    </w:rPr>
  </w:style>
  <w:style w:type="character" w:customStyle="1" w:styleId="4Car">
    <w:name w:val="4 Car"/>
    <w:basedOn w:val="Sam3Car"/>
    <w:link w:val="4"/>
    <w:rsid w:val="00795C3E"/>
    <w:rPr>
      <w:rFonts w:ascii="Calibri" w:eastAsia="PMingLiU" w:hAnsi="Calibri" w:cs="Times New Roman"/>
      <w:b/>
      <w:bCs/>
      <w:i/>
      <w:spacing w:val="-2"/>
      <w:sz w:val="24"/>
      <w:szCs w:val="24"/>
      <w:u w:val="single"/>
      <w:lang w:val="fr-BE" w:eastAsia="fr-FR"/>
    </w:rPr>
  </w:style>
  <w:style w:type="paragraph" w:customStyle="1" w:styleId="titre2bis">
    <w:name w:val="titre 2 bis"/>
    <w:basedOn w:val="Titre4"/>
    <w:link w:val="titre2bisCar"/>
    <w:qFormat/>
    <w:rsid w:val="00795C3E"/>
    <w:pPr>
      <w:keepLines w:val="0"/>
      <w:numPr>
        <w:numId w:val="40"/>
      </w:numPr>
      <w:spacing w:before="240" w:after="60" w:line="240" w:lineRule="auto"/>
    </w:pPr>
    <w:rPr>
      <w:rFonts w:ascii="Calibri" w:eastAsia="Times New Roman" w:hAnsi="Calibri" w:cs="Times New Roman"/>
      <w:b/>
      <w:i w:val="0"/>
      <w:iCs w:val="0"/>
      <w:sz w:val="24"/>
      <w:szCs w:val="28"/>
      <w:lang w:val="fr-FR" w:eastAsia="fr-FR"/>
    </w:rPr>
  </w:style>
  <w:style w:type="character" w:customStyle="1" w:styleId="titre2bisCar">
    <w:name w:val="titre 2 bis Car"/>
    <w:basedOn w:val="Titre4Car"/>
    <w:link w:val="titre2bis"/>
    <w:rsid w:val="00795C3E"/>
    <w:rPr>
      <w:rFonts w:ascii="Calibri" w:eastAsia="Times New Roman" w:hAnsi="Calibri" w:cs="Times New Roman"/>
      <w:b/>
      <w:bCs/>
      <w:i w:val="0"/>
      <w:iCs w:val="0"/>
      <w:sz w:val="24"/>
      <w:szCs w:val="28"/>
      <w:lang w:val="fr-FR" w:eastAsia="fr-FR"/>
    </w:rPr>
  </w:style>
  <w:style w:type="paragraph" w:customStyle="1" w:styleId="2BIS">
    <w:name w:val="2 BIS"/>
    <w:basedOn w:val="2"/>
    <w:link w:val="2BISCar"/>
    <w:qFormat/>
    <w:rsid w:val="00795C3E"/>
    <w:pPr>
      <w:numPr>
        <w:ilvl w:val="0"/>
        <w:numId w:val="41"/>
      </w:numPr>
    </w:pPr>
  </w:style>
  <w:style w:type="character" w:customStyle="1" w:styleId="2BISCar">
    <w:name w:val="2 BIS Car"/>
    <w:basedOn w:val="2Car"/>
    <w:link w:val="2BIS"/>
    <w:rsid w:val="00795C3E"/>
    <w:rPr>
      <w:rFonts w:ascii="Calibri" w:eastAsia="Times New Roman" w:hAnsi="Calibri" w:cs="Times New Roman"/>
      <w:b w:val="0"/>
      <w:bCs/>
      <w:i/>
      <w:iCs/>
      <w:sz w:val="24"/>
      <w:szCs w:val="24"/>
      <w:u w:val="single"/>
      <w:lang w:val="fr-FR" w:eastAsia="zh-CN"/>
    </w:rPr>
  </w:style>
  <w:style w:type="paragraph" w:customStyle="1" w:styleId="bis">
    <w:name w:val="bis"/>
    <w:basedOn w:val="2"/>
    <w:link w:val="bisCar"/>
    <w:autoRedefine/>
    <w:qFormat/>
    <w:rsid w:val="00795C3E"/>
    <w:pPr>
      <w:numPr>
        <w:ilvl w:val="0"/>
        <w:numId w:val="42"/>
      </w:numPr>
    </w:pPr>
  </w:style>
  <w:style w:type="character" w:customStyle="1" w:styleId="bisCar">
    <w:name w:val="bis Car"/>
    <w:basedOn w:val="2Car"/>
    <w:link w:val="bis"/>
    <w:rsid w:val="00795C3E"/>
    <w:rPr>
      <w:rFonts w:ascii="Calibri" w:eastAsia="Times New Roman" w:hAnsi="Calibri" w:cs="Times New Roman"/>
      <w:b w:val="0"/>
      <w:bCs/>
      <w:i/>
      <w:iCs/>
      <w:sz w:val="24"/>
      <w:szCs w:val="24"/>
      <w:u w:val="single"/>
      <w:lang w:val="fr-FR" w:eastAsia="zh-CN"/>
    </w:rPr>
  </w:style>
  <w:style w:type="paragraph" w:customStyle="1" w:styleId="22">
    <w:name w:val="22"/>
    <w:basedOn w:val="2"/>
    <w:link w:val="22Car"/>
    <w:qFormat/>
    <w:rsid w:val="00795C3E"/>
    <w:pPr>
      <w:numPr>
        <w:ilvl w:val="0"/>
        <w:numId w:val="43"/>
      </w:numPr>
    </w:pPr>
  </w:style>
  <w:style w:type="character" w:customStyle="1" w:styleId="22Car">
    <w:name w:val="22 Car"/>
    <w:basedOn w:val="2Car"/>
    <w:link w:val="22"/>
    <w:rsid w:val="00795C3E"/>
    <w:rPr>
      <w:rFonts w:ascii="Calibri" w:eastAsia="Times New Roman" w:hAnsi="Calibri" w:cs="Times New Roman"/>
      <w:b w:val="0"/>
      <w:bCs/>
      <w:i/>
      <w:iCs/>
      <w:sz w:val="24"/>
      <w:szCs w:val="24"/>
      <w:u w:val="single"/>
      <w:lang w:val="fr-FR" w:eastAsia="zh-CN"/>
    </w:rPr>
  </w:style>
  <w:style w:type="table" w:styleId="Grilledetableauclaire">
    <w:name w:val="Grid Table Light"/>
    <w:basedOn w:val="TableauNormal"/>
    <w:uiPriority w:val="99"/>
    <w:rsid w:val="00DA77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mmentReference1">
    <w:name w:val="Comment Reference1"/>
    <w:basedOn w:val="Policepardfaut"/>
    <w:uiPriority w:val="99"/>
    <w:unhideWhenUsed/>
    <w:rsid w:val="00FF4090"/>
    <w:rPr>
      <w:sz w:val="16"/>
      <w:szCs w:val="16"/>
    </w:rPr>
  </w:style>
  <w:style w:type="paragraph" w:customStyle="1" w:styleId="CommentText1">
    <w:name w:val="Comment Text1"/>
    <w:basedOn w:val="Normal"/>
    <w:link w:val="CommentTextChar"/>
    <w:uiPriority w:val="99"/>
    <w:unhideWhenUsed/>
    <w:rsid w:val="00FF4090"/>
    <w:pPr>
      <w:spacing w:line="240" w:lineRule="auto"/>
    </w:pPr>
    <w:rPr>
      <w:sz w:val="20"/>
      <w:szCs w:val="20"/>
    </w:rPr>
  </w:style>
  <w:style w:type="character" w:customStyle="1" w:styleId="CommentTextChar">
    <w:name w:val="Comment Text Char"/>
    <w:basedOn w:val="Policepardfaut"/>
    <w:link w:val="CommentText1"/>
    <w:uiPriority w:val="99"/>
    <w:rsid w:val="00FF4090"/>
    <w:rPr>
      <w:sz w:val="20"/>
      <w:szCs w:val="20"/>
      <w:lang w:val="fr-BE"/>
    </w:rPr>
  </w:style>
  <w:style w:type="paragraph" w:customStyle="1" w:styleId="CommentSubject1">
    <w:name w:val="Comment Subject1"/>
    <w:basedOn w:val="CommentText1"/>
    <w:next w:val="CommentText1"/>
    <w:link w:val="CommentSubjectChar"/>
    <w:rsid w:val="00FF4090"/>
    <w:pPr>
      <w:widowControl w:val="0"/>
      <w:suppressAutoHyphens/>
      <w:spacing w:after="120"/>
    </w:pPr>
    <w:rPr>
      <w:rFonts w:ascii="Calibri" w:eastAsia="Times New Roman" w:hAnsi="Calibri" w:cs="Times New Roman"/>
      <w:b/>
      <w:bCs/>
      <w:kern w:val="1"/>
      <w:lang w:eastAsia="zh-CN"/>
    </w:rPr>
  </w:style>
  <w:style w:type="character" w:customStyle="1" w:styleId="CommentSubjectChar">
    <w:name w:val="Comment Subject Char"/>
    <w:basedOn w:val="CommentTextChar"/>
    <w:link w:val="CommentSubject1"/>
    <w:rsid w:val="00FF4090"/>
    <w:rPr>
      <w:rFonts w:ascii="Calibri" w:eastAsia="Times New Roman" w:hAnsi="Calibri" w:cs="Times New Roman"/>
      <w:b/>
      <w:bCs/>
      <w:kern w:val="1"/>
      <w:sz w:val="20"/>
      <w:szCs w:val="20"/>
      <w:lang w:val="fr-BE" w:eastAsia="zh-CN"/>
    </w:rPr>
  </w:style>
  <w:style w:type="paragraph" w:customStyle="1" w:styleId="CommentText2">
    <w:name w:val="Comment Text2"/>
    <w:basedOn w:val="Normal"/>
    <w:link w:val="CommentTextChar1"/>
    <w:uiPriority w:val="99"/>
    <w:unhideWhenUsed/>
    <w:rsid w:val="00B172AC"/>
    <w:pPr>
      <w:spacing w:line="240" w:lineRule="auto"/>
    </w:pPr>
    <w:rPr>
      <w:sz w:val="20"/>
      <w:szCs w:val="20"/>
    </w:rPr>
  </w:style>
  <w:style w:type="character" w:customStyle="1" w:styleId="CommentTextChar1">
    <w:name w:val="Comment Text Char1"/>
    <w:basedOn w:val="Policepardfaut"/>
    <w:link w:val="CommentText2"/>
    <w:uiPriority w:val="99"/>
    <w:rsid w:val="00B172AC"/>
    <w:rPr>
      <w:sz w:val="20"/>
      <w:szCs w:val="20"/>
      <w:lang w:val="fr-BE"/>
    </w:rPr>
  </w:style>
  <w:style w:type="character" w:customStyle="1" w:styleId="CommentReference2">
    <w:name w:val="Comment Reference2"/>
    <w:basedOn w:val="Policepardfaut"/>
    <w:uiPriority w:val="99"/>
    <w:semiHidden/>
    <w:unhideWhenUsed/>
    <w:rsid w:val="00B172AC"/>
    <w:rPr>
      <w:sz w:val="16"/>
      <w:szCs w:val="16"/>
    </w:rPr>
  </w:style>
  <w:style w:type="paragraph" w:customStyle="1" w:styleId="CommentSubject2">
    <w:name w:val="Comment Subject2"/>
    <w:basedOn w:val="CommentText2"/>
    <w:next w:val="CommentText2"/>
    <w:link w:val="CommentSubjectChar1"/>
    <w:semiHidden/>
    <w:unhideWhenUsed/>
    <w:rsid w:val="00B172AC"/>
    <w:rPr>
      <w:b/>
      <w:bCs/>
    </w:rPr>
  </w:style>
  <w:style w:type="character" w:customStyle="1" w:styleId="CommentSubjectChar1">
    <w:name w:val="Comment Subject Char1"/>
    <w:basedOn w:val="CommentTextChar1"/>
    <w:link w:val="CommentSubject2"/>
    <w:semiHidden/>
    <w:rsid w:val="00B172AC"/>
    <w:rPr>
      <w:b/>
      <w:bCs/>
      <w:sz w:val="20"/>
      <w:szCs w:val="20"/>
      <w:lang w:val="fr-BE"/>
    </w:rPr>
  </w:style>
  <w:style w:type="paragraph" w:styleId="Commentaire">
    <w:name w:val="annotation text"/>
    <w:basedOn w:val="Normal"/>
    <w:link w:val="CommentaireCar1"/>
    <w:uiPriority w:val="99"/>
    <w:unhideWhenUsed/>
    <w:pPr>
      <w:spacing w:line="240" w:lineRule="auto"/>
    </w:pPr>
    <w:rPr>
      <w:sz w:val="20"/>
      <w:szCs w:val="20"/>
    </w:rPr>
  </w:style>
  <w:style w:type="character" w:customStyle="1" w:styleId="CommentaireCar1">
    <w:name w:val="Commentaire Car1"/>
    <w:basedOn w:val="Policepardfaut"/>
    <w:link w:val="Commentaire"/>
    <w:uiPriority w:val="99"/>
    <w:rPr>
      <w:sz w:val="20"/>
      <w:szCs w:val="20"/>
      <w:lang w:val="fr-BE"/>
    </w:rPr>
  </w:style>
  <w:style w:type="character" w:styleId="Marquedecommentaire">
    <w:name w:val="annotation reference"/>
    <w:basedOn w:val="Policepardfaut"/>
    <w:uiPriority w:val="99"/>
    <w:semiHidden/>
    <w:unhideWhenUsed/>
    <w:rPr>
      <w:sz w:val="16"/>
      <w:szCs w:val="16"/>
    </w:rPr>
  </w:style>
  <w:style w:type="character" w:customStyle="1" w:styleId="CommentReference3">
    <w:name w:val="Comment Reference3"/>
    <w:basedOn w:val="Policepardfaut"/>
    <w:uiPriority w:val="99"/>
    <w:semiHidden/>
    <w:unhideWhenUsed/>
    <w:rsid w:val="00310E42"/>
    <w:rPr>
      <w:sz w:val="16"/>
      <w:szCs w:val="16"/>
    </w:rPr>
  </w:style>
  <w:style w:type="paragraph" w:customStyle="1" w:styleId="CommentText3">
    <w:name w:val="Comment Text3"/>
    <w:basedOn w:val="Normal"/>
    <w:uiPriority w:val="99"/>
    <w:semiHidden/>
    <w:unhideWhenUsed/>
    <w:rsid w:val="00310E42"/>
    <w:pPr>
      <w:spacing w:line="240" w:lineRule="auto"/>
    </w:pPr>
    <w:rPr>
      <w:sz w:val="20"/>
      <w:szCs w:val="20"/>
    </w:rPr>
  </w:style>
  <w:style w:type="paragraph" w:styleId="Objetducommentaire">
    <w:name w:val="annotation subject"/>
    <w:basedOn w:val="Commentaire"/>
    <w:next w:val="Commentaire"/>
    <w:link w:val="ObjetducommentaireCar1"/>
    <w:semiHidden/>
    <w:unhideWhenUsed/>
    <w:rsid w:val="003803AC"/>
    <w:rPr>
      <w:b/>
      <w:bCs/>
    </w:rPr>
  </w:style>
  <w:style w:type="character" w:customStyle="1" w:styleId="ObjetducommentaireCar1">
    <w:name w:val="Objet du commentaire Car1"/>
    <w:basedOn w:val="CommentaireCar1"/>
    <w:link w:val="Objetducommentaire"/>
    <w:semiHidden/>
    <w:rsid w:val="003803AC"/>
    <w:rPr>
      <w:b/>
      <w:bCs/>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4645">
      <w:bodyDiv w:val="1"/>
      <w:marLeft w:val="0"/>
      <w:marRight w:val="0"/>
      <w:marTop w:val="0"/>
      <w:marBottom w:val="0"/>
      <w:divBdr>
        <w:top w:val="none" w:sz="0" w:space="0" w:color="auto"/>
        <w:left w:val="none" w:sz="0" w:space="0" w:color="auto"/>
        <w:bottom w:val="none" w:sz="0" w:space="0" w:color="auto"/>
        <w:right w:val="none" w:sz="0" w:space="0" w:color="auto"/>
      </w:divBdr>
    </w:div>
    <w:div w:id="333143813">
      <w:bodyDiv w:val="1"/>
      <w:marLeft w:val="0"/>
      <w:marRight w:val="0"/>
      <w:marTop w:val="0"/>
      <w:marBottom w:val="0"/>
      <w:divBdr>
        <w:top w:val="none" w:sz="0" w:space="0" w:color="auto"/>
        <w:left w:val="none" w:sz="0" w:space="0" w:color="auto"/>
        <w:bottom w:val="none" w:sz="0" w:space="0" w:color="auto"/>
        <w:right w:val="none" w:sz="0" w:space="0" w:color="auto"/>
      </w:divBdr>
    </w:div>
    <w:div w:id="719551670">
      <w:bodyDiv w:val="1"/>
      <w:marLeft w:val="0"/>
      <w:marRight w:val="0"/>
      <w:marTop w:val="0"/>
      <w:marBottom w:val="0"/>
      <w:divBdr>
        <w:top w:val="none" w:sz="0" w:space="0" w:color="auto"/>
        <w:left w:val="none" w:sz="0" w:space="0" w:color="auto"/>
        <w:bottom w:val="none" w:sz="0" w:space="0" w:color="auto"/>
        <w:right w:val="none" w:sz="0" w:space="0" w:color="auto"/>
      </w:divBdr>
    </w:div>
    <w:div w:id="940837654">
      <w:bodyDiv w:val="1"/>
      <w:marLeft w:val="0"/>
      <w:marRight w:val="0"/>
      <w:marTop w:val="0"/>
      <w:marBottom w:val="0"/>
      <w:divBdr>
        <w:top w:val="none" w:sz="0" w:space="0" w:color="auto"/>
        <w:left w:val="none" w:sz="0" w:space="0" w:color="auto"/>
        <w:bottom w:val="none" w:sz="0" w:space="0" w:color="auto"/>
        <w:right w:val="none" w:sz="0" w:space="0" w:color="auto"/>
      </w:divBdr>
    </w:div>
    <w:div w:id="2016222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ieur.wallonie.be/a-la-une/recouvrement-amiable-de-dettes-faq" TargetMode="External"/><Relationship Id="rId18" Type="http://schemas.openxmlformats.org/officeDocument/2006/relationships/diagramQuickStyle" Target="diagrams/quickStyle1.xml"/><Relationship Id="rId26" Type="http://schemas.openxmlformats.org/officeDocument/2006/relationships/comments" Target="comments.xml"/><Relationship Id="rId39" Type="http://schemas.microsoft.com/office/2020/10/relationships/intelligence" Target="intelligence2.xml"/><Relationship Id="rId21" Type="http://schemas.openxmlformats.org/officeDocument/2006/relationships/diagramData" Target="diagrams/data2.xm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ternational.recouvrement.finances@spw.wallonie.be" TargetMode="Externa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hyperlink" Target="http://crac.wallonie.b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recouvrement.finances@spw.wallonie.be" TargetMode="External"/><Relationship Id="rId24" Type="http://schemas.openxmlformats.org/officeDocument/2006/relationships/diagramColors" Target="diagrams/colors2.xml"/><Relationship Id="rId32" Type="http://schemas.openxmlformats.org/officeDocument/2006/relationships/hyperlink" Target="mailto:info@crac.wallonie.be"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lampspw.wallonie.be/dgo4/site_logement//site/divers?page=location" TargetMode="External"/><Relationship Id="rId23" Type="http://schemas.openxmlformats.org/officeDocument/2006/relationships/diagramQuickStyle" Target="diagrams/quickStyle2.xml"/><Relationship Id="rId28" Type="http://schemas.microsoft.com/office/2016/09/relationships/commentsIds" Target="commentsIds.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hyperlink" Target="http://pouvoirslocaux.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diagramLayout" Target="diagrams/layout2.xml"/><Relationship Id="rId27" Type="http://schemas.microsoft.com/office/2011/relationships/commentsExtended" Target="commentsExtended.xml"/><Relationship Id="rId30" Type="http://schemas.openxmlformats.org/officeDocument/2006/relationships/hyperlink" Target="mailto:PouvoirsLocaux@spw.wallonie.be"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juridat.b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64CED6-AF71-4E6D-BEAB-24A15249EF1B}"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fr-FR"/>
        </a:p>
      </dgm:t>
    </dgm:pt>
    <dgm:pt modelId="{D209E400-B433-4793-9793-F4095C2938E5}">
      <dgm:prSet phldrT="[Texte]" custT="1"/>
      <dgm:spPr>
        <a:xfrm>
          <a:off x="260121" y="32483"/>
          <a:ext cx="5224098" cy="591481"/>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r-FR" sz="1100">
              <a:solidFill>
                <a:sysClr val="window" lastClr="FFFFFF"/>
              </a:solidFill>
              <a:latin typeface="Calibri" panose="020F0502020204030204"/>
              <a:ea typeface="+mn-ea"/>
              <a:cs typeface="+mn-cs"/>
            </a:rPr>
            <a:t>La fixation de l'ordre du jour du conseil communal prévoit l'adoption du règlement</a:t>
          </a:r>
        </a:p>
      </dgm:t>
    </dgm:pt>
    <dgm:pt modelId="{5A7D19BB-6CC5-4AF4-87CF-2C33DA397DE4}" type="parTrans" cxnId="{AE45EDDC-BE57-4952-A49F-9C0173DCAE94}">
      <dgm:prSet/>
      <dgm:spPr/>
      <dgm:t>
        <a:bodyPr/>
        <a:lstStyle/>
        <a:p>
          <a:endParaRPr lang="fr-FR"/>
        </a:p>
      </dgm:t>
    </dgm:pt>
    <dgm:pt modelId="{5D830160-5B31-4FFC-8661-F4034063C217}" type="sibTrans" cxnId="{AE45EDDC-BE57-4952-A49F-9C0173DCAE94}">
      <dgm:prSet/>
      <dgm:spPr/>
      <dgm:t>
        <a:bodyPr/>
        <a:lstStyle/>
        <a:p>
          <a:endParaRPr lang="fr-FR"/>
        </a:p>
      </dgm:t>
    </dgm:pt>
    <dgm:pt modelId="{C9E9F8B7-9DB3-43BD-985E-6C2661AC6986}">
      <dgm:prSet phldrT="[Texte]" custT="1"/>
      <dgm:spPr>
        <a:xfrm>
          <a:off x="268694" y="877404"/>
          <a:ext cx="5216264" cy="940511"/>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r-FR" sz="1100">
              <a:solidFill>
                <a:sysClr val="window" lastClr="FFFFFF"/>
              </a:solidFill>
              <a:latin typeface="Calibri" panose="020F0502020204030204"/>
              <a:ea typeface="+mn-ea"/>
              <a:cs typeface="+mn-cs"/>
            </a:rPr>
            <a:t>La convocation du conseil communal est faite régulièrement et toutes les pièces relatives à ce point sont mises à la disposition des membres du cosneil communal conformément à l'article L 1122-13 du CDLD (y compris l'attestation de couverture du coût-vérité délivré par la Direction Sols et Déchets du SPW Environement </a:t>
          </a:r>
        </a:p>
      </dgm:t>
    </dgm:pt>
    <dgm:pt modelId="{6ED74F93-5990-479C-B1D5-5FC68A4604D8}" type="parTrans" cxnId="{07DAF547-34B1-435E-BC20-8E48B9302D29}">
      <dgm:prSet/>
      <dgm:spPr/>
      <dgm:t>
        <a:bodyPr/>
        <a:lstStyle/>
        <a:p>
          <a:endParaRPr lang="fr-FR"/>
        </a:p>
      </dgm:t>
    </dgm:pt>
    <dgm:pt modelId="{43527DA0-921B-4B78-8B25-79CF919207A2}" type="sibTrans" cxnId="{07DAF547-34B1-435E-BC20-8E48B9302D29}">
      <dgm:prSet/>
      <dgm:spPr/>
      <dgm:t>
        <a:bodyPr/>
        <a:lstStyle/>
        <a:p>
          <a:endParaRPr lang="fr-FR"/>
        </a:p>
      </dgm:t>
    </dgm:pt>
    <dgm:pt modelId="{518E23D4-72D6-45BF-BB8E-EBF61CC1A068}">
      <dgm:prSet phldrT="[Texte]" custT="1"/>
      <dgm:spPr>
        <a:xfrm>
          <a:off x="261193" y="2071356"/>
          <a:ext cx="5223861" cy="47232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r-FR" sz="1100">
              <a:solidFill>
                <a:sysClr val="window" lastClr="FFFFFF"/>
              </a:solidFill>
              <a:latin typeface="Calibri" panose="020F0502020204030204"/>
              <a:ea typeface="+mn-ea"/>
              <a:cs typeface="+mn-cs"/>
            </a:rPr>
            <a:t>Le règlement est adopté par le conseil communal</a:t>
          </a:r>
        </a:p>
      </dgm:t>
    </dgm:pt>
    <dgm:pt modelId="{A58677D9-15A4-44C8-838F-028466222BB9}" type="parTrans" cxnId="{CFF8E5B8-B980-4112-9128-CABB4C3FB413}">
      <dgm:prSet/>
      <dgm:spPr/>
      <dgm:t>
        <a:bodyPr/>
        <a:lstStyle/>
        <a:p>
          <a:endParaRPr lang="fr-FR"/>
        </a:p>
      </dgm:t>
    </dgm:pt>
    <dgm:pt modelId="{3E3689DE-28F7-4205-B955-4E48043FC165}" type="sibTrans" cxnId="{CFF8E5B8-B980-4112-9128-CABB4C3FB413}">
      <dgm:prSet/>
      <dgm:spPr/>
      <dgm:t>
        <a:bodyPr/>
        <a:lstStyle/>
        <a:p>
          <a:endParaRPr lang="fr-FR"/>
        </a:p>
      </dgm:t>
    </dgm:pt>
    <dgm:pt modelId="{D90E586F-BD22-4F4E-9256-39A763565AEA}" type="pres">
      <dgm:prSet presAssocID="{FD64CED6-AF71-4E6D-BEAB-24A15249EF1B}" presName="linear" presStyleCnt="0">
        <dgm:presLayoutVars>
          <dgm:dir/>
          <dgm:animLvl val="lvl"/>
          <dgm:resizeHandles val="exact"/>
        </dgm:presLayoutVars>
      </dgm:prSet>
      <dgm:spPr/>
    </dgm:pt>
    <dgm:pt modelId="{7D60A561-133A-4D62-96EE-B00547AB75B3}" type="pres">
      <dgm:prSet presAssocID="{D209E400-B433-4793-9793-F4095C2938E5}" presName="parentLin" presStyleCnt="0"/>
      <dgm:spPr/>
    </dgm:pt>
    <dgm:pt modelId="{C5D3A6AB-C3DA-4159-A84E-18F4807D04E6}" type="pres">
      <dgm:prSet presAssocID="{D209E400-B433-4793-9793-F4095C2938E5}" presName="parentLeftMargin" presStyleLbl="node1" presStyleIdx="0" presStyleCnt="3"/>
      <dgm:spPr/>
    </dgm:pt>
    <dgm:pt modelId="{4D876C69-3B85-4D31-BCC1-BFCD9DEBF2C4}" type="pres">
      <dgm:prSet presAssocID="{D209E400-B433-4793-9793-F4095C2938E5}" presName="parentText" presStyleLbl="node1" presStyleIdx="0" presStyleCnt="3" custScaleX="143452" custScaleY="62681">
        <dgm:presLayoutVars>
          <dgm:chMax val="0"/>
          <dgm:bulletEnabled val="1"/>
        </dgm:presLayoutVars>
      </dgm:prSet>
      <dgm:spPr/>
    </dgm:pt>
    <dgm:pt modelId="{F85A4B86-FB6F-4F90-998C-88291D22484E}" type="pres">
      <dgm:prSet presAssocID="{D209E400-B433-4793-9793-F4095C2938E5}" presName="negativeSpace" presStyleCnt="0"/>
      <dgm:spPr/>
    </dgm:pt>
    <dgm:pt modelId="{39F34FE6-967A-4C6C-8292-A831BD71FCDE}" type="pres">
      <dgm:prSet presAssocID="{D209E400-B433-4793-9793-F4095C2938E5}" presName="childText" presStyleLbl="conFgAcc1" presStyleIdx="0" presStyleCnt="3" custScaleY="83288">
        <dgm:presLayoutVars>
          <dgm:bulletEnabled val="1"/>
        </dgm:presLayoutVars>
      </dgm:prSet>
      <dgm:spPr>
        <a:xfrm>
          <a:off x="0" y="387804"/>
          <a:ext cx="5486400" cy="4032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27EA838F-19DD-4BEA-A4E3-E64E0B129B22}" type="pres">
      <dgm:prSet presAssocID="{5D830160-5B31-4FFC-8661-F4034063C217}" presName="spaceBetweenRectangles" presStyleCnt="0"/>
      <dgm:spPr/>
    </dgm:pt>
    <dgm:pt modelId="{3F005B31-FC1B-4DE5-8BCD-D670A30DCDC4}" type="pres">
      <dgm:prSet presAssocID="{C9E9F8B7-9DB3-43BD-985E-6C2661AC6986}" presName="parentLin" presStyleCnt="0"/>
      <dgm:spPr/>
    </dgm:pt>
    <dgm:pt modelId="{DEDB3686-E63B-4A86-B635-80C7B0DDA732}" type="pres">
      <dgm:prSet presAssocID="{C9E9F8B7-9DB3-43BD-985E-6C2661AC6986}" presName="parentLeftMargin" presStyleLbl="node1" presStyleIdx="0" presStyleCnt="3"/>
      <dgm:spPr/>
    </dgm:pt>
    <dgm:pt modelId="{B8EE9B11-3301-462E-90F9-47214C79AAC1}" type="pres">
      <dgm:prSet presAssocID="{C9E9F8B7-9DB3-43BD-985E-6C2661AC6986}" presName="parentText" presStyleLbl="node1" presStyleIdx="1" presStyleCnt="3" custScaleX="138667" custScaleY="129973">
        <dgm:presLayoutVars>
          <dgm:chMax val="0"/>
          <dgm:bulletEnabled val="1"/>
        </dgm:presLayoutVars>
      </dgm:prSet>
      <dgm:spPr/>
    </dgm:pt>
    <dgm:pt modelId="{455ED36A-A40B-4743-87AA-A00B744B085C}" type="pres">
      <dgm:prSet presAssocID="{C9E9F8B7-9DB3-43BD-985E-6C2661AC6986}" presName="negativeSpace" presStyleCnt="0"/>
      <dgm:spPr/>
    </dgm:pt>
    <dgm:pt modelId="{9FBA82D1-DA83-41FB-A8B3-BA338FF33C91}" type="pres">
      <dgm:prSet presAssocID="{C9E9F8B7-9DB3-43BD-985E-6C2661AC6986}" presName="childText" presStyleLbl="conFgAcc1" presStyleIdx="1" presStyleCnt="3" custScaleY="78339">
        <dgm:presLayoutVars>
          <dgm:bulletEnabled val="1"/>
        </dgm:presLayoutVars>
      </dgm:prSet>
      <dgm:spPr>
        <a:xfrm>
          <a:off x="0" y="1581756"/>
          <a:ext cx="5486400" cy="4032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0EA39414-2C5D-4AC9-AE8B-9DA0270E95C9}" type="pres">
      <dgm:prSet presAssocID="{43527DA0-921B-4B78-8B25-79CF919207A2}" presName="spaceBetweenRectangles" presStyleCnt="0"/>
      <dgm:spPr/>
    </dgm:pt>
    <dgm:pt modelId="{F8CA894C-AF57-4A57-9E8E-5985AC0E230C}" type="pres">
      <dgm:prSet presAssocID="{518E23D4-72D6-45BF-BB8E-EBF61CC1A068}" presName="parentLin" presStyleCnt="0"/>
      <dgm:spPr/>
    </dgm:pt>
    <dgm:pt modelId="{D9C906D4-0A52-4358-96D2-8B5F826DE422}" type="pres">
      <dgm:prSet presAssocID="{518E23D4-72D6-45BF-BB8E-EBF61CC1A068}" presName="parentLeftMargin" presStyleLbl="node1" presStyleIdx="1" presStyleCnt="3"/>
      <dgm:spPr/>
    </dgm:pt>
    <dgm:pt modelId="{86C838AF-43BA-47C3-88EB-67C2B7537856}" type="pres">
      <dgm:prSet presAssocID="{518E23D4-72D6-45BF-BB8E-EBF61CC1A068}" presName="parentText" presStyleLbl="node1" presStyleIdx="2" presStyleCnt="3" custScaleX="142857" custScaleY="43117">
        <dgm:presLayoutVars>
          <dgm:chMax val="0"/>
          <dgm:bulletEnabled val="1"/>
        </dgm:presLayoutVars>
      </dgm:prSet>
      <dgm:spPr/>
    </dgm:pt>
    <dgm:pt modelId="{E6AD0D83-BDA4-427E-974B-0C669C1682D5}" type="pres">
      <dgm:prSet presAssocID="{518E23D4-72D6-45BF-BB8E-EBF61CC1A068}" presName="negativeSpace" presStyleCnt="0"/>
      <dgm:spPr/>
    </dgm:pt>
    <dgm:pt modelId="{F61E5090-8EE9-4F22-906D-697656474CEE}" type="pres">
      <dgm:prSet presAssocID="{518E23D4-72D6-45BF-BB8E-EBF61CC1A068}" presName="childText" presStyleLbl="conFgAcc1" presStyleIdx="2" presStyleCnt="3">
        <dgm:presLayoutVars>
          <dgm:bulletEnabled val="1"/>
        </dgm:presLayoutVars>
      </dgm:prSet>
      <dgm:spPr>
        <a:xfrm>
          <a:off x="0" y="2307516"/>
          <a:ext cx="5486400" cy="4032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Lst>
  <dgm:cxnLst>
    <dgm:cxn modelId="{46A0690C-DB61-48B7-B9A7-CAB4EEA0A503}" type="presOf" srcId="{D209E400-B433-4793-9793-F4095C2938E5}" destId="{C5D3A6AB-C3DA-4159-A84E-18F4807D04E6}" srcOrd="0" destOrd="0" presId="urn:microsoft.com/office/officeart/2005/8/layout/list1"/>
    <dgm:cxn modelId="{07DAF547-34B1-435E-BC20-8E48B9302D29}" srcId="{FD64CED6-AF71-4E6D-BEAB-24A15249EF1B}" destId="{C9E9F8B7-9DB3-43BD-985E-6C2661AC6986}" srcOrd="1" destOrd="0" parTransId="{6ED74F93-5990-479C-B1D5-5FC68A4604D8}" sibTransId="{43527DA0-921B-4B78-8B25-79CF919207A2}"/>
    <dgm:cxn modelId="{CBC7D08A-A109-4427-84A4-4042D943A041}" type="presOf" srcId="{D209E400-B433-4793-9793-F4095C2938E5}" destId="{4D876C69-3B85-4D31-BCC1-BFCD9DEBF2C4}" srcOrd="1" destOrd="0" presId="urn:microsoft.com/office/officeart/2005/8/layout/list1"/>
    <dgm:cxn modelId="{519D6D8F-D59A-4928-B21D-E7D78AA25DFE}" type="presOf" srcId="{C9E9F8B7-9DB3-43BD-985E-6C2661AC6986}" destId="{DEDB3686-E63B-4A86-B635-80C7B0DDA732}" srcOrd="0" destOrd="0" presId="urn:microsoft.com/office/officeart/2005/8/layout/list1"/>
    <dgm:cxn modelId="{502D85AE-9146-4E72-9C2B-7A8E6C33E73C}" type="presOf" srcId="{C9E9F8B7-9DB3-43BD-985E-6C2661AC6986}" destId="{B8EE9B11-3301-462E-90F9-47214C79AAC1}" srcOrd="1" destOrd="0" presId="urn:microsoft.com/office/officeart/2005/8/layout/list1"/>
    <dgm:cxn modelId="{6967D9B0-C33E-4D91-BDF9-49C59D009703}" type="presOf" srcId="{518E23D4-72D6-45BF-BB8E-EBF61CC1A068}" destId="{86C838AF-43BA-47C3-88EB-67C2B7537856}" srcOrd="1" destOrd="0" presId="urn:microsoft.com/office/officeart/2005/8/layout/list1"/>
    <dgm:cxn modelId="{CFF8E5B8-B980-4112-9128-CABB4C3FB413}" srcId="{FD64CED6-AF71-4E6D-BEAB-24A15249EF1B}" destId="{518E23D4-72D6-45BF-BB8E-EBF61CC1A068}" srcOrd="2" destOrd="0" parTransId="{A58677D9-15A4-44C8-838F-028466222BB9}" sibTransId="{3E3689DE-28F7-4205-B955-4E48043FC165}"/>
    <dgm:cxn modelId="{AE45EDDC-BE57-4952-A49F-9C0173DCAE94}" srcId="{FD64CED6-AF71-4E6D-BEAB-24A15249EF1B}" destId="{D209E400-B433-4793-9793-F4095C2938E5}" srcOrd="0" destOrd="0" parTransId="{5A7D19BB-6CC5-4AF4-87CF-2C33DA397DE4}" sibTransId="{5D830160-5B31-4FFC-8661-F4034063C217}"/>
    <dgm:cxn modelId="{0C9CC9F0-00D8-4267-AA91-3124C8CC19F1}" type="presOf" srcId="{FD64CED6-AF71-4E6D-BEAB-24A15249EF1B}" destId="{D90E586F-BD22-4F4E-9256-39A763565AEA}" srcOrd="0" destOrd="0" presId="urn:microsoft.com/office/officeart/2005/8/layout/list1"/>
    <dgm:cxn modelId="{375B2CF5-A807-434C-B566-A48A500D7EBB}" type="presOf" srcId="{518E23D4-72D6-45BF-BB8E-EBF61CC1A068}" destId="{D9C906D4-0A52-4358-96D2-8B5F826DE422}" srcOrd="0" destOrd="0" presId="urn:microsoft.com/office/officeart/2005/8/layout/list1"/>
    <dgm:cxn modelId="{9F405D2A-FA70-4A78-90F2-6B82B351477D}" type="presParOf" srcId="{D90E586F-BD22-4F4E-9256-39A763565AEA}" destId="{7D60A561-133A-4D62-96EE-B00547AB75B3}" srcOrd="0" destOrd="0" presId="urn:microsoft.com/office/officeart/2005/8/layout/list1"/>
    <dgm:cxn modelId="{72B69BAD-E3CD-4C30-84C4-1A7543F20D44}" type="presParOf" srcId="{7D60A561-133A-4D62-96EE-B00547AB75B3}" destId="{C5D3A6AB-C3DA-4159-A84E-18F4807D04E6}" srcOrd="0" destOrd="0" presId="urn:microsoft.com/office/officeart/2005/8/layout/list1"/>
    <dgm:cxn modelId="{A42ED1B7-3E9E-42CA-B379-324EC5183471}" type="presParOf" srcId="{7D60A561-133A-4D62-96EE-B00547AB75B3}" destId="{4D876C69-3B85-4D31-BCC1-BFCD9DEBF2C4}" srcOrd="1" destOrd="0" presId="urn:microsoft.com/office/officeart/2005/8/layout/list1"/>
    <dgm:cxn modelId="{F1FBE0A3-C184-4588-A993-85C99FB88996}" type="presParOf" srcId="{D90E586F-BD22-4F4E-9256-39A763565AEA}" destId="{F85A4B86-FB6F-4F90-998C-88291D22484E}" srcOrd="1" destOrd="0" presId="urn:microsoft.com/office/officeart/2005/8/layout/list1"/>
    <dgm:cxn modelId="{85B84BB2-EBBA-4090-9C86-A43EFA6F0572}" type="presParOf" srcId="{D90E586F-BD22-4F4E-9256-39A763565AEA}" destId="{39F34FE6-967A-4C6C-8292-A831BD71FCDE}" srcOrd="2" destOrd="0" presId="urn:microsoft.com/office/officeart/2005/8/layout/list1"/>
    <dgm:cxn modelId="{68FEBEC2-481F-46AA-AF10-DD6D80A3238F}" type="presParOf" srcId="{D90E586F-BD22-4F4E-9256-39A763565AEA}" destId="{27EA838F-19DD-4BEA-A4E3-E64E0B129B22}" srcOrd="3" destOrd="0" presId="urn:microsoft.com/office/officeart/2005/8/layout/list1"/>
    <dgm:cxn modelId="{2317DFA8-B5AF-4FBD-829A-B8DAC55BBB42}" type="presParOf" srcId="{D90E586F-BD22-4F4E-9256-39A763565AEA}" destId="{3F005B31-FC1B-4DE5-8BCD-D670A30DCDC4}" srcOrd="4" destOrd="0" presId="urn:microsoft.com/office/officeart/2005/8/layout/list1"/>
    <dgm:cxn modelId="{C0B034B1-0A6D-40ED-90FB-E1003A69E024}" type="presParOf" srcId="{3F005B31-FC1B-4DE5-8BCD-D670A30DCDC4}" destId="{DEDB3686-E63B-4A86-B635-80C7B0DDA732}" srcOrd="0" destOrd="0" presId="urn:microsoft.com/office/officeart/2005/8/layout/list1"/>
    <dgm:cxn modelId="{24E09602-9D20-4AC3-8014-7FE2618F0E94}" type="presParOf" srcId="{3F005B31-FC1B-4DE5-8BCD-D670A30DCDC4}" destId="{B8EE9B11-3301-462E-90F9-47214C79AAC1}" srcOrd="1" destOrd="0" presId="urn:microsoft.com/office/officeart/2005/8/layout/list1"/>
    <dgm:cxn modelId="{7EF0959D-CDC9-43AD-8EF8-4B6CB1EE7F87}" type="presParOf" srcId="{D90E586F-BD22-4F4E-9256-39A763565AEA}" destId="{455ED36A-A40B-4743-87AA-A00B744B085C}" srcOrd="5" destOrd="0" presId="urn:microsoft.com/office/officeart/2005/8/layout/list1"/>
    <dgm:cxn modelId="{C8EC7F99-FE5E-45E0-9309-E81946FFE3A2}" type="presParOf" srcId="{D90E586F-BD22-4F4E-9256-39A763565AEA}" destId="{9FBA82D1-DA83-41FB-A8B3-BA338FF33C91}" srcOrd="6" destOrd="0" presId="urn:microsoft.com/office/officeart/2005/8/layout/list1"/>
    <dgm:cxn modelId="{6FBCF3BB-F23E-44E5-9816-61FDE73AD1E2}" type="presParOf" srcId="{D90E586F-BD22-4F4E-9256-39A763565AEA}" destId="{0EA39414-2C5D-4AC9-AE8B-9DA0270E95C9}" srcOrd="7" destOrd="0" presId="urn:microsoft.com/office/officeart/2005/8/layout/list1"/>
    <dgm:cxn modelId="{C304F681-BC74-4F35-BEF2-31105DF7D2F5}" type="presParOf" srcId="{D90E586F-BD22-4F4E-9256-39A763565AEA}" destId="{F8CA894C-AF57-4A57-9E8E-5985AC0E230C}" srcOrd="8" destOrd="0" presId="urn:microsoft.com/office/officeart/2005/8/layout/list1"/>
    <dgm:cxn modelId="{1BB50E03-9D94-4617-9D2E-98F1B868AA27}" type="presParOf" srcId="{F8CA894C-AF57-4A57-9E8E-5985AC0E230C}" destId="{D9C906D4-0A52-4358-96D2-8B5F826DE422}" srcOrd="0" destOrd="0" presId="urn:microsoft.com/office/officeart/2005/8/layout/list1"/>
    <dgm:cxn modelId="{443759E9-1946-4FE5-8F07-1BFD37C7080A}" type="presParOf" srcId="{F8CA894C-AF57-4A57-9E8E-5985AC0E230C}" destId="{86C838AF-43BA-47C3-88EB-67C2B7537856}" srcOrd="1" destOrd="0" presId="urn:microsoft.com/office/officeart/2005/8/layout/list1"/>
    <dgm:cxn modelId="{D013C3D9-2FEB-474D-8379-C46AC473BC6C}" type="presParOf" srcId="{D90E586F-BD22-4F4E-9256-39A763565AEA}" destId="{E6AD0D83-BDA4-427E-974B-0C669C1682D5}" srcOrd="9" destOrd="0" presId="urn:microsoft.com/office/officeart/2005/8/layout/list1"/>
    <dgm:cxn modelId="{784BEEDE-19D9-4D8C-BF97-A053B46353B0}" type="presParOf" srcId="{D90E586F-BD22-4F4E-9256-39A763565AEA}" destId="{F61E5090-8EE9-4F22-906D-697656474CEE}" srcOrd="10" destOrd="0" presId="urn:microsoft.com/office/officeart/2005/8/layout/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64CED6-AF71-4E6D-BEAB-24A15249EF1B}"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fr-FR"/>
        </a:p>
      </dgm:t>
    </dgm:pt>
    <dgm:pt modelId="{D209E400-B433-4793-9793-F4095C2938E5}">
      <dgm:prSet phldrT="[Texte]" custT="1"/>
      <dgm:spPr>
        <a:xfrm>
          <a:off x="255598" y="61785"/>
          <a:ext cx="5230801" cy="1156711"/>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r-FR" sz="1100">
              <a:solidFill>
                <a:sysClr val="window" lastClr="FFFFFF"/>
              </a:solidFill>
              <a:latin typeface="Calibri" panose="020F0502020204030204"/>
              <a:ea typeface="+mn-ea"/>
              <a:cs typeface="+mn-cs"/>
            </a:rPr>
            <a:t>Le règlement - auquel est joint la pièce justificative (attestation du coût-vérité) - est envoyé dans les 15 jopurs de son adoption par le conseil communal au gouvernement wallon conformément à l'article L 3132-1 du CDLD. </a:t>
          </a:r>
        </a:p>
        <a:p>
          <a:pPr>
            <a:buNone/>
          </a:pPr>
          <a:r>
            <a:rPr lang="fr-FR" sz="1100">
              <a:solidFill>
                <a:sysClr val="window" lastClr="FFFFFF"/>
              </a:solidFill>
              <a:latin typeface="Calibri" panose="020F0502020204030204"/>
              <a:ea typeface="+mn-ea"/>
              <a:cs typeface="+mn-cs"/>
            </a:rPr>
            <a:t>La date ultime de transmission est fixée au 15 novembre de l'exercice précédent l'exercice d'imposition.</a:t>
          </a:r>
        </a:p>
      </dgm:t>
    </dgm:pt>
    <dgm:pt modelId="{5A7D19BB-6CC5-4AF4-87CF-2C33DA397DE4}" type="parTrans" cxnId="{AE45EDDC-BE57-4952-A49F-9C0173DCAE94}">
      <dgm:prSet/>
      <dgm:spPr/>
      <dgm:t>
        <a:bodyPr/>
        <a:lstStyle/>
        <a:p>
          <a:endParaRPr lang="fr-FR"/>
        </a:p>
      </dgm:t>
    </dgm:pt>
    <dgm:pt modelId="{5D830160-5B31-4FFC-8661-F4034063C217}" type="sibTrans" cxnId="{AE45EDDC-BE57-4952-A49F-9C0173DCAE94}">
      <dgm:prSet/>
      <dgm:spPr/>
      <dgm:t>
        <a:bodyPr/>
        <a:lstStyle/>
        <a:p>
          <a:endParaRPr lang="fr-FR"/>
        </a:p>
      </dgm:t>
    </dgm:pt>
    <dgm:pt modelId="{C9E9F8B7-9DB3-43BD-985E-6C2661AC6986}">
      <dgm:prSet phldrT="[Texte]" custT="1"/>
      <dgm:spPr>
        <a:xfrm>
          <a:off x="268158" y="1757056"/>
          <a:ext cx="5214047" cy="85595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r-FR" sz="1100">
              <a:solidFill>
                <a:sysClr val="window" lastClr="FFFFFF"/>
              </a:solidFill>
              <a:latin typeface="Calibri" panose="020F0502020204030204"/>
              <a:ea typeface="+mn-ea"/>
              <a:cs typeface="+mn-cs"/>
            </a:rPr>
            <a:t>Une fois approuvé par les autorités de tutelle, le règlement est publié conformément aux articles L 1133-1 et -2 du CDLD.</a:t>
          </a:r>
        </a:p>
      </dgm:t>
    </dgm:pt>
    <dgm:pt modelId="{6ED74F93-5990-479C-B1D5-5FC68A4604D8}" type="parTrans" cxnId="{07DAF547-34B1-435E-BC20-8E48B9302D29}">
      <dgm:prSet/>
      <dgm:spPr/>
      <dgm:t>
        <a:bodyPr/>
        <a:lstStyle/>
        <a:p>
          <a:endParaRPr lang="fr-FR"/>
        </a:p>
      </dgm:t>
    </dgm:pt>
    <dgm:pt modelId="{43527DA0-921B-4B78-8B25-79CF919207A2}" type="sibTrans" cxnId="{07DAF547-34B1-435E-BC20-8E48B9302D29}">
      <dgm:prSet/>
      <dgm:spPr/>
      <dgm:t>
        <a:bodyPr/>
        <a:lstStyle/>
        <a:p>
          <a:endParaRPr lang="fr-FR"/>
        </a:p>
      </dgm:t>
    </dgm:pt>
    <dgm:pt modelId="{518E23D4-72D6-45BF-BB8E-EBF61CC1A068}">
      <dgm:prSet phldrT="[Texte]" custT="1"/>
      <dgm:spPr>
        <a:xfrm>
          <a:off x="262538" y="3336633"/>
          <a:ext cx="5223861" cy="100368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r-FR" sz="1100">
              <a:solidFill>
                <a:sysClr val="window" lastClr="FFFFFF"/>
              </a:solidFill>
              <a:latin typeface="Calibri" panose="020F0502020204030204"/>
              <a:ea typeface="+mn-ea"/>
              <a:cs typeface="+mn-cs"/>
            </a:rPr>
            <a:t>Le règlement entre en vigueur au plus tôt le 5ème jour qui suit celui de sa publication. Il peut entrer en vigueur plus tôt mais uniquement à la condition que cela soit prévu expressément dans le règlement.</a:t>
          </a:r>
        </a:p>
      </dgm:t>
    </dgm:pt>
    <dgm:pt modelId="{A58677D9-15A4-44C8-838F-028466222BB9}" type="parTrans" cxnId="{CFF8E5B8-B980-4112-9128-CABB4C3FB413}">
      <dgm:prSet/>
      <dgm:spPr/>
      <dgm:t>
        <a:bodyPr/>
        <a:lstStyle/>
        <a:p>
          <a:endParaRPr lang="fr-FR"/>
        </a:p>
      </dgm:t>
    </dgm:pt>
    <dgm:pt modelId="{3E3689DE-28F7-4205-B955-4E48043FC165}" type="sibTrans" cxnId="{CFF8E5B8-B980-4112-9128-CABB4C3FB413}">
      <dgm:prSet/>
      <dgm:spPr/>
      <dgm:t>
        <a:bodyPr/>
        <a:lstStyle/>
        <a:p>
          <a:endParaRPr lang="fr-FR"/>
        </a:p>
      </dgm:t>
    </dgm:pt>
    <dgm:pt modelId="{D90E586F-BD22-4F4E-9256-39A763565AEA}" type="pres">
      <dgm:prSet presAssocID="{FD64CED6-AF71-4E6D-BEAB-24A15249EF1B}" presName="linear" presStyleCnt="0">
        <dgm:presLayoutVars>
          <dgm:dir/>
          <dgm:animLvl val="lvl"/>
          <dgm:resizeHandles val="exact"/>
        </dgm:presLayoutVars>
      </dgm:prSet>
      <dgm:spPr/>
    </dgm:pt>
    <dgm:pt modelId="{7D60A561-133A-4D62-96EE-B00547AB75B3}" type="pres">
      <dgm:prSet presAssocID="{D209E400-B433-4793-9793-F4095C2938E5}" presName="parentLin" presStyleCnt="0"/>
      <dgm:spPr/>
    </dgm:pt>
    <dgm:pt modelId="{C5D3A6AB-C3DA-4159-A84E-18F4807D04E6}" type="pres">
      <dgm:prSet presAssocID="{D209E400-B433-4793-9793-F4095C2938E5}" presName="parentLeftMargin" presStyleLbl="node1" presStyleIdx="0" presStyleCnt="3"/>
      <dgm:spPr/>
    </dgm:pt>
    <dgm:pt modelId="{4D876C69-3B85-4D31-BCC1-BFCD9DEBF2C4}" type="pres">
      <dgm:prSet presAssocID="{D209E400-B433-4793-9793-F4095C2938E5}" presName="parentText" presStyleLbl="node1" presStyleIdx="0" presStyleCnt="3" custScaleX="146349" custScaleY="115247" custLinFactNeighborX="14647">
        <dgm:presLayoutVars>
          <dgm:chMax val="0"/>
          <dgm:bulletEnabled val="1"/>
        </dgm:presLayoutVars>
      </dgm:prSet>
      <dgm:spPr/>
    </dgm:pt>
    <dgm:pt modelId="{F85A4B86-FB6F-4F90-998C-88291D22484E}" type="pres">
      <dgm:prSet presAssocID="{D209E400-B433-4793-9793-F4095C2938E5}" presName="negativeSpace" presStyleCnt="0"/>
      <dgm:spPr/>
    </dgm:pt>
    <dgm:pt modelId="{39F34FE6-967A-4C6C-8292-A831BD71FCDE}" type="pres">
      <dgm:prSet presAssocID="{D209E400-B433-4793-9793-F4095C2938E5}" presName="childText" presStyleLbl="conFgAcc1" presStyleIdx="0" presStyleCnt="3" custScaleY="63949">
        <dgm:presLayoutVars>
          <dgm:bulletEnabled val="1"/>
        </dgm:presLayoutVars>
      </dgm:prSet>
      <dgm:spPr>
        <a:xfrm>
          <a:off x="0" y="716656"/>
          <a:ext cx="5486400" cy="8568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27EA838F-19DD-4BEA-A4E3-E64E0B129B22}" type="pres">
      <dgm:prSet presAssocID="{5D830160-5B31-4FFC-8661-F4034063C217}" presName="spaceBetweenRectangles" presStyleCnt="0"/>
      <dgm:spPr/>
    </dgm:pt>
    <dgm:pt modelId="{3F005B31-FC1B-4DE5-8BCD-D670A30DCDC4}" type="pres">
      <dgm:prSet presAssocID="{C9E9F8B7-9DB3-43BD-985E-6C2661AC6986}" presName="parentLin" presStyleCnt="0"/>
      <dgm:spPr/>
    </dgm:pt>
    <dgm:pt modelId="{DEDB3686-E63B-4A86-B635-80C7B0DDA732}" type="pres">
      <dgm:prSet presAssocID="{C9E9F8B7-9DB3-43BD-985E-6C2661AC6986}" presName="parentLeftMargin" presStyleLbl="node1" presStyleIdx="0" presStyleCnt="3"/>
      <dgm:spPr/>
    </dgm:pt>
    <dgm:pt modelId="{B8EE9B11-3301-462E-90F9-47214C79AAC1}" type="pres">
      <dgm:prSet presAssocID="{C9E9F8B7-9DB3-43BD-985E-6C2661AC6986}" presName="parentText" presStyleLbl="node1" presStyleIdx="1" presStyleCnt="3" custScaleX="138885" custScaleY="85282">
        <dgm:presLayoutVars>
          <dgm:chMax val="0"/>
          <dgm:bulletEnabled val="1"/>
        </dgm:presLayoutVars>
      </dgm:prSet>
      <dgm:spPr/>
    </dgm:pt>
    <dgm:pt modelId="{455ED36A-A40B-4743-87AA-A00B744B085C}" type="pres">
      <dgm:prSet presAssocID="{C9E9F8B7-9DB3-43BD-985E-6C2661AC6986}" presName="negativeSpace" presStyleCnt="0"/>
      <dgm:spPr/>
    </dgm:pt>
    <dgm:pt modelId="{9FBA82D1-DA83-41FB-A8B3-BA338FF33C91}" type="pres">
      <dgm:prSet presAssocID="{C9E9F8B7-9DB3-43BD-985E-6C2661AC6986}" presName="childText" presStyleLbl="conFgAcc1" presStyleIdx="1" presStyleCnt="3" custScaleY="65443">
        <dgm:presLayoutVars>
          <dgm:bulletEnabled val="1"/>
        </dgm:presLayoutVars>
      </dgm:prSet>
      <dgm:spPr>
        <a:xfrm>
          <a:off x="0" y="2111174"/>
          <a:ext cx="5486400" cy="8568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0EA39414-2C5D-4AC9-AE8B-9DA0270E95C9}" type="pres">
      <dgm:prSet presAssocID="{43527DA0-921B-4B78-8B25-79CF919207A2}" presName="spaceBetweenRectangles" presStyleCnt="0"/>
      <dgm:spPr/>
    </dgm:pt>
    <dgm:pt modelId="{F8CA894C-AF57-4A57-9E8E-5985AC0E230C}" type="pres">
      <dgm:prSet presAssocID="{518E23D4-72D6-45BF-BB8E-EBF61CC1A068}" presName="parentLin" presStyleCnt="0"/>
      <dgm:spPr/>
    </dgm:pt>
    <dgm:pt modelId="{D9C906D4-0A52-4358-96D2-8B5F826DE422}" type="pres">
      <dgm:prSet presAssocID="{518E23D4-72D6-45BF-BB8E-EBF61CC1A068}" presName="parentLeftMargin" presStyleLbl="node1" presStyleIdx="1" presStyleCnt="3"/>
      <dgm:spPr/>
    </dgm:pt>
    <dgm:pt modelId="{86C838AF-43BA-47C3-88EB-67C2B7537856}" type="pres">
      <dgm:prSet presAssocID="{518E23D4-72D6-45BF-BB8E-EBF61CC1A068}" presName="parentText" presStyleLbl="node1" presStyleIdx="2" presStyleCnt="3" custScaleX="142857" custLinFactNeighborX="515" custLinFactNeighborY="-8864">
        <dgm:presLayoutVars>
          <dgm:chMax val="0"/>
          <dgm:bulletEnabled val="1"/>
        </dgm:presLayoutVars>
      </dgm:prSet>
      <dgm:spPr/>
    </dgm:pt>
    <dgm:pt modelId="{E6AD0D83-BDA4-427E-974B-0C669C1682D5}" type="pres">
      <dgm:prSet presAssocID="{518E23D4-72D6-45BF-BB8E-EBF61CC1A068}" presName="negativeSpace" presStyleCnt="0"/>
      <dgm:spPr/>
    </dgm:pt>
    <dgm:pt modelId="{F61E5090-8EE9-4F22-906D-697656474CEE}" type="pres">
      <dgm:prSet presAssocID="{518E23D4-72D6-45BF-BB8E-EBF61CC1A068}" presName="childText" presStyleLbl="conFgAcc1" presStyleIdx="2" presStyleCnt="3" custScaleY="79286">
        <dgm:presLayoutVars>
          <dgm:bulletEnabled val="1"/>
        </dgm:presLayoutVars>
      </dgm:prSet>
      <dgm:spPr>
        <a:xfrm>
          <a:off x="0" y="3653414"/>
          <a:ext cx="5486400" cy="8568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Lst>
  <dgm:cxnLst>
    <dgm:cxn modelId="{46A0690C-DB61-48B7-B9A7-CAB4EEA0A503}" type="presOf" srcId="{D209E400-B433-4793-9793-F4095C2938E5}" destId="{C5D3A6AB-C3DA-4159-A84E-18F4807D04E6}" srcOrd="0" destOrd="0" presId="urn:microsoft.com/office/officeart/2005/8/layout/list1"/>
    <dgm:cxn modelId="{07DAF547-34B1-435E-BC20-8E48B9302D29}" srcId="{FD64CED6-AF71-4E6D-BEAB-24A15249EF1B}" destId="{C9E9F8B7-9DB3-43BD-985E-6C2661AC6986}" srcOrd="1" destOrd="0" parTransId="{6ED74F93-5990-479C-B1D5-5FC68A4604D8}" sibTransId="{43527DA0-921B-4B78-8B25-79CF919207A2}"/>
    <dgm:cxn modelId="{CBC7D08A-A109-4427-84A4-4042D943A041}" type="presOf" srcId="{D209E400-B433-4793-9793-F4095C2938E5}" destId="{4D876C69-3B85-4D31-BCC1-BFCD9DEBF2C4}" srcOrd="1" destOrd="0" presId="urn:microsoft.com/office/officeart/2005/8/layout/list1"/>
    <dgm:cxn modelId="{519D6D8F-D59A-4928-B21D-E7D78AA25DFE}" type="presOf" srcId="{C9E9F8B7-9DB3-43BD-985E-6C2661AC6986}" destId="{DEDB3686-E63B-4A86-B635-80C7B0DDA732}" srcOrd="0" destOrd="0" presId="urn:microsoft.com/office/officeart/2005/8/layout/list1"/>
    <dgm:cxn modelId="{502D85AE-9146-4E72-9C2B-7A8E6C33E73C}" type="presOf" srcId="{C9E9F8B7-9DB3-43BD-985E-6C2661AC6986}" destId="{B8EE9B11-3301-462E-90F9-47214C79AAC1}" srcOrd="1" destOrd="0" presId="urn:microsoft.com/office/officeart/2005/8/layout/list1"/>
    <dgm:cxn modelId="{6967D9B0-C33E-4D91-BDF9-49C59D009703}" type="presOf" srcId="{518E23D4-72D6-45BF-BB8E-EBF61CC1A068}" destId="{86C838AF-43BA-47C3-88EB-67C2B7537856}" srcOrd="1" destOrd="0" presId="urn:microsoft.com/office/officeart/2005/8/layout/list1"/>
    <dgm:cxn modelId="{CFF8E5B8-B980-4112-9128-CABB4C3FB413}" srcId="{FD64CED6-AF71-4E6D-BEAB-24A15249EF1B}" destId="{518E23D4-72D6-45BF-BB8E-EBF61CC1A068}" srcOrd="2" destOrd="0" parTransId="{A58677D9-15A4-44C8-838F-028466222BB9}" sibTransId="{3E3689DE-28F7-4205-B955-4E48043FC165}"/>
    <dgm:cxn modelId="{AE45EDDC-BE57-4952-A49F-9C0173DCAE94}" srcId="{FD64CED6-AF71-4E6D-BEAB-24A15249EF1B}" destId="{D209E400-B433-4793-9793-F4095C2938E5}" srcOrd="0" destOrd="0" parTransId="{5A7D19BB-6CC5-4AF4-87CF-2C33DA397DE4}" sibTransId="{5D830160-5B31-4FFC-8661-F4034063C217}"/>
    <dgm:cxn modelId="{0C9CC9F0-00D8-4267-AA91-3124C8CC19F1}" type="presOf" srcId="{FD64CED6-AF71-4E6D-BEAB-24A15249EF1B}" destId="{D90E586F-BD22-4F4E-9256-39A763565AEA}" srcOrd="0" destOrd="0" presId="urn:microsoft.com/office/officeart/2005/8/layout/list1"/>
    <dgm:cxn modelId="{375B2CF5-A807-434C-B566-A48A500D7EBB}" type="presOf" srcId="{518E23D4-72D6-45BF-BB8E-EBF61CC1A068}" destId="{D9C906D4-0A52-4358-96D2-8B5F826DE422}" srcOrd="0" destOrd="0" presId="urn:microsoft.com/office/officeart/2005/8/layout/list1"/>
    <dgm:cxn modelId="{9F405D2A-FA70-4A78-90F2-6B82B351477D}" type="presParOf" srcId="{D90E586F-BD22-4F4E-9256-39A763565AEA}" destId="{7D60A561-133A-4D62-96EE-B00547AB75B3}" srcOrd="0" destOrd="0" presId="urn:microsoft.com/office/officeart/2005/8/layout/list1"/>
    <dgm:cxn modelId="{72B69BAD-E3CD-4C30-84C4-1A7543F20D44}" type="presParOf" srcId="{7D60A561-133A-4D62-96EE-B00547AB75B3}" destId="{C5D3A6AB-C3DA-4159-A84E-18F4807D04E6}" srcOrd="0" destOrd="0" presId="urn:microsoft.com/office/officeart/2005/8/layout/list1"/>
    <dgm:cxn modelId="{A42ED1B7-3E9E-42CA-B379-324EC5183471}" type="presParOf" srcId="{7D60A561-133A-4D62-96EE-B00547AB75B3}" destId="{4D876C69-3B85-4D31-BCC1-BFCD9DEBF2C4}" srcOrd="1" destOrd="0" presId="urn:microsoft.com/office/officeart/2005/8/layout/list1"/>
    <dgm:cxn modelId="{F1FBE0A3-C184-4588-A993-85C99FB88996}" type="presParOf" srcId="{D90E586F-BD22-4F4E-9256-39A763565AEA}" destId="{F85A4B86-FB6F-4F90-998C-88291D22484E}" srcOrd="1" destOrd="0" presId="urn:microsoft.com/office/officeart/2005/8/layout/list1"/>
    <dgm:cxn modelId="{85B84BB2-EBBA-4090-9C86-A43EFA6F0572}" type="presParOf" srcId="{D90E586F-BD22-4F4E-9256-39A763565AEA}" destId="{39F34FE6-967A-4C6C-8292-A831BD71FCDE}" srcOrd="2" destOrd="0" presId="urn:microsoft.com/office/officeart/2005/8/layout/list1"/>
    <dgm:cxn modelId="{68FEBEC2-481F-46AA-AF10-DD6D80A3238F}" type="presParOf" srcId="{D90E586F-BD22-4F4E-9256-39A763565AEA}" destId="{27EA838F-19DD-4BEA-A4E3-E64E0B129B22}" srcOrd="3" destOrd="0" presId="urn:microsoft.com/office/officeart/2005/8/layout/list1"/>
    <dgm:cxn modelId="{2317DFA8-B5AF-4FBD-829A-B8DAC55BBB42}" type="presParOf" srcId="{D90E586F-BD22-4F4E-9256-39A763565AEA}" destId="{3F005B31-FC1B-4DE5-8BCD-D670A30DCDC4}" srcOrd="4" destOrd="0" presId="urn:microsoft.com/office/officeart/2005/8/layout/list1"/>
    <dgm:cxn modelId="{C0B034B1-0A6D-40ED-90FB-E1003A69E024}" type="presParOf" srcId="{3F005B31-FC1B-4DE5-8BCD-D670A30DCDC4}" destId="{DEDB3686-E63B-4A86-B635-80C7B0DDA732}" srcOrd="0" destOrd="0" presId="urn:microsoft.com/office/officeart/2005/8/layout/list1"/>
    <dgm:cxn modelId="{24E09602-9D20-4AC3-8014-7FE2618F0E94}" type="presParOf" srcId="{3F005B31-FC1B-4DE5-8BCD-D670A30DCDC4}" destId="{B8EE9B11-3301-462E-90F9-47214C79AAC1}" srcOrd="1" destOrd="0" presId="urn:microsoft.com/office/officeart/2005/8/layout/list1"/>
    <dgm:cxn modelId="{7EF0959D-CDC9-43AD-8EF8-4B6CB1EE7F87}" type="presParOf" srcId="{D90E586F-BD22-4F4E-9256-39A763565AEA}" destId="{455ED36A-A40B-4743-87AA-A00B744B085C}" srcOrd="5" destOrd="0" presId="urn:microsoft.com/office/officeart/2005/8/layout/list1"/>
    <dgm:cxn modelId="{C8EC7F99-FE5E-45E0-9309-E81946FFE3A2}" type="presParOf" srcId="{D90E586F-BD22-4F4E-9256-39A763565AEA}" destId="{9FBA82D1-DA83-41FB-A8B3-BA338FF33C91}" srcOrd="6" destOrd="0" presId="urn:microsoft.com/office/officeart/2005/8/layout/list1"/>
    <dgm:cxn modelId="{6FBCF3BB-F23E-44E5-9816-61FDE73AD1E2}" type="presParOf" srcId="{D90E586F-BD22-4F4E-9256-39A763565AEA}" destId="{0EA39414-2C5D-4AC9-AE8B-9DA0270E95C9}" srcOrd="7" destOrd="0" presId="urn:microsoft.com/office/officeart/2005/8/layout/list1"/>
    <dgm:cxn modelId="{C304F681-BC74-4F35-BEF2-31105DF7D2F5}" type="presParOf" srcId="{D90E586F-BD22-4F4E-9256-39A763565AEA}" destId="{F8CA894C-AF57-4A57-9E8E-5985AC0E230C}" srcOrd="8" destOrd="0" presId="urn:microsoft.com/office/officeart/2005/8/layout/list1"/>
    <dgm:cxn modelId="{1BB50E03-9D94-4617-9D2E-98F1B868AA27}" type="presParOf" srcId="{F8CA894C-AF57-4A57-9E8E-5985AC0E230C}" destId="{D9C906D4-0A52-4358-96D2-8B5F826DE422}" srcOrd="0" destOrd="0" presId="urn:microsoft.com/office/officeart/2005/8/layout/list1"/>
    <dgm:cxn modelId="{443759E9-1946-4FE5-8F07-1BFD37C7080A}" type="presParOf" srcId="{F8CA894C-AF57-4A57-9E8E-5985AC0E230C}" destId="{86C838AF-43BA-47C3-88EB-67C2B7537856}" srcOrd="1" destOrd="0" presId="urn:microsoft.com/office/officeart/2005/8/layout/list1"/>
    <dgm:cxn modelId="{D013C3D9-2FEB-474D-8379-C46AC473BC6C}" type="presParOf" srcId="{D90E586F-BD22-4F4E-9256-39A763565AEA}" destId="{E6AD0D83-BDA4-427E-974B-0C669C1682D5}" srcOrd="9" destOrd="0" presId="urn:microsoft.com/office/officeart/2005/8/layout/list1"/>
    <dgm:cxn modelId="{784BEEDE-19D9-4D8C-BF97-A053B46353B0}" type="presParOf" srcId="{D90E586F-BD22-4F4E-9256-39A763565AEA}" destId="{F61E5090-8EE9-4F22-906D-697656474CEE}" srcOrd="10" destOrd="0" presId="urn:microsoft.com/office/officeart/2005/8/layout/lis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F34FE6-967A-4C6C-8292-A831BD71FCDE}">
      <dsp:nvSpPr>
        <dsp:cNvPr id="0" name=""/>
        <dsp:cNvSpPr/>
      </dsp:nvSpPr>
      <dsp:spPr>
        <a:xfrm>
          <a:off x="0" y="67754"/>
          <a:ext cx="6191250" cy="356805"/>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4D876C69-3B85-4D31-BCC1-BFCD9DEBF2C4}">
      <dsp:nvSpPr>
        <dsp:cNvPr id="0" name=""/>
        <dsp:cNvSpPr/>
      </dsp:nvSpPr>
      <dsp:spPr>
        <a:xfrm>
          <a:off x="293540" y="4115"/>
          <a:ext cx="5895250" cy="31455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3810" tIns="0" rIns="163810" bIns="0" numCol="1" spcCol="1270" anchor="ctr" anchorCtr="0">
          <a:noAutofit/>
        </a:bodyPr>
        <a:lstStyle/>
        <a:p>
          <a:pPr marL="0" lvl="0" indent="0" algn="l" defTabSz="488950">
            <a:lnSpc>
              <a:spcPct val="90000"/>
            </a:lnSpc>
            <a:spcBef>
              <a:spcPct val="0"/>
            </a:spcBef>
            <a:spcAft>
              <a:spcPct val="35000"/>
            </a:spcAft>
            <a:buNone/>
          </a:pPr>
          <a:r>
            <a:rPr lang="fr-FR" sz="1100" kern="1200">
              <a:solidFill>
                <a:sysClr val="window" lastClr="FFFFFF"/>
              </a:solidFill>
              <a:latin typeface="Calibri" panose="020F0502020204030204"/>
              <a:ea typeface="+mn-ea"/>
              <a:cs typeface="+mn-cs"/>
            </a:rPr>
            <a:t>La fixation de l'ordre du jour du conseil communal prévoit l'adoption du règlement</a:t>
          </a:r>
        </a:p>
      </dsp:txBody>
      <dsp:txXfrm>
        <a:off x="308895" y="19470"/>
        <a:ext cx="5864540" cy="283848"/>
      </dsp:txXfrm>
    </dsp:sp>
    <dsp:sp modelId="{9FBA82D1-DA83-41FB-A8B3-BA338FF33C91}">
      <dsp:nvSpPr>
        <dsp:cNvPr id="0" name=""/>
        <dsp:cNvSpPr/>
      </dsp:nvSpPr>
      <dsp:spPr>
        <a:xfrm>
          <a:off x="0" y="917696"/>
          <a:ext cx="6191250" cy="335604"/>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B8EE9B11-3301-462E-90F9-47214C79AAC1}">
      <dsp:nvSpPr>
        <dsp:cNvPr id="0" name=""/>
        <dsp:cNvSpPr/>
      </dsp:nvSpPr>
      <dsp:spPr>
        <a:xfrm>
          <a:off x="303214" y="516359"/>
          <a:ext cx="5886409" cy="65225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3810" tIns="0" rIns="163810" bIns="0" numCol="1" spcCol="1270" anchor="ctr" anchorCtr="0">
          <a:noAutofit/>
        </a:bodyPr>
        <a:lstStyle/>
        <a:p>
          <a:pPr marL="0" lvl="0" indent="0" algn="l" defTabSz="488950">
            <a:lnSpc>
              <a:spcPct val="90000"/>
            </a:lnSpc>
            <a:spcBef>
              <a:spcPct val="0"/>
            </a:spcBef>
            <a:spcAft>
              <a:spcPct val="35000"/>
            </a:spcAft>
            <a:buNone/>
          </a:pPr>
          <a:r>
            <a:rPr lang="fr-FR" sz="1100" kern="1200">
              <a:solidFill>
                <a:sysClr val="window" lastClr="FFFFFF"/>
              </a:solidFill>
              <a:latin typeface="Calibri" panose="020F0502020204030204"/>
              <a:ea typeface="+mn-ea"/>
              <a:cs typeface="+mn-cs"/>
            </a:rPr>
            <a:t>La convocation du conseil communal est faite régulièrement et toutes les pièces relatives à ce point sont mises à la disposition des membres du cosneil communal conformément à l'article L 1122-13 du CDLD (y compris l'attestation de couverture du coût-vérité délivré par la Direction Sols et Déchets du SPW Environement </a:t>
          </a:r>
        </a:p>
      </dsp:txBody>
      <dsp:txXfrm>
        <a:off x="335055" y="548200"/>
        <a:ext cx="5822727" cy="588574"/>
      </dsp:txXfrm>
    </dsp:sp>
    <dsp:sp modelId="{F61E5090-8EE9-4F22-906D-697656474CEE}">
      <dsp:nvSpPr>
        <dsp:cNvPr id="0" name=""/>
        <dsp:cNvSpPr/>
      </dsp:nvSpPr>
      <dsp:spPr>
        <a:xfrm>
          <a:off x="0" y="1310559"/>
          <a:ext cx="6191250" cy="4284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86C838AF-43BA-47C3-88EB-67C2B7537856}">
      <dsp:nvSpPr>
        <dsp:cNvPr id="0" name=""/>
        <dsp:cNvSpPr/>
      </dsp:nvSpPr>
      <dsp:spPr>
        <a:xfrm>
          <a:off x="294749" y="1345100"/>
          <a:ext cx="5894983" cy="21637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3810" tIns="0" rIns="163810" bIns="0" numCol="1" spcCol="1270" anchor="ctr" anchorCtr="0">
          <a:noAutofit/>
        </a:bodyPr>
        <a:lstStyle/>
        <a:p>
          <a:pPr marL="0" lvl="0" indent="0" algn="l" defTabSz="488950">
            <a:lnSpc>
              <a:spcPct val="90000"/>
            </a:lnSpc>
            <a:spcBef>
              <a:spcPct val="0"/>
            </a:spcBef>
            <a:spcAft>
              <a:spcPct val="35000"/>
            </a:spcAft>
            <a:buNone/>
          </a:pPr>
          <a:r>
            <a:rPr lang="fr-FR" sz="1100" kern="1200">
              <a:solidFill>
                <a:sysClr val="window" lastClr="FFFFFF"/>
              </a:solidFill>
              <a:latin typeface="Calibri" panose="020F0502020204030204"/>
              <a:ea typeface="+mn-ea"/>
              <a:cs typeface="+mn-cs"/>
            </a:rPr>
            <a:t>Le règlement est adopté par le conseil communal</a:t>
          </a:r>
        </a:p>
      </dsp:txBody>
      <dsp:txXfrm>
        <a:off x="305312" y="1355663"/>
        <a:ext cx="5873857" cy="19525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F34FE6-967A-4C6C-8292-A831BD71FCDE}">
      <dsp:nvSpPr>
        <dsp:cNvPr id="0" name=""/>
        <dsp:cNvSpPr/>
      </dsp:nvSpPr>
      <dsp:spPr>
        <a:xfrm>
          <a:off x="0" y="532597"/>
          <a:ext cx="6200775" cy="418993"/>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4D876C69-3B85-4D31-BCC1-BFCD9DEBF2C4}">
      <dsp:nvSpPr>
        <dsp:cNvPr id="0" name=""/>
        <dsp:cNvSpPr/>
      </dsp:nvSpPr>
      <dsp:spPr>
        <a:xfrm>
          <a:off x="288879" y="31813"/>
          <a:ext cx="5911895" cy="884543"/>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4062" tIns="0" rIns="164062" bIns="0" numCol="1" spcCol="1270" anchor="ctr" anchorCtr="0">
          <a:noAutofit/>
        </a:bodyPr>
        <a:lstStyle/>
        <a:p>
          <a:pPr marL="0" lvl="0" indent="0" algn="l" defTabSz="488950">
            <a:lnSpc>
              <a:spcPct val="90000"/>
            </a:lnSpc>
            <a:spcBef>
              <a:spcPct val="0"/>
            </a:spcBef>
            <a:spcAft>
              <a:spcPct val="35000"/>
            </a:spcAft>
            <a:buNone/>
          </a:pPr>
          <a:r>
            <a:rPr lang="fr-FR" sz="1100" kern="1200">
              <a:solidFill>
                <a:sysClr val="window" lastClr="FFFFFF"/>
              </a:solidFill>
              <a:latin typeface="Calibri" panose="020F0502020204030204"/>
              <a:ea typeface="+mn-ea"/>
              <a:cs typeface="+mn-cs"/>
            </a:rPr>
            <a:t>Le règlement - auquel est joint la pièce justificative (attestation du coût-vérité) - est envoyé dans les 15 jopurs de son adoption par le conseil communal au gouvernement wallon conformément à l'article L 3132-1 du CDLD. </a:t>
          </a:r>
        </a:p>
        <a:p>
          <a:pPr marL="0" lvl="0" indent="0" algn="l" defTabSz="488950">
            <a:lnSpc>
              <a:spcPct val="90000"/>
            </a:lnSpc>
            <a:spcBef>
              <a:spcPct val="0"/>
            </a:spcBef>
            <a:spcAft>
              <a:spcPct val="35000"/>
            </a:spcAft>
            <a:buNone/>
          </a:pPr>
          <a:r>
            <a:rPr lang="fr-FR" sz="1100" kern="1200">
              <a:solidFill>
                <a:sysClr val="window" lastClr="FFFFFF"/>
              </a:solidFill>
              <a:latin typeface="Calibri" panose="020F0502020204030204"/>
              <a:ea typeface="+mn-ea"/>
              <a:cs typeface="+mn-cs"/>
            </a:rPr>
            <a:t>La date ultime de transmission est fixée au 15 novembre de l'exercice précédent l'exercice d'imposition.</a:t>
          </a:r>
        </a:p>
      </dsp:txBody>
      <dsp:txXfrm>
        <a:off x="332059" y="74993"/>
        <a:ext cx="5825535" cy="798183"/>
      </dsp:txXfrm>
    </dsp:sp>
    <dsp:sp modelId="{9FBA82D1-DA83-41FB-A8B3-BA338FF33C91}">
      <dsp:nvSpPr>
        <dsp:cNvPr id="0" name=""/>
        <dsp:cNvSpPr/>
      </dsp:nvSpPr>
      <dsp:spPr>
        <a:xfrm>
          <a:off x="0" y="1362787"/>
          <a:ext cx="6200775" cy="42878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B8EE9B11-3301-462E-90F9-47214C79AAC1}">
      <dsp:nvSpPr>
        <dsp:cNvPr id="0" name=""/>
        <dsp:cNvSpPr/>
      </dsp:nvSpPr>
      <dsp:spPr>
        <a:xfrm>
          <a:off x="303074" y="1091990"/>
          <a:ext cx="5892959" cy="65455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4062" tIns="0" rIns="164062" bIns="0" numCol="1" spcCol="1270" anchor="ctr" anchorCtr="0">
          <a:noAutofit/>
        </a:bodyPr>
        <a:lstStyle/>
        <a:p>
          <a:pPr marL="0" lvl="0" indent="0" algn="l" defTabSz="488950">
            <a:lnSpc>
              <a:spcPct val="90000"/>
            </a:lnSpc>
            <a:spcBef>
              <a:spcPct val="0"/>
            </a:spcBef>
            <a:spcAft>
              <a:spcPct val="35000"/>
            </a:spcAft>
            <a:buNone/>
          </a:pPr>
          <a:r>
            <a:rPr lang="fr-FR" sz="1100" kern="1200">
              <a:solidFill>
                <a:sysClr val="window" lastClr="FFFFFF"/>
              </a:solidFill>
              <a:latin typeface="Calibri" panose="020F0502020204030204"/>
              <a:ea typeface="+mn-ea"/>
              <a:cs typeface="+mn-cs"/>
            </a:rPr>
            <a:t>Une fois approuvé par les autorités de tutelle, le règlement est publié conformément aux articles L 1133-1 et -2 du CDLD.</a:t>
          </a:r>
        </a:p>
      </dsp:txBody>
      <dsp:txXfrm>
        <a:off x="335027" y="1123943"/>
        <a:ext cx="5829053" cy="590650"/>
      </dsp:txXfrm>
    </dsp:sp>
    <dsp:sp modelId="{F61E5090-8EE9-4F22-906D-697656474CEE}">
      <dsp:nvSpPr>
        <dsp:cNvPr id="0" name=""/>
        <dsp:cNvSpPr/>
      </dsp:nvSpPr>
      <dsp:spPr>
        <a:xfrm>
          <a:off x="0" y="2315729"/>
          <a:ext cx="6200775" cy="519481"/>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86C838AF-43BA-47C3-88EB-67C2B7537856}">
      <dsp:nvSpPr>
        <dsp:cNvPr id="0" name=""/>
        <dsp:cNvSpPr/>
      </dsp:nvSpPr>
      <dsp:spPr>
        <a:xfrm>
          <a:off x="296722" y="1863936"/>
          <a:ext cx="5904052" cy="76752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4062" tIns="0" rIns="164062" bIns="0" numCol="1" spcCol="1270" anchor="ctr" anchorCtr="0">
          <a:noAutofit/>
        </a:bodyPr>
        <a:lstStyle/>
        <a:p>
          <a:pPr marL="0" lvl="0" indent="0" algn="l" defTabSz="488950">
            <a:lnSpc>
              <a:spcPct val="90000"/>
            </a:lnSpc>
            <a:spcBef>
              <a:spcPct val="0"/>
            </a:spcBef>
            <a:spcAft>
              <a:spcPct val="35000"/>
            </a:spcAft>
            <a:buNone/>
          </a:pPr>
          <a:r>
            <a:rPr lang="fr-FR" sz="1100" kern="1200">
              <a:solidFill>
                <a:sysClr val="window" lastClr="FFFFFF"/>
              </a:solidFill>
              <a:latin typeface="Calibri" panose="020F0502020204030204"/>
              <a:ea typeface="+mn-ea"/>
              <a:cs typeface="+mn-cs"/>
            </a:rPr>
            <a:t>Le règlement entre en vigueur au plus tôt le 5ème jour qui suit celui de sa publication. Il peut entrer en vigueur plus tôt mais uniquement à la condition que cela soit prévu expressément dans le règlement.</a:t>
          </a:r>
        </a:p>
      </dsp:txBody>
      <dsp:txXfrm>
        <a:off x="334189" y="1901403"/>
        <a:ext cx="5829118" cy="692586"/>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D07AB3A2CE1B4CA8BC3CF5672101E7" ma:contentTypeVersion="4" ma:contentTypeDescription="Crée un document." ma:contentTypeScope="" ma:versionID="2451fdc666a634d30daf735301aa7213">
  <xsd:schema xmlns:xsd="http://www.w3.org/2001/XMLSchema" xmlns:xs="http://www.w3.org/2001/XMLSchema" xmlns:p="http://schemas.microsoft.com/office/2006/metadata/properties" xmlns:ns2="a51339e3-7921-4c55-b43c-b92917634d65" targetNamespace="http://schemas.microsoft.com/office/2006/metadata/properties" ma:root="true" ma:fieldsID="d4b81e52dedd3941a46a5bc117be3106" ns2:_="">
    <xsd:import namespace="a51339e3-7921-4c55-b43c-b92917634d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339e3-7921-4c55-b43c-b92917634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DD02E-75DD-4D26-BA98-ED3806C02C51}">
  <ds:schemaRefs>
    <ds:schemaRef ds:uri="http://schemas.microsoft.com/sharepoint/v3/contenttype/forms"/>
  </ds:schemaRefs>
</ds:datastoreItem>
</file>

<file path=customXml/itemProps2.xml><?xml version="1.0" encoding="utf-8"?>
<ds:datastoreItem xmlns:ds="http://schemas.openxmlformats.org/officeDocument/2006/customXml" ds:itemID="{EF0848CA-63AC-45E2-9AB9-DAA360A18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339e3-7921-4c55-b43c-b92917634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43E07-2E4B-4F3C-AEB9-C5AFF2A31B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251</Pages>
  <Words>91163</Words>
  <Characters>501399</Characters>
  <Application>Microsoft Office Word</Application>
  <DocSecurity>4</DocSecurity>
  <Lines>4178</Lines>
  <Paragraphs>1182</Paragraphs>
  <ScaleCrop>false</ScaleCrop>
  <Manager/>
  <Company/>
  <LinksUpToDate>false</LinksUpToDate>
  <CharactersWithSpaces>591380</CharactersWithSpaces>
  <SharedDoc>false</SharedDoc>
  <HyperlinkBase/>
  <HLinks>
    <vt:vector size="2706" baseType="variant">
      <vt:variant>
        <vt:i4>4980814</vt:i4>
      </vt:variant>
      <vt:variant>
        <vt:i4>2679</vt:i4>
      </vt:variant>
      <vt:variant>
        <vt:i4>0</vt:i4>
      </vt:variant>
      <vt:variant>
        <vt:i4>5</vt:i4>
      </vt:variant>
      <vt:variant>
        <vt:lpwstr>http://crac.wallonie.be/</vt:lpwstr>
      </vt:variant>
      <vt:variant>
        <vt:lpwstr/>
      </vt:variant>
      <vt:variant>
        <vt:i4>6946819</vt:i4>
      </vt:variant>
      <vt:variant>
        <vt:i4>2676</vt:i4>
      </vt:variant>
      <vt:variant>
        <vt:i4>0</vt:i4>
      </vt:variant>
      <vt:variant>
        <vt:i4>5</vt:i4>
      </vt:variant>
      <vt:variant>
        <vt:lpwstr>mailto:info@crac.wallonie.be</vt:lpwstr>
      </vt:variant>
      <vt:variant>
        <vt:lpwstr/>
      </vt:variant>
      <vt:variant>
        <vt:i4>2883626</vt:i4>
      </vt:variant>
      <vt:variant>
        <vt:i4>2673</vt:i4>
      </vt:variant>
      <vt:variant>
        <vt:i4>0</vt:i4>
      </vt:variant>
      <vt:variant>
        <vt:i4>5</vt:i4>
      </vt:variant>
      <vt:variant>
        <vt:lpwstr>http://pouvoirslocaux.wallonie.be/</vt:lpwstr>
      </vt:variant>
      <vt:variant>
        <vt:lpwstr/>
      </vt:variant>
      <vt:variant>
        <vt:i4>7995400</vt:i4>
      </vt:variant>
      <vt:variant>
        <vt:i4>2670</vt:i4>
      </vt:variant>
      <vt:variant>
        <vt:i4>0</vt:i4>
      </vt:variant>
      <vt:variant>
        <vt:i4>5</vt:i4>
      </vt:variant>
      <vt:variant>
        <vt:lpwstr>mailto:PouvoirsLocaux@spw.wallonie.be</vt:lpwstr>
      </vt:variant>
      <vt:variant>
        <vt:lpwstr/>
      </vt:variant>
      <vt:variant>
        <vt:i4>196721</vt:i4>
      </vt:variant>
      <vt:variant>
        <vt:i4>2667</vt:i4>
      </vt:variant>
      <vt:variant>
        <vt:i4>0</vt:i4>
      </vt:variant>
      <vt:variant>
        <vt:i4>5</vt:i4>
      </vt:variant>
      <vt:variant>
        <vt:lpwstr>http://lampspw.wallonie.be/dgo4/site_logement//site/divers?page=location</vt:lpwstr>
      </vt:variant>
      <vt:variant>
        <vt:lpwstr/>
      </vt:variant>
      <vt:variant>
        <vt:i4>1441861</vt:i4>
      </vt:variant>
      <vt:variant>
        <vt:i4>2661</vt:i4>
      </vt:variant>
      <vt:variant>
        <vt:i4>0</vt:i4>
      </vt:variant>
      <vt:variant>
        <vt:i4>5</vt:i4>
      </vt:variant>
      <vt:variant>
        <vt:lpwstr>https://interieur.wallonie.be/a-la-une/recouvrement-amiable-de-dettes-faq</vt:lpwstr>
      </vt:variant>
      <vt:variant>
        <vt:lpwstr/>
      </vt:variant>
      <vt:variant>
        <vt:i4>7733258</vt:i4>
      </vt:variant>
      <vt:variant>
        <vt:i4>2658</vt:i4>
      </vt:variant>
      <vt:variant>
        <vt:i4>0</vt:i4>
      </vt:variant>
      <vt:variant>
        <vt:i4>5</vt:i4>
      </vt:variant>
      <vt:variant>
        <vt:lpwstr>mailto:international.recouvrement.finances@spw.wallonie.be</vt:lpwstr>
      </vt:variant>
      <vt:variant>
        <vt:lpwstr/>
      </vt:variant>
      <vt:variant>
        <vt:i4>7733258</vt:i4>
      </vt:variant>
      <vt:variant>
        <vt:i4>2655</vt:i4>
      </vt:variant>
      <vt:variant>
        <vt:i4>0</vt:i4>
      </vt:variant>
      <vt:variant>
        <vt:i4>5</vt:i4>
      </vt:variant>
      <vt:variant>
        <vt:lpwstr>mailto:international.recouvrement.finances@spw.wallonie.be</vt:lpwstr>
      </vt:variant>
      <vt:variant>
        <vt:lpwstr/>
      </vt:variant>
      <vt:variant>
        <vt:i4>1245232</vt:i4>
      </vt:variant>
      <vt:variant>
        <vt:i4>2648</vt:i4>
      </vt:variant>
      <vt:variant>
        <vt:i4>0</vt:i4>
      </vt:variant>
      <vt:variant>
        <vt:i4>5</vt:i4>
      </vt:variant>
      <vt:variant>
        <vt:lpwstr/>
      </vt:variant>
      <vt:variant>
        <vt:lpwstr>_Toc225417655</vt:lpwstr>
      </vt:variant>
      <vt:variant>
        <vt:i4>1245232</vt:i4>
      </vt:variant>
      <vt:variant>
        <vt:i4>2642</vt:i4>
      </vt:variant>
      <vt:variant>
        <vt:i4>0</vt:i4>
      </vt:variant>
      <vt:variant>
        <vt:i4>5</vt:i4>
      </vt:variant>
      <vt:variant>
        <vt:lpwstr/>
      </vt:variant>
      <vt:variant>
        <vt:lpwstr>_Toc225417654</vt:lpwstr>
      </vt:variant>
      <vt:variant>
        <vt:i4>1245232</vt:i4>
      </vt:variant>
      <vt:variant>
        <vt:i4>2636</vt:i4>
      </vt:variant>
      <vt:variant>
        <vt:i4>0</vt:i4>
      </vt:variant>
      <vt:variant>
        <vt:i4>5</vt:i4>
      </vt:variant>
      <vt:variant>
        <vt:lpwstr/>
      </vt:variant>
      <vt:variant>
        <vt:lpwstr>_Toc225417653</vt:lpwstr>
      </vt:variant>
      <vt:variant>
        <vt:i4>1245232</vt:i4>
      </vt:variant>
      <vt:variant>
        <vt:i4>2630</vt:i4>
      </vt:variant>
      <vt:variant>
        <vt:i4>0</vt:i4>
      </vt:variant>
      <vt:variant>
        <vt:i4>5</vt:i4>
      </vt:variant>
      <vt:variant>
        <vt:lpwstr/>
      </vt:variant>
      <vt:variant>
        <vt:lpwstr>_Toc225417652</vt:lpwstr>
      </vt:variant>
      <vt:variant>
        <vt:i4>1245232</vt:i4>
      </vt:variant>
      <vt:variant>
        <vt:i4>2624</vt:i4>
      </vt:variant>
      <vt:variant>
        <vt:i4>0</vt:i4>
      </vt:variant>
      <vt:variant>
        <vt:i4>5</vt:i4>
      </vt:variant>
      <vt:variant>
        <vt:lpwstr/>
      </vt:variant>
      <vt:variant>
        <vt:lpwstr>_Toc225417651</vt:lpwstr>
      </vt:variant>
      <vt:variant>
        <vt:i4>1245232</vt:i4>
      </vt:variant>
      <vt:variant>
        <vt:i4>2618</vt:i4>
      </vt:variant>
      <vt:variant>
        <vt:i4>0</vt:i4>
      </vt:variant>
      <vt:variant>
        <vt:i4>5</vt:i4>
      </vt:variant>
      <vt:variant>
        <vt:lpwstr/>
      </vt:variant>
      <vt:variant>
        <vt:lpwstr>_Toc225417650</vt:lpwstr>
      </vt:variant>
      <vt:variant>
        <vt:i4>1179696</vt:i4>
      </vt:variant>
      <vt:variant>
        <vt:i4>2612</vt:i4>
      </vt:variant>
      <vt:variant>
        <vt:i4>0</vt:i4>
      </vt:variant>
      <vt:variant>
        <vt:i4>5</vt:i4>
      </vt:variant>
      <vt:variant>
        <vt:lpwstr/>
      </vt:variant>
      <vt:variant>
        <vt:lpwstr>_Toc225417649</vt:lpwstr>
      </vt:variant>
      <vt:variant>
        <vt:i4>1179696</vt:i4>
      </vt:variant>
      <vt:variant>
        <vt:i4>2606</vt:i4>
      </vt:variant>
      <vt:variant>
        <vt:i4>0</vt:i4>
      </vt:variant>
      <vt:variant>
        <vt:i4>5</vt:i4>
      </vt:variant>
      <vt:variant>
        <vt:lpwstr/>
      </vt:variant>
      <vt:variant>
        <vt:lpwstr>_Toc225417648</vt:lpwstr>
      </vt:variant>
      <vt:variant>
        <vt:i4>1179696</vt:i4>
      </vt:variant>
      <vt:variant>
        <vt:i4>2600</vt:i4>
      </vt:variant>
      <vt:variant>
        <vt:i4>0</vt:i4>
      </vt:variant>
      <vt:variant>
        <vt:i4>5</vt:i4>
      </vt:variant>
      <vt:variant>
        <vt:lpwstr/>
      </vt:variant>
      <vt:variant>
        <vt:lpwstr>_Toc225417647</vt:lpwstr>
      </vt:variant>
      <vt:variant>
        <vt:i4>1179696</vt:i4>
      </vt:variant>
      <vt:variant>
        <vt:i4>2594</vt:i4>
      </vt:variant>
      <vt:variant>
        <vt:i4>0</vt:i4>
      </vt:variant>
      <vt:variant>
        <vt:i4>5</vt:i4>
      </vt:variant>
      <vt:variant>
        <vt:lpwstr/>
      </vt:variant>
      <vt:variant>
        <vt:lpwstr>_Toc225417646</vt:lpwstr>
      </vt:variant>
      <vt:variant>
        <vt:i4>1179696</vt:i4>
      </vt:variant>
      <vt:variant>
        <vt:i4>2588</vt:i4>
      </vt:variant>
      <vt:variant>
        <vt:i4>0</vt:i4>
      </vt:variant>
      <vt:variant>
        <vt:i4>5</vt:i4>
      </vt:variant>
      <vt:variant>
        <vt:lpwstr/>
      </vt:variant>
      <vt:variant>
        <vt:lpwstr>_Toc225417645</vt:lpwstr>
      </vt:variant>
      <vt:variant>
        <vt:i4>1179696</vt:i4>
      </vt:variant>
      <vt:variant>
        <vt:i4>2582</vt:i4>
      </vt:variant>
      <vt:variant>
        <vt:i4>0</vt:i4>
      </vt:variant>
      <vt:variant>
        <vt:i4>5</vt:i4>
      </vt:variant>
      <vt:variant>
        <vt:lpwstr/>
      </vt:variant>
      <vt:variant>
        <vt:lpwstr>_Toc225417644</vt:lpwstr>
      </vt:variant>
      <vt:variant>
        <vt:i4>1179696</vt:i4>
      </vt:variant>
      <vt:variant>
        <vt:i4>2576</vt:i4>
      </vt:variant>
      <vt:variant>
        <vt:i4>0</vt:i4>
      </vt:variant>
      <vt:variant>
        <vt:i4>5</vt:i4>
      </vt:variant>
      <vt:variant>
        <vt:lpwstr/>
      </vt:variant>
      <vt:variant>
        <vt:lpwstr>_Toc225417643</vt:lpwstr>
      </vt:variant>
      <vt:variant>
        <vt:i4>1179696</vt:i4>
      </vt:variant>
      <vt:variant>
        <vt:i4>2570</vt:i4>
      </vt:variant>
      <vt:variant>
        <vt:i4>0</vt:i4>
      </vt:variant>
      <vt:variant>
        <vt:i4>5</vt:i4>
      </vt:variant>
      <vt:variant>
        <vt:lpwstr/>
      </vt:variant>
      <vt:variant>
        <vt:lpwstr>_Toc225417642</vt:lpwstr>
      </vt:variant>
      <vt:variant>
        <vt:i4>1179696</vt:i4>
      </vt:variant>
      <vt:variant>
        <vt:i4>2564</vt:i4>
      </vt:variant>
      <vt:variant>
        <vt:i4>0</vt:i4>
      </vt:variant>
      <vt:variant>
        <vt:i4>5</vt:i4>
      </vt:variant>
      <vt:variant>
        <vt:lpwstr/>
      </vt:variant>
      <vt:variant>
        <vt:lpwstr>_Toc225417641</vt:lpwstr>
      </vt:variant>
      <vt:variant>
        <vt:i4>1179696</vt:i4>
      </vt:variant>
      <vt:variant>
        <vt:i4>2558</vt:i4>
      </vt:variant>
      <vt:variant>
        <vt:i4>0</vt:i4>
      </vt:variant>
      <vt:variant>
        <vt:i4>5</vt:i4>
      </vt:variant>
      <vt:variant>
        <vt:lpwstr/>
      </vt:variant>
      <vt:variant>
        <vt:lpwstr>_Toc225417640</vt:lpwstr>
      </vt:variant>
      <vt:variant>
        <vt:i4>1376304</vt:i4>
      </vt:variant>
      <vt:variant>
        <vt:i4>2552</vt:i4>
      </vt:variant>
      <vt:variant>
        <vt:i4>0</vt:i4>
      </vt:variant>
      <vt:variant>
        <vt:i4>5</vt:i4>
      </vt:variant>
      <vt:variant>
        <vt:lpwstr/>
      </vt:variant>
      <vt:variant>
        <vt:lpwstr>_Toc225417639</vt:lpwstr>
      </vt:variant>
      <vt:variant>
        <vt:i4>1376304</vt:i4>
      </vt:variant>
      <vt:variant>
        <vt:i4>2546</vt:i4>
      </vt:variant>
      <vt:variant>
        <vt:i4>0</vt:i4>
      </vt:variant>
      <vt:variant>
        <vt:i4>5</vt:i4>
      </vt:variant>
      <vt:variant>
        <vt:lpwstr/>
      </vt:variant>
      <vt:variant>
        <vt:lpwstr>_Toc225417638</vt:lpwstr>
      </vt:variant>
      <vt:variant>
        <vt:i4>1376304</vt:i4>
      </vt:variant>
      <vt:variant>
        <vt:i4>2540</vt:i4>
      </vt:variant>
      <vt:variant>
        <vt:i4>0</vt:i4>
      </vt:variant>
      <vt:variant>
        <vt:i4>5</vt:i4>
      </vt:variant>
      <vt:variant>
        <vt:lpwstr/>
      </vt:variant>
      <vt:variant>
        <vt:lpwstr>_Toc225417637</vt:lpwstr>
      </vt:variant>
      <vt:variant>
        <vt:i4>1376304</vt:i4>
      </vt:variant>
      <vt:variant>
        <vt:i4>2534</vt:i4>
      </vt:variant>
      <vt:variant>
        <vt:i4>0</vt:i4>
      </vt:variant>
      <vt:variant>
        <vt:i4>5</vt:i4>
      </vt:variant>
      <vt:variant>
        <vt:lpwstr/>
      </vt:variant>
      <vt:variant>
        <vt:lpwstr>_Toc225417636</vt:lpwstr>
      </vt:variant>
      <vt:variant>
        <vt:i4>1376304</vt:i4>
      </vt:variant>
      <vt:variant>
        <vt:i4>2528</vt:i4>
      </vt:variant>
      <vt:variant>
        <vt:i4>0</vt:i4>
      </vt:variant>
      <vt:variant>
        <vt:i4>5</vt:i4>
      </vt:variant>
      <vt:variant>
        <vt:lpwstr/>
      </vt:variant>
      <vt:variant>
        <vt:lpwstr>_Toc225417635</vt:lpwstr>
      </vt:variant>
      <vt:variant>
        <vt:i4>1376304</vt:i4>
      </vt:variant>
      <vt:variant>
        <vt:i4>2522</vt:i4>
      </vt:variant>
      <vt:variant>
        <vt:i4>0</vt:i4>
      </vt:variant>
      <vt:variant>
        <vt:i4>5</vt:i4>
      </vt:variant>
      <vt:variant>
        <vt:lpwstr/>
      </vt:variant>
      <vt:variant>
        <vt:lpwstr>_Toc225417634</vt:lpwstr>
      </vt:variant>
      <vt:variant>
        <vt:i4>1376304</vt:i4>
      </vt:variant>
      <vt:variant>
        <vt:i4>2516</vt:i4>
      </vt:variant>
      <vt:variant>
        <vt:i4>0</vt:i4>
      </vt:variant>
      <vt:variant>
        <vt:i4>5</vt:i4>
      </vt:variant>
      <vt:variant>
        <vt:lpwstr/>
      </vt:variant>
      <vt:variant>
        <vt:lpwstr>_Toc225417633</vt:lpwstr>
      </vt:variant>
      <vt:variant>
        <vt:i4>1376304</vt:i4>
      </vt:variant>
      <vt:variant>
        <vt:i4>2510</vt:i4>
      </vt:variant>
      <vt:variant>
        <vt:i4>0</vt:i4>
      </vt:variant>
      <vt:variant>
        <vt:i4>5</vt:i4>
      </vt:variant>
      <vt:variant>
        <vt:lpwstr/>
      </vt:variant>
      <vt:variant>
        <vt:lpwstr>_Toc225417632</vt:lpwstr>
      </vt:variant>
      <vt:variant>
        <vt:i4>1376304</vt:i4>
      </vt:variant>
      <vt:variant>
        <vt:i4>2504</vt:i4>
      </vt:variant>
      <vt:variant>
        <vt:i4>0</vt:i4>
      </vt:variant>
      <vt:variant>
        <vt:i4>5</vt:i4>
      </vt:variant>
      <vt:variant>
        <vt:lpwstr/>
      </vt:variant>
      <vt:variant>
        <vt:lpwstr>_Toc225417631</vt:lpwstr>
      </vt:variant>
      <vt:variant>
        <vt:i4>1376304</vt:i4>
      </vt:variant>
      <vt:variant>
        <vt:i4>2498</vt:i4>
      </vt:variant>
      <vt:variant>
        <vt:i4>0</vt:i4>
      </vt:variant>
      <vt:variant>
        <vt:i4>5</vt:i4>
      </vt:variant>
      <vt:variant>
        <vt:lpwstr/>
      </vt:variant>
      <vt:variant>
        <vt:lpwstr>_Toc225417630</vt:lpwstr>
      </vt:variant>
      <vt:variant>
        <vt:i4>1310768</vt:i4>
      </vt:variant>
      <vt:variant>
        <vt:i4>2492</vt:i4>
      </vt:variant>
      <vt:variant>
        <vt:i4>0</vt:i4>
      </vt:variant>
      <vt:variant>
        <vt:i4>5</vt:i4>
      </vt:variant>
      <vt:variant>
        <vt:lpwstr/>
      </vt:variant>
      <vt:variant>
        <vt:lpwstr>_Toc225417629</vt:lpwstr>
      </vt:variant>
      <vt:variant>
        <vt:i4>1310768</vt:i4>
      </vt:variant>
      <vt:variant>
        <vt:i4>2486</vt:i4>
      </vt:variant>
      <vt:variant>
        <vt:i4>0</vt:i4>
      </vt:variant>
      <vt:variant>
        <vt:i4>5</vt:i4>
      </vt:variant>
      <vt:variant>
        <vt:lpwstr/>
      </vt:variant>
      <vt:variant>
        <vt:lpwstr>_Toc225417628</vt:lpwstr>
      </vt:variant>
      <vt:variant>
        <vt:i4>1310768</vt:i4>
      </vt:variant>
      <vt:variant>
        <vt:i4>2480</vt:i4>
      </vt:variant>
      <vt:variant>
        <vt:i4>0</vt:i4>
      </vt:variant>
      <vt:variant>
        <vt:i4>5</vt:i4>
      </vt:variant>
      <vt:variant>
        <vt:lpwstr/>
      </vt:variant>
      <vt:variant>
        <vt:lpwstr>_Toc225417627</vt:lpwstr>
      </vt:variant>
      <vt:variant>
        <vt:i4>1310768</vt:i4>
      </vt:variant>
      <vt:variant>
        <vt:i4>2474</vt:i4>
      </vt:variant>
      <vt:variant>
        <vt:i4>0</vt:i4>
      </vt:variant>
      <vt:variant>
        <vt:i4>5</vt:i4>
      </vt:variant>
      <vt:variant>
        <vt:lpwstr/>
      </vt:variant>
      <vt:variant>
        <vt:lpwstr>_Toc225417626</vt:lpwstr>
      </vt:variant>
      <vt:variant>
        <vt:i4>1310768</vt:i4>
      </vt:variant>
      <vt:variant>
        <vt:i4>2468</vt:i4>
      </vt:variant>
      <vt:variant>
        <vt:i4>0</vt:i4>
      </vt:variant>
      <vt:variant>
        <vt:i4>5</vt:i4>
      </vt:variant>
      <vt:variant>
        <vt:lpwstr/>
      </vt:variant>
      <vt:variant>
        <vt:lpwstr>_Toc225417625</vt:lpwstr>
      </vt:variant>
      <vt:variant>
        <vt:i4>1310768</vt:i4>
      </vt:variant>
      <vt:variant>
        <vt:i4>2462</vt:i4>
      </vt:variant>
      <vt:variant>
        <vt:i4>0</vt:i4>
      </vt:variant>
      <vt:variant>
        <vt:i4>5</vt:i4>
      </vt:variant>
      <vt:variant>
        <vt:lpwstr/>
      </vt:variant>
      <vt:variant>
        <vt:lpwstr>_Toc225417624</vt:lpwstr>
      </vt:variant>
      <vt:variant>
        <vt:i4>1310768</vt:i4>
      </vt:variant>
      <vt:variant>
        <vt:i4>2456</vt:i4>
      </vt:variant>
      <vt:variant>
        <vt:i4>0</vt:i4>
      </vt:variant>
      <vt:variant>
        <vt:i4>5</vt:i4>
      </vt:variant>
      <vt:variant>
        <vt:lpwstr/>
      </vt:variant>
      <vt:variant>
        <vt:lpwstr>_Toc225417623</vt:lpwstr>
      </vt:variant>
      <vt:variant>
        <vt:i4>1310768</vt:i4>
      </vt:variant>
      <vt:variant>
        <vt:i4>2450</vt:i4>
      </vt:variant>
      <vt:variant>
        <vt:i4>0</vt:i4>
      </vt:variant>
      <vt:variant>
        <vt:i4>5</vt:i4>
      </vt:variant>
      <vt:variant>
        <vt:lpwstr/>
      </vt:variant>
      <vt:variant>
        <vt:lpwstr>_Toc225417622</vt:lpwstr>
      </vt:variant>
      <vt:variant>
        <vt:i4>1310768</vt:i4>
      </vt:variant>
      <vt:variant>
        <vt:i4>2444</vt:i4>
      </vt:variant>
      <vt:variant>
        <vt:i4>0</vt:i4>
      </vt:variant>
      <vt:variant>
        <vt:i4>5</vt:i4>
      </vt:variant>
      <vt:variant>
        <vt:lpwstr/>
      </vt:variant>
      <vt:variant>
        <vt:lpwstr>_Toc225417621</vt:lpwstr>
      </vt:variant>
      <vt:variant>
        <vt:i4>1310768</vt:i4>
      </vt:variant>
      <vt:variant>
        <vt:i4>2438</vt:i4>
      </vt:variant>
      <vt:variant>
        <vt:i4>0</vt:i4>
      </vt:variant>
      <vt:variant>
        <vt:i4>5</vt:i4>
      </vt:variant>
      <vt:variant>
        <vt:lpwstr/>
      </vt:variant>
      <vt:variant>
        <vt:lpwstr>_Toc225417620</vt:lpwstr>
      </vt:variant>
      <vt:variant>
        <vt:i4>1507376</vt:i4>
      </vt:variant>
      <vt:variant>
        <vt:i4>2432</vt:i4>
      </vt:variant>
      <vt:variant>
        <vt:i4>0</vt:i4>
      </vt:variant>
      <vt:variant>
        <vt:i4>5</vt:i4>
      </vt:variant>
      <vt:variant>
        <vt:lpwstr/>
      </vt:variant>
      <vt:variant>
        <vt:lpwstr>_Toc225417619</vt:lpwstr>
      </vt:variant>
      <vt:variant>
        <vt:i4>1507376</vt:i4>
      </vt:variant>
      <vt:variant>
        <vt:i4>2426</vt:i4>
      </vt:variant>
      <vt:variant>
        <vt:i4>0</vt:i4>
      </vt:variant>
      <vt:variant>
        <vt:i4>5</vt:i4>
      </vt:variant>
      <vt:variant>
        <vt:lpwstr/>
      </vt:variant>
      <vt:variant>
        <vt:lpwstr>_Toc225417618</vt:lpwstr>
      </vt:variant>
      <vt:variant>
        <vt:i4>1507376</vt:i4>
      </vt:variant>
      <vt:variant>
        <vt:i4>2420</vt:i4>
      </vt:variant>
      <vt:variant>
        <vt:i4>0</vt:i4>
      </vt:variant>
      <vt:variant>
        <vt:i4>5</vt:i4>
      </vt:variant>
      <vt:variant>
        <vt:lpwstr/>
      </vt:variant>
      <vt:variant>
        <vt:lpwstr>_Toc225417617</vt:lpwstr>
      </vt:variant>
      <vt:variant>
        <vt:i4>1507376</vt:i4>
      </vt:variant>
      <vt:variant>
        <vt:i4>2414</vt:i4>
      </vt:variant>
      <vt:variant>
        <vt:i4>0</vt:i4>
      </vt:variant>
      <vt:variant>
        <vt:i4>5</vt:i4>
      </vt:variant>
      <vt:variant>
        <vt:lpwstr/>
      </vt:variant>
      <vt:variant>
        <vt:lpwstr>_Toc225417616</vt:lpwstr>
      </vt:variant>
      <vt:variant>
        <vt:i4>1507376</vt:i4>
      </vt:variant>
      <vt:variant>
        <vt:i4>2408</vt:i4>
      </vt:variant>
      <vt:variant>
        <vt:i4>0</vt:i4>
      </vt:variant>
      <vt:variant>
        <vt:i4>5</vt:i4>
      </vt:variant>
      <vt:variant>
        <vt:lpwstr/>
      </vt:variant>
      <vt:variant>
        <vt:lpwstr>_Toc225417615</vt:lpwstr>
      </vt:variant>
      <vt:variant>
        <vt:i4>1507376</vt:i4>
      </vt:variant>
      <vt:variant>
        <vt:i4>2402</vt:i4>
      </vt:variant>
      <vt:variant>
        <vt:i4>0</vt:i4>
      </vt:variant>
      <vt:variant>
        <vt:i4>5</vt:i4>
      </vt:variant>
      <vt:variant>
        <vt:lpwstr/>
      </vt:variant>
      <vt:variant>
        <vt:lpwstr>_Toc225417614</vt:lpwstr>
      </vt:variant>
      <vt:variant>
        <vt:i4>1507376</vt:i4>
      </vt:variant>
      <vt:variant>
        <vt:i4>2396</vt:i4>
      </vt:variant>
      <vt:variant>
        <vt:i4>0</vt:i4>
      </vt:variant>
      <vt:variant>
        <vt:i4>5</vt:i4>
      </vt:variant>
      <vt:variant>
        <vt:lpwstr/>
      </vt:variant>
      <vt:variant>
        <vt:lpwstr>_Toc225417613</vt:lpwstr>
      </vt:variant>
      <vt:variant>
        <vt:i4>1507376</vt:i4>
      </vt:variant>
      <vt:variant>
        <vt:i4>2390</vt:i4>
      </vt:variant>
      <vt:variant>
        <vt:i4>0</vt:i4>
      </vt:variant>
      <vt:variant>
        <vt:i4>5</vt:i4>
      </vt:variant>
      <vt:variant>
        <vt:lpwstr/>
      </vt:variant>
      <vt:variant>
        <vt:lpwstr>_Toc225417612</vt:lpwstr>
      </vt:variant>
      <vt:variant>
        <vt:i4>1507376</vt:i4>
      </vt:variant>
      <vt:variant>
        <vt:i4>2384</vt:i4>
      </vt:variant>
      <vt:variant>
        <vt:i4>0</vt:i4>
      </vt:variant>
      <vt:variant>
        <vt:i4>5</vt:i4>
      </vt:variant>
      <vt:variant>
        <vt:lpwstr/>
      </vt:variant>
      <vt:variant>
        <vt:lpwstr>_Toc225417611</vt:lpwstr>
      </vt:variant>
      <vt:variant>
        <vt:i4>1507376</vt:i4>
      </vt:variant>
      <vt:variant>
        <vt:i4>2378</vt:i4>
      </vt:variant>
      <vt:variant>
        <vt:i4>0</vt:i4>
      </vt:variant>
      <vt:variant>
        <vt:i4>5</vt:i4>
      </vt:variant>
      <vt:variant>
        <vt:lpwstr/>
      </vt:variant>
      <vt:variant>
        <vt:lpwstr>_Toc225417610</vt:lpwstr>
      </vt:variant>
      <vt:variant>
        <vt:i4>1441840</vt:i4>
      </vt:variant>
      <vt:variant>
        <vt:i4>2372</vt:i4>
      </vt:variant>
      <vt:variant>
        <vt:i4>0</vt:i4>
      </vt:variant>
      <vt:variant>
        <vt:i4>5</vt:i4>
      </vt:variant>
      <vt:variant>
        <vt:lpwstr/>
      </vt:variant>
      <vt:variant>
        <vt:lpwstr>_Toc225417609</vt:lpwstr>
      </vt:variant>
      <vt:variant>
        <vt:i4>1441840</vt:i4>
      </vt:variant>
      <vt:variant>
        <vt:i4>2366</vt:i4>
      </vt:variant>
      <vt:variant>
        <vt:i4>0</vt:i4>
      </vt:variant>
      <vt:variant>
        <vt:i4>5</vt:i4>
      </vt:variant>
      <vt:variant>
        <vt:lpwstr/>
      </vt:variant>
      <vt:variant>
        <vt:lpwstr>_Toc225417608</vt:lpwstr>
      </vt:variant>
      <vt:variant>
        <vt:i4>1441840</vt:i4>
      </vt:variant>
      <vt:variant>
        <vt:i4>2360</vt:i4>
      </vt:variant>
      <vt:variant>
        <vt:i4>0</vt:i4>
      </vt:variant>
      <vt:variant>
        <vt:i4>5</vt:i4>
      </vt:variant>
      <vt:variant>
        <vt:lpwstr/>
      </vt:variant>
      <vt:variant>
        <vt:lpwstr>_Toc225417607</vt:lpwstr>
      </vt:variant>
      <vt:variant>
        <vt:i4>1441840</vt:i4>
      </vt:variant>
      <vt:variant>
        <vt:i4>2354</vt:i4>
      </vt:variant>
      <vt:variant>
        <vt:i4>0</vt:i4>
      </vt:variant>
      <vt:variant>
        <vt:i4>5</vt:i4>
      </vt:variant>
      <vt:variant>
        <vt:lpwstr/>
      </vt:variant>
      <vt:variant>
        <vt:lpwstr>_Toc225417606</vt:lpwstr>
      </vt:variant>
      <vt:variant>
        <vt:i4>1441840</vt:i4>
      </vt:variant>
      <vt:variant>
        <vt:i4>2348</vt:i4>
      </vt:variant>
      <vt:variant>
        <vt:i4>0</vt:i4>
      </vt:variant>
      <vt:variant>
        <vt:i4>5</vt:i4>
      </vt:variant>
      <vt:variant>
        <vt:lpwstr/>
      </vt:variant>
      <vt:variant>
        <vt:lpwstr>_Toc225417605</vt:lpwstr>
      </vt:variant>
      <vt:variant>
        <vt:i4>1441840</vt:i4>
      </vt:variant>
      <vt:variant>
        <vt:i4>2342</vt:i4>
      </vt:variant>
      <vt:variant>
        <vt:i4>0</vt:i4>
      </vt:variant>
      <vt:variant>
        <vt:i4>5</vt:i4>
      </vt:variant>
      <vt:variant>
        <vt:lpwstr/>
      </vt:variant>
      <vt:variant>
        <vt:lpwstr>_Toc225417604</vt:lpwstr>
      </vt:variant>
      <vt:variant>
        <vt:i4>1441840</vt:i4>
      </vt:variant>
      <vt:variant>
        <vt:i4>2336</vt:i4>
      </vt:variant>
      <vt:variant>
        <vt:i4>0</vt:i4>
      </vt:variant>
      <vt:variant>
        <vt:i4>5</vt:i4>
      </vt:variant>
      <vt:variant>
        <vt:lpwstr/>
      </vt:variant>
      <vt:variant>
        <vt:lpwstr>_Toc225417603</vt:lpwstr>
      </vt:variant>
      <vt:variant>
        <vt:i4>1441840</vt:i4>
      </vt:variant>
      <vt:variant>
        <vt:i4>2330</vt:i4>
      </vt:variant>
      <vt:variant>
        <vt:i4>0</vt:i4>
      </vt:variant>
      <vt:variant>
        <vt:i4>5</vt:i4>
      </vt:variant>
      <vt:variant>
        <vt:lpwstr/>
      </vt:variant>
      <vt:variant>
        <vt:lpwstr>_Toc225417602</vt:lpwstr>
      </vt:variant>
      <vt:variant>
        <vt:i4>1441840</vt:i4>
      </vt:variant>
      <vt:variant>
        <vt:i4>2324</vt:i4>
      </vt:variant>
      <vt:variant>
        <vt:i4>0</vt:i4>
      </vt:variant>
      <vt:variant>
        <vt:i4>5</vt:i4>
      </vt:variant>
      <vt:variant>
        <vt:lpwstr/>
      </vt:variant>
      <vt:variant>
        <vt:lpwstr>_Toc225417601</vt:lpwstr>
      </vt:variant>
      <vt:variant>
        <vt:i4>1441840</vt:i4>
      </vt:variant>
      <vt:variant>
        <vt:i4>2318</vt:i4>
      </vt:variant>
      <vt:variant>
        <vt:i4>0</vt:i4>
      </vt:variant>
      <vt:variant>
        <vt:i4>5</vt:i4>
      </vt:variant>
      <vt:variant>
        <vt:lpwstr/>
      </vt:variant>
      <vt:variant>
        <vt:lpwstr>_Toc225417600</vt:lpwstr>
      </vt:variant>
      <vt:variant>
        <vt:i4>2031667</vt:i4>
      </vt:variant>
      <vt:variant>
        <vt:i4>2312</vt:i4>
      </vt:variant>
      <vt:variant>
        <vt:i4>0</vt:i4>
      </vt:variant>
      <vt:variant>
        <vt:i4>5</vt:i4>
      </vt:variant>
      <vt:variant>
        <vt:lpwstr/>
      </vt:variant>
      <vt:variant>
        <vt:lpwstr>_Toc225417599</vt:lpwstr>
      </vt:variant>
      <vt:variant>
        <vt:i4>2031667</vt:i4>
      </vt:variant>
      <vt:variant>
        <vt:i4>2306</vt:i4>
      </vt:variant>
      <vt:variant>
        <vt:i4>0</vt:i4>
      </vt:variant>
      <vt:variant>
        <vt:i4>5</vt:i4>
      </vt:variant>
      <vt:variant>
        <vt:lpwstr/>
      </vt:variant>
      <vt:variant>
        <vt:lpwstr>_Toc225417598</vt:lpwstr>
      </vt:variant>
      <vt:variant>
        <vt:i4>2031667</vt:i4>
      </vt:variant>
      <vt:variant>
        <vt:i4>2300</vt:i4>
      </vt:variant>
      <vt:variant>
        <vt:i4>0</vt:i4>
      </vt:variant>
      <vt:variant>
        <vt:i4>5</vt:i4>
      </vt:variant>
      <vt:variant>
        <vt:lpwstr/>
      </vt:variant>
      <vt:variant>
        <vt:lpwstr>_Toc225417597</vt:lpwstr>
      </vt:variant>
      <vt:variant>
        <vt:i4>2031667</vt:i4>
      </vt:variant>
      <vt:variant>
        <vt:i4>2294</vt:i4>
      </vt:variant>
      <vt:variant>
        <vt:i4>0</vt:i4>
      </vt:variant>
      <vt:variant>
        <vt:i4>5</vt:i4>
      </vt:variant>
      <vt:variant>
        <vt:lpwstr/>
      </vt:variant>
      <vt:variant>
        <vt:lpwstr>_Toc225417596</vt:lpwstr>
      </vt:variant>
      <vt:variant>
        <vt:i4>2031667</vt:i4>
      </vt:variant>
      <vt:variant>
        <vt:i4>2288</vt:i4>
      </vt:variant>
      <vt:variant>
        <vt:i4>0</vt:i4>
      </vt:variant>
      <vt:variant>
        <vt:i4>5</vt:i4>
      </vt:variant>
      <vt:variant>
        <vt:lpwstr/>
      </vt:variant>
      <vt:variant>
        <vt:lpwstr>_Toc225417595</vt:lpwstr>
      </vt:variant>
      <vt:variant>
        <vt:i4>2031667</vt:i4>
      </vt:variant>
      <vt:variant>
        <vt:i4>2282</vt:i4>
      </vt:variant>
      <vt:variant>
        <vt:i4>0</vt:i4>
      </vt:variant>
      <vt:variant>
        <vt:i4>5</vt:i4>
      </vt:variant>
      <vt:variant>
        <vt:lpwstr/>
      </vt:variant>
      <vt:variant>
        <vt:lpwstr>_Toc225417594</vt:lpwstr>
      </vt:variant>
      <vt:variant>
        <vt:i4>2031667</vt:i4>
      </vt:variant>
      <vt:variant>
        <vt:i4>2276</vt:i4>
      </vt:variant>
      <vt:variant>
        <vt:i4>0</vt:i4>
      </vt:variant>
      <vt:variant>
        <vt:i4>5</vt:i4>
      </vt:variant>
      <vt:variant>
        <vt:lpwstr/>
      </vt:variant>
      <vt:variant>
        <vt:lpwstr>_Toc225417593</vt:lpwstr>
      </vt:variant>
      <vt:variant>
        <vt:i4>2031667</vt:i4>
      </vt:variant>
      <vt:variant>
        <vt:i4>2270</vt:i4>
      </vt:variant>
      <vt:variant>
        <vt:i4>0</vt:i4>
      </vt:variant>
      <vt:variant>
        <vt:i4>5</vt:i4>
      </vt:variant>
      <vt:variant>
        <vt:lpwstr/>
      </vt:variant>
      <vt:variant>
        <vt:lpwstr>_Toc225417592</vt:lpwstr>
      </vt:variant>
      <vt:variant>
        <vt:i4>2031667</vt:i4>
      </vt:variant>
      <vt:variant>
        <vt:i4>2264</vt:i4>
      </vt:variant>
      <vt:variant>
        <vt:i4>0</vt:i4>
      </vt:variant>
      <vt:variant>
        <vt:i4>5</vt:i4>
      </vt:variant>
      <vt:variant>
        <vt:lpwstr/>
      </vt:variant>
      <vt:variant>
        <vt:lpwstr>_Toc225417591</vt:lpwstr>
      </vt:variant>
      <vt:variant>
        <vt:i4>2031667</vt:i4>
      </vt:variant>
      <vt:variant>
        <vt:i4>2258</vt:i4>
      </vt:variant>
      <vt:variant>
        <vt:i4>0</vt:i4>
      </vt:variant>
      <vt:variant>
        <vt:i4>5</vt:i4>
      </vt:variant>
      <vt:variant>
        <vt:lpwstr/>
      </vt:variant>
      <vt:variant>
        <vt:lpwstr>_Toc225417590</vt:lpwstr>
      </vt:variant>
      <vt:variant>
        <vt:i4>1966131</vt:i4>
      </vt:variant>
      <vt:variant>
        <vt:i4>2252</vt:i4>
      </vt:variant>
      <vt:variant>
        <vt:i4>0</vt:i4>
      </vt:variant>
      <vt:variant>
        <vt:i4>5</vt:i4>
      </vt:variant>
      <vt:variant>
        <vt:lpwstr/>
      </vt:variant>
      <vt:variant>
        <vt:lpwstr>_Toc225417589</vt:lpwstr>
      </vt:variant>
      <vt:variant>
        <vt:i4>1966131</vt:i4>
      </vt:variant>
      <vt:variant>
        <vt:i4>2246</vt:i4>
      </vt:variant>
      <vt:variant>
        <vt:i4>0</vt:i4>
      </vt:variant>
      <vt:variant>
        <vt:i4>5</vt:i4>
      </vt:variant>
      <vt:variant>
        <vt:lpwstr/>
      </vt:variant>
      <vt:variant>
        <vt:lpwstr>_Toc225417588</vt:lpwstr>
      </vt:variant>
      <vt:variant>
        <vt:i4>1966131</vt:i4>
      </vt:variant>
      <vt:variant>
        <vt:i4>2240</vt:i4>
      </vt:variant>
      <vt:variant>
        <vt:i4>0</vt:i4>
      </vt:variant>
      <vt:variant>
        <vt:i4>5</vt:i4>
      </vt:variant>
      <vt:variant>
        <vt:lpwstr/>
      </vt:variant>
      <vt:variant>
        <vt:lpwstr>_Toc225417587</vt:lpwstr>
      </vt:variant>
      <vt:variant>
        <vt:i4>1966131</vt:i4>
      </vt:variant>
      <vt:variant>
        <vt:i4>2234</vt:i4>
      </vt:variant>
      <vt:variant>
        <vt:i4>0</vt:i4>
      </vt:variant>
      <vt:variant>
        <vt:i4>5</vt:i4>
      </vt:variant>
      <vt:variant>
        <vt:lpwstr/>
      </vt:variant>
      <vt:variant>
        <vt:lpwstr>_Toc225417586</vt:lpwstr>
      </vt:variant>
      <vt:variant>
        <vt:i4>1966131</vt:i4>
      </vt:variant>
      <vt:variant>
        <vt:i4>2228</vt:i4>
      </vt:variant>
      <vt:variant>
        <vt:i4>0</vt:i4>
      </vt:variant>
      <vt:variant>
        <vt:i4>5</vt:i4>
      </vt:variant>
      <vt:variant>
        <vt:lpwstr/>
      </vt:variant>
      <vt:variant>
        <vt:lpwstr>_Toc225417585</vt:lpwstr>
      </vt:variant>
      <vt:variant>
        <vt:i4>1966131</vt:i4>
      </vt:variant>
      <vt:variant>
        <vt:i4>2222</vt:i4>
      </vt:variant>
      <vt:variant>
        <vt:i4>0</vt:i4>
      </vt:variant>
      <vt:variant>
        <vt:i4>5</vt:i4>
      </vt:variant>
      <vt:variant>
        <vt:lpwstr/>
      </vt:variant>
      <vt:variant>
        <vt:lpwstr>_Toc225417584</vt:lpwstr>
      </vt:variant>
      <vt:variant>
        <vt:i4>1966131</vt:i4>
      </vt:variant>
      <vt:variant>
        <vt:i4>2216</vt:i4>
      </vt:variant>
      <vt:variant>
        <vt:i4>0</vt:i4>
      </vt:variant>
      <vt:variant>
        <vt:i4>5</vt:i4>
      </vt:variant>
      <vt:variant>
        <vt:lpwstr/>
      </vt:variant>
      <vt:variant>
        <vt:lpwstr>_Toc225417583</vt:lpwstr>
      </vt:variant>
      <vt:variant>
        <vt:i4>1966131</vt:i4>
      </vt:variant>
      <vt:variant>
        <vt:i4>2210</vt:i4>
      </vt:variant>
      <vt:variant>
        <vt:i4>0</vt:i4>
      </vt:variant>
      <vt:variant>
        <vt:i4>5</vt:i4>
      </vt:variant>
      <vt:variant>
        <vt:lpwstr/>
      </vt:variant>
      <vt:variant>
        <vt:lpwstr>_Toc225417582</vt:lpwstr>
      </vt:variant>
      <vt:variant>
        <vt:i4>1966131</vt:i4>
      </vt:variant>
      <vt:variant>
        <vt:i4>2204</vt:i4>
      </vt:variant>
      <vt:variant>
        <vt:i4>0</vt:i4>
      </vt:variant>
      <vt:variant>
        <vt:i4>5</vt:i4>
      </vt:variant>
      <vt:variant>
        <vt:lpwstr/>
      </vt:variant>
      <vt:variant>
        <vt:lpwstr>_Toc225417581</vt:lpwstr>
      </vt:variant>
      <vt:variant>
        <vt:i4>1966131</vt:i4>
      </vt:variant>
      <vt:variant>
        <vt:i4>2198</vt:i4>
      </vt:variant>
      <vt:variant>
        <vt:i4>0</vt:i4>
      </vt:variant>
      <vt:variant>
        <vt:i4>5</vt:i4>
      </vt:variant>
      <vt:variant>
        <vt:lpwstr/>
      </vt:variant>
      <vt:variant>
        <vt:lpwstr>_Toc225417580</vt:lpwstr>
      </vt:variant>
      <vt:variant>
        <vt:i4>1114163</vt:i4>
      </vt:variant>
      <vt:variant>
        <vt:i4>2192</vt:i4>
      </vt:variant>
      <vt:variant>
        <vt:i4>0</vt:i4>
      </vt:variant>
      <vt:variant>
        <vt:i4>5</vt:i4>
      </vt:variant>
      <vt:variant>
        <vt:lpwstr/>
      </vt:variant>
      <vt:variant>
        <vt:lpwstr>_Toc225417579</vt:lpwstr>
      </vt:variant>
      <vt:variant>
        <vt:i4>1114163</vt:i4>
      </vt:variant>
      <vt:variant>
        <vt:i4>2186</vt:i4>
      </vt:variant>
      <vt:variant>
        <vt:i4>0</vt:i4>
      </vt:variant>
      <vt:variant>
        <vt:i4>5</vt:i4>
      </vt:variant>
      <vt:variant>
        <vt:lpwstr/>
      </vt:variant>
      <vt:variant>
        <vt:lpwstr>_Toc225417578</vt:lpwstr>
      </vt:variant>
      <vt:variant>
        <vt:i4>1114163</vt:i4>
      </vt:variant>
      <vt:variant>
        <vt:i4>2180</vt:i4>
      </vt:variant>
      <vt:variant>
        <vt:i4>0</vt:i4>
      </vt:variant>
      <vt:variant>
        <vt:i4>5</vt:i4>
      </vt:variant>
      <vt:variant>
        <vt:lpwstr/>
      </vt:variant>
      <vt:variant>
        <vt:lpwstr>_Toc225417577</vt:lpwstr>
      </vt:variant>
      <vt:variant>
        <vt:i4>1114163</vt:i4>
      </vt:variant>
      <vt:variant>
        <vt:i4>2174</vt:i4>
      </vt:variant>
      <vt:variant>
        <vt:i4>0</vt:i4>
      </vt:variant>
      <vt:variant>
        <vt:i4>5</vt:i4>
      </vt:variant>
      <vt:variant>
        <vt:lpwstr/>
      </vt:variant>
      <vt:variant>
        <vt:lpwstr>_Toc225417576</vt:lpwstr>
      </vt:variant>
      <vt:variant>
        <vt:i4>1114163</vt:i4>
      </vt:variant>
      <vt:variant>
        <vt:i4>2168</vt:i4>
      </vt:variant>
      <vt:variant>
        <vt:i4>0</vt:i4>
      </vt:variant>
      <vt:variant>
        <vt:i4>5</vt:i4>
      </vt:variant>
      <vt:variant>
        <vt:lpwstr/>
      </vt:variant>
      <vt:variant>
        <vt:lpwstr>_Toc225417575</vt:lpwstr>
      </vt:variant>
      <vt:variant>
        <vt:i4>1114163</vt:i4>
      </vt:variant>
      <vt:variant>
        <vt:i4>2162</vt:i4>
      </vt:variant>
      <vt:variant>
        <vt:i4>0</vt:i4>
      </vt:variant>
      <vt:variant>
        <vt:i4>5</vt:i4>
      </vt:variant>
      <vt:variant>
        <vt:lpwstr/>
      </vt:variant>
      <vt:variant>
        <vt:lpwstr>_Toc225417574</vt:lpwstr>
      </vt:variant>
      <vt:variant>
        <vt:i4>1114163</vt:i4>
      </vt:variant>
      <vt:variant>
        <vt:i4>2156</vt:i4>
      </vt:variant>
      <vt:variant>
        <vt:i4>0</vt:i4>
      </vt:variant>
      <vt:variant>
        <vt:i4>5</vt:i4>
      </vt:variant>
      <vt:variant>
        <vt:lpwstr/>
      </vt:variant>
      <vt:variant>
        <vt:lpwstr>_Toc225417573</vt:lpwstr>
      </vt:variant>
      <vt:variant>
        <vt:i4>1114163</vt:i4>
      </vt:variant>
      <vt:variant>
        <vt:i4>2150</vt:i4>
      </vt:variant>
      <vt:variant>
        <vt:i4>0</vt:i4>
      </vt:variant>
      <vt:variant>
        <vt:i4>5</vt:i4>
      </vt:variant>
      <vt:variant>
        <vt:lpwstr/>
      </vt:variant>
      <vt:variant>
        <vt:lpwstr>_Toc225417572</vt:lpwstr>
      </vt:variant>
      <vt:variant>
        <vt:i4>1114163</vt:i4>
      </vt:variant>
      <vt:variant>
        <vt:i4>2144</vt:i4>
      </vt:variant>
      <vt:variant>
        <vt:i4>0</vt:i4>
      </vt:variant>
      <vt:variant>
        <vt:i4>5</vt:i4>
      </vt:variant>
      <vt:variant>
        <vt:lpwstr/>
      </vt:variant>
      <vt:variant>
        <vt:lpwstr>_Toc225417571</vt:lpwstr>
      </vt:variant>
      <vt:variant>
        <vt:i4>1114163</vt:i4>
      </vt:variant>
      <vt:variant>
        <vt:i4>2138</vt:i4>
      </vt:variant>
      <vt:variant>
        <vt:i4>0</vt:i4>
      </vt:variant>
      <vt:variant>
        <vt:i4>5</vt:i4>
      </vt:variant>
      <vt:variant>
        <vt:lpwstr/>
      </vt:variant>
      <vt:variant>
        <vt:lpwstr>_Toc225417570</vt:lpwstr>
      </vt:variant>
      <vt:variant>
        <vt:i4>1048627</vt:i4>
      </vt:variant>
      <vt:variant>
        <vt:i4>2132</vt:i4>
      </vt:variant>
      <vt:variant>
        <vt:i4>0</vt:i4>
      </vt:variant>
      <vt:variant>
        <vt:i4>5</vt:i4>
      </vt:variant>
      <vt:variant>
        <vt:lpwstr/>
      </vt:variant>
      <vt:variant>
        <vt:lpwstr>_Toc225417569</vt:lpwstr>
      </vt:variant>
      <vt:variant>
        <vt:i4>1048627</vt:i4>
      </vt:variant>
      <vt:variant>
        <vt:i4>2126</vt:i4>
      </vt:variant>
      <vt:variant>
        <vt:i4>0</vt:i4>
      </vt:variant>
      <vt:variant>
        <vt:i4>5</vt:i4>
      </vt:variant>
      <vt:variant>
        <vt:lpwstr/>
      </vt:variant>
      <vt:variant>
        <vt:lpwstr>_Toc225417568</vt:lpwstr>
      </vt:variant>
      <vt:variant>
        <vt:i4>1048627</vt:i4>
      </vt:variant>
      <vt:variant>
        <vt:i4>2120</vt:i4>
      </vt:variant>
      <vt:variant>
        <vt:i4>0</vt:i4>
      </vt:variant>
      <vt:variant>
        <vt:i4>5</vt:i4>
      </vt:variant>
      <vt:variant>
        <vt:lpwstr/>
      </vt:variant>
      <vt:variant>
        <vt:lpwstr>_Toc225417567</vt:lpwstr>
      </vt:variant>
      <vt:variant>
        <vt:i4>1048627</vt:i4>
      </vt:variant>
      <vt:variant>
        <vt:i4>2114</vt:i4>
      </vt:variant>
      <vt:variant>
        <vt:i4>0</vt:i4>
      </vt:variant>
      <vt:variant>
        <vt:i4>5</vt:i4>
      </vt:variant>
      <vt:variant>
        <vt:lpwstr/>
      </vt:variant>
      <vt:variant>
        <vt:lpwstr>_Toc225417566</vt:lpwstr>
      </vt:variant>
      <vt:variant>
        <vt:i4>1048627</vt:i4>
      </vt:variant>
      <vt:variant>
        <vt:i4>2108</vt:i4>
      </vt:variant>
      <vt:variant>
        <vt:i4>0</vt:i4>
      </vt:variant>
      <vt:variant>
        <vt:i4>5</vt:i4>
      </vt:variant>
      <vt:variant>
        <vt:lpwstr/>
      </vt:variant>
      <vt:variant>
        <vt:lpwstr>_Toc225417565</vt:lpwstr>
      </vt:variant>
      <vt:variant>
        <vt:i4>1048627</vt:i4>
      </vt:variant>
      <vt:variant>
        <vt:i4>2102</vt:i4>
      </vt:variant>
      <vt:variant>
        <vt:i4>0</vt:i4>
      </vt:variant>
      <vt:variant>
        <vt:i4>5</vt:i4>
      </vt:variant>
      <vt:variant>
        <vt:lpwstr/>
      </vt:variant>
      <vt:variant>
        <vt:lpwstr>_Toc225417564</vt:lpwstr>
      </vt:variant>
      <vt:variant>
        <vt:i4>1048627</vt:i4>
      </vt:variant>
      <vt:variant>
        <vt:i4>2096</vt:i4>
      </vt:variant>
      <vt:variant>
        <vt:i4>0</vt:i4>
      </vt:variant>
      <vt:variant>
        <vt:i4>5</vt:i4>
      </vt:variant>
      <vt:variant>
        <vt:lpwstr/>
      </vt:variant>
      <vt:variant>
        <vt:lpwstr>_Toc225417563</vt:lpwstr>
      </vt:variant>
      <vt:variant>
        <vt:i4>1048627</vt:i4>
      </vt:variant>
      <vt:variant>
        <vt:i4>2090</vt:i4>
      </vt:variant>
      <vt:variant>
        <vt:i4>0</vt:i4>
      </vt:variant>
      <vt:variant>
        <vt:i4>5</vt:i4>
      </vt:variant>
      <vt:variant>
        <vt:lpwstr/>
      </vt:variant>
      <vt:variant>
        <vt:lpwstr>_Toc225417562</vt:lpwstr>
      </vt:variant>
      <vt:variant>
        <vt:i4>1048627</vt:i4>
      </vt:variant>
      <vt:variant>
        <vt:i4>2084</vt:i4>
      </vt:variant>
      <vt:variant>
        <vt:i4>0</vt:i4>
      </vt:variant>
      <vt:variant>
        <vt:i4>5</vt:i4>
      </vt:variant>
      <vt:variant>
        <vt:lpwstr/>
      </vt:variant>
      <vt:variant>
        <vt:lpwstr>_Toc225417561</vt:lpwstr>
      </vt:variant>
      <vt:variant>
        <vt:i4>1048627</vt:i4>
      </vt:variant>
      <vt:variant>
        <vt:i4>2078</vt:i4>
      </vt:variant>
      <vt:variant>
        <vt:i4>0</vt:i4>
      </vt:variant>
      <vt:variant>
        <vt:i4>5</vt:i4>
      </vt:variant>
      <vt:variant>
        <vt:lpwstr/>
      </vt:variant>
      <vt:variant>
        <vt:lpwstr>_Toc225417560</vt:lpwstr>
      </vt:variant>
      <vt:variant>
        <vt:i4>1245235</vt:i4>
      </vt:variant>
      <vt:variant>
        <vt:i4>2072</vt:i4>
      </vt:variant>
      <vt:variant>
        <vt:i4>0</vt:i4>
      </vt:variant>
      <vt:variant>
        <vt:i4>5</vt:i4>
      </vt:variant>
      <vt:variant>
        <vt:lpwstr/>
      </vt:variant>
      <vt:variant>
        <vt:lpwstr>_Toc225417559</vt:lpwstr>
      </vt:variant>
      <vt:variant>
        <vt:i4>1245235</vt:i4>
      </vt:variant>
      <vt:variant>
        <vt:i4>2066</vt:i4>
      </vt:variant>
      <vt:variant>
        <vt:i4>0</vt:i4>
      </vt:variant>
      <vt:variant>
        <vt:i4>5</vt:i4>
      </vt:variant>
      <vt:variant>
        <vt:lpwstr/>
      </vt:variant>
      <vt:variant>
        <vt:lpwstr>_Toc225417558</vt:lpwstr>
      </vt:variant>
      <vt:variant>
        <vt:i4>1245235</vt:i4>
      </vt:variant>
      <vt:variant>
        <vt:i4>2060</vt:i4>
      </vt:variant>
      <vt:variant>
        <vt:i4>0</vt:i4>
      </vt:variant>
      <vt:variant>
        <vt:i4>5</vt:i4>
      </vt:variant>
      <vt:variant>
        <vt:lpwstr/>
      </vt:variant>
      <vt:variant>
        <vt:lpwstr>_Toc225417557</vt:lpwstr>
      </vt:variant>
      <vt:variant>
        <vt:i4>1245235</vt:i4>
      </vt:variant>
      <vt:variant>
        <vt:i4>2054</vt:i4>
      </vt:variant>
      <vt:variant>
        <vt:i4>0</vt:i4>
      </vt:variant>
      <vt:variant>
        <vt:i4>5</vt:i4>
      </vt:variant>
      <vt:variant>
        <vt:lpwstr/>
      </vt:variant>
      <vt:variant>
        <vt:lpwstr>_Toc225417556</vt:lpwstr>
      </vt:variant>
      <vt:variant>
        <vt:i4>1245235</vt:i4>
      </vt:variant>
      <vt:variant>
        <vt:i4>2048</vt:i4>
      </vt:variant>
      <vt:variant>
        <vt:i4>0</vt:i4>
      </vt:variant>
      <vt:variant>
        <vt:i4>5</vt:i4>
      </vt:variant>
      <vt:variant>
        <vt:lpwstr/>
      </vt:variant>
      <vt:variant>
        <vt:lpwstr>_Toc225417555</vt:lpwstr>
      </vt:variant>
      <vt:variant>
        <vt:i4>1245235</vt:i4>
      </vt:variant>
      <vt:variant>
        <vt:i4>2042</vt:i4>
      </vt:variant>
      <vt:variant>
        <vt:i4>0</vt:i4>
      </vt:variant>
      <vt:variant>
        <vt:i4>5</vt:i4>
      </vt:variant>
      <vt:variant>
        <vt:lpwstr/>
      </vt:variant>
      <vt:variant>
        <vt:lpwstr>_Toc225417554</vt:lpwstr>
      </vt:variant>
      <vt:variant>
        <vt:i4>1245235</vt:i4>
      </vt:variant>
      <vt:variant>
        <vt:i4>2036</vt:i4>
      </vt:variant>
      <vt:variant>
        <vt:i4>0</vt:i4>
      </vt:variant>
      <vt:variant>
        <vt:i4>5</vt:i4>
      </vt:variant>
      <vt:variant>
        <vt:lpwstr/>
      </vt:variant>
      <vt:variant>
        <vt:lpwstr>_Toc225417553</vt:lpwstr>
      </vt:variant>
      <vt:variant>
        <vt:i4>1245235</vt:i4>
      </vt:variant>
      <vt:variant>
        <vt:i4>2030</vt:i4>
      </vt:variant>
      <vt:variant>
        <vt:i4>0</vt:i4>
      </vt:variant>
      <vt:variant>
        <vt:i4>5</vt:i4>
      </vt:variant>
      <vt:variant>
        <vt:lpwstr/>
      </vt:variant>
      <vt:variant>
        <vt:lpwstr>_Toc225417552</vt:lpwstr>
      </vt:variant>
      <vt:variant>
        <vt:i4>1245235</vt:i4>
      </vt:variant>
      <vt:variant>
        <vt:i4>2024</vt:i4>
      </vt:variant>
      <vt:variant>
        <vt:i4>0</vt:i4>
      </vt:variant>
      <vt:variant>
        <vt:i4>5</vt:i4>
      </vt:variant>
      <vt:variant>
        <vt:lpwstr/>
      </vt:variant>
      <vt:variant>
        <vt:lpwstr>_Toc225417551</vt:lpwstr>
      </vt:variant>
      <vt:variant>
        <vt:i4>1245235</vt:i4>
      </vt:variant>
      <vt:variant>
        <vt:i4>2018</vt:i4>
      </vt:variant>
      <vt:variant>
        <vt:i4>0</vt:i4>
      </vt:variant>
      <vt:variant>
        <vt:i4>5</vt:i4>
      </vt:variant>
      <vt:variant>
        <vt:lpwstr/>
      </vt:variant>
      <vt:variant>
        <vt:lpwstr>_Toc225417550</vt:lpwstr>
      </vt:variant>
      <vt:variant>
        <vt:i4>1179699</vt:i4>
      </vt:variant>
      <vt:variant>
        <vt:i4>2012</vt:i4>
      </vt:variant>
      <vt:variant>
        <vt:i4>0</vt:i4>
      </vt:variant>
      <vt:variant>
        <vt:i4>5</vt:i4>
      </vt:variant>
      <vt:variant>
        <vt:lpwstr/>
      </vt:variant>
      <vt:variant>
        <vt:lpwstr>_Toc225417549</vt:lpwstr>
      </vt:variant>
      <vt:variant>
        <vt:i4>1179699</vt:i4>
      </vt:variant>
      <vt:variant>
        <vt:i4>2006</vt:i4>
      </vt:variant>
      <vt:variant>
        <vt:i4>0</vt:i4>
      </vt:variant>
      <vt:variant>
        <vt:i4>5</vt:i4>
      </vt:variant>
      <vt:variant>
        <vt:lpwstr/>
      </vt:variant>
      <vt:variant>
        <vt:lpwstr>_Toc225417548</vt:lpwstr>
      </vt:variant>
      <vt:variant>
        <vt:i4>1179699</vt:i4>
      </vt:variant>
      <vt:variant>
        <vt:i4>2000</vt:i4>
      </vt:variant>
      <vt:variant>
        <vt:i4>0</vt:i4>
      </vt:variant>
      <vt:variant>
        <vt:i4>5</vt:i4>
      </vt:variant>
      <vt:variant>
        <vt:lpwstr/>
      </vt:variant>
      <vt:variant>
        <vt:lpwstr>_Toc225417547</vt:lpwstr>
      </vt:variant>
      <vt:variant>
        <vt:i4>1179699</vt:i4>
      </vt:variant>
      <vt:variant>
        <vt:i4>1994</vt:i4>
      </vt:variant>
      <vt:variant>
        <vt:i4>0</vt:i4>
      </vt:variant>
      <vt:variant>
        <vt:i4>5</vt:i4>
      </vt:variant>
      <vt:variant>
        <vt:lpwstr/>
      </vt:variant>
      <vt:variant>
        <vt:lpwstr>_Toc225417546</vt:lpwstr>
      </vt:variant>
      <vt:variant>
        <vt:i4>1179699</vt:i4>
      </vt:variant>
      <vt:variant>
        <vt:i4>1988</vt:i4>
      </vt:variant>
      <vt:variant>
        <vt:i4>0</vt:i4>
      </vt:variant>
      <vt:variant>
        <vt:i4>5</vt:i4>
      </vt:variant>
      <vt:variant>
        <vt:lpwstr/>
      </vt:variant>
      <vt:variant>
        <vt:lpwstr>_Toc225417545</vt:lpwstr>
      </vt:variant>
      <vt:variant>
        <vt:i4>1179699</vt:i4>
      </vt:variant>
      <vt:variant>
        <vt:i4>1982</vt:i4>
      </vt:variant>
      <vt:variant>
        <vt:i4>0</vt:i4>
      </vt:variant>
      <vt:variant>
        <vt:i4>5</vt:i4>
      </vt:variant>
      <vt:variant>
        <vt:lpwstr/>
      </vt:variant>
      <vt:variant>
        <vt:lpwstr>_Toc225417544</vt:lpwstr>
      </vt:variant>
      <vt:variant>
        <vt:i4>1179699</vt:i4>
      </vt:variant>
      <vt:variant>
        <vt:i4>1976</vt:i4>
      </vt:variant>
      <vt:variant>
        <vt:i4>0</vt:i4>
      </vt:variant>
      <vt:variant>
        <vt:i4>5</vt:i4>
      </vt:variant>
      <vt:variant>
        <vt:lpwstr/>
      </vt:variant>
      <vt:variant>
        <vt:lpwstr>_Toc225417543</vt:lpwstr>
      </vt:variant>
      <vt:variant>
        <vt:i4>1179699</vt:i4>
      </vt:variant>
      <vt:variant>
        <vt:i4>1970</vt:i4>
      </vt:variant>
      <vt:variant>
        <vt:i4>0</vt:i4>
      </vt:variant>
      <vt:variant>
        <vt:i4>5</vt:i4>
      </vt:variant>
      <vt:variant>
        <vt:lpwstr/>
      </vt:variant>
      <vt:variant>
        <vt:lpwstr>_Toc225417542</vt:lpwstr>
      </vt:variant>
      <vt:variant>
        <vt:i4>1179699</vt:i4>
      </vt:variant>
      <vt:variant>
        <vt:i4>1964</vt:i4>
      </vt:variant>
      <vt:variant>
        <vt:i4>0</vt:i4>
      </vt:variant>
      <vt:variant>
        <vt:i4>5</vt:i4>
      </vt:variant>
      <vt:variant>
        <vt:lpwstr/>
      </vt:variant>
      <vt:variant>
        <vt:lpwstr>_Toc225417541</vt:lpwstr>
      </vt:variant>
      <vt:variant>
        <vt:i4>1179699</vt:i4>
      </vt:variant>
      <vt:variant>
        <vt:i4>1958</vt:i4>
      </vt:variant>
      <vt:variant>
        <vt:i4>0</vt:i4>
      </vt:variant>
      <vt:variant>
        <vt:i4>5</vt:i4>
      </vt:variant>
      <vt:variant>
        <vt:lpwstr/>
      </vt:variant>
      <vt:variant>
        <vt:lpwstr>_Toc225417540</vt:lpwstr>
      </vt:variant>
      <vt:variant>
        <vt:i4>1376307</vt:i4>
      </vt:variant>
      <vt:variant>
        <vt:i4>1952</vt:i4>
      </vt:variant>
      <vt:variant>
        <vt:i4>0</vt:i4>
      </vt:variant>
      <vt:variant>
        <vt:i4>5</vt:i4>
      </vt:variant>
      <vt:variant>
        <vt:lpwstr/>
      </vt:variant>
      <vt:variant>
        <vt:lpwstr>_Toc225417539</vt:lpwstr>
      </vt:variant>
      <vt:variant>
        <vt:i4>1376307</vt:i4>
      </vt:variant>
      <vt:variant>
        <vt:i4>1946</vt:i4>
      </vt:variant>
      <vt:variant>
        <vt:i4>0</vt:i4>
      </vt:variant>
      <vt:variant>
        <vt:i4>5</vt:i4>
      </vt:variant>
      <vt:variant>
        <vt:lpwstr/>
      </vt:variant>
      <vt:variant>
        <vt:lpwstr>_Toc225417538</vt:lpwstr>
      </vt:variant>
      <vt:variant>
        <vt:i4>1376307</vt:i4>
      </vt:variant>
      <vt:variant>
        <vt:i4>1940</vt:i4>
      </vt:variant>
      <vt:variant>
        <vt:i4>0</vt:i4>
      </vt:variant>
      <vt:variant>
        <vt:i4>5</vt:i4>
      </vt:variant>
      <vt:variant>
        <vt:lpwstr/>
      </vt:variant>
      <vt:variant>
        <vt:lpwstr>_Toc225417537</vt:lpwstr>
      </vt:variant>
      <vt:variant>
        <vt:i4>1376307</vt:i4>
      </vt:variant>
      <vt:variant>
        <vt:i4>1934</vt:i4>
      </vt:variant>
      <vt:variant>
        <vt:i4>0</vt:i4>
      </vt:variant>
      <vt:variant>
        <vt:i4>5</vt:i4>
      </vt:variant>
      <vt:variant>
        <vt:lpwstr/>
      </vt:variant>
      <vt:variant>
        <vt:lpwstr>_Toc225417536</vt:lpwstr>
      </vt:variant>
      <vt:variant>
        <vt:i4>1376307</vt:i4>
      </vt:variant>
      <vt:variant>
        <vt:i4>1928</vt:i4>
      </vt:variant>
      <vt:variant>
        <vt:i4>0</vt:i4>
      </vt:variant>
      <vt:variant>
        <vt:i4>5</vt:i4>
      </vt:variant>
      <vt:variant>
        <vt:lpwstr/>
      </vt:variant>
      <vt:variant>
        <vt:lpwstr>_Toc225417535</vt:lpwstr>
      </vt:variant>
      <vt:variant>
        <vt:i4>1376307</vt:i4>
      </vt:variant>
      <vt:variant>
        <vt:i4>1922</vt:i4>
      </vt:variant>
      <vt:variant>
        <vt:i4>0</vt:i4>
      </vt:variant>
      <vt:variant>
        <vt:i4>5</vt:i4>
      </vt:variant>
      <vt:variant>
        <vt:lpwstr/>
      </vt:variant>
      <vt:variant>
        <vt:lpwstr>_Toc225417534</vt:lpwstr>
      </vt:variant>
      <vt:variant>
        <vt:i4>1376307</vt:i4>
      </vt:variant>
      <vt:variant>
        <vt:i4>1916</vt:i4>
      </vt:variant>
      <vt:variant>
        <vt:i4>0</vt:i4>
      </vt:variant>
      <vt:variant>
        <vt:i4>5</vt:i4>
      </vt:variant>
      <vt:variant>
        <vt:lpwstr/>
      </vt:variant>
      <vt:variant>
        <vt:lpwstr>_Toc225417533</vt:lpwstr>
      </vt:variant>
      <vt:variant>
        <vt:i4>1376307</vt:i4>
      </vt:variant>
      <vt:variant>
        <vt:i4>1910</vt:i4>
      </vt:variant>
      <vt:variant>
        <vt:i4>0</vt:i4>
      </vt:variant>
      <vt:variant>
        <vt:i4>5</vt:i4>
      </vt:variant>
      <vt:variant>
        <vt:lpwstr/>
      </vt:variant>
      <vt:variant>
        <vt:lpwstr>_Toc225417532</vt:lpwstr>
      </vt:variant>
      <vt:variant>
        <vt:i4>1376307</vt:i4>
      </vt:variant>
      <vt:variant>
        <vt:i4>1904</vt:i4>
      </vt:variant>
      <vt:variant>
        <vt:i4>0</vt:i4>
      </vt:variant>
      <vt:variant>
        <vt:i4>5</vt:i4>
      </vt:variant>
      <vt:variant>
        <vt:lpwstr/>
      </vt:variant>
      <vt:variant>
        <vt:lpwstr>_Toc225417531</vt:lpwstr>
      </vt:variant>
      <vt:variant>
        <vt:i4>1376307</vt:i4>
      </vt:variant>
      <vt:variant>
        <vt:i4>1898</vt:i4>
      </vt:variant>
      <vt:variant>
        <vt:i4>0</vt:i4>
      </vt:variant>
      <vt:variant>
        <vt:i4>5</vt:i4>
      </vt:variant>
      <vt:variant>
        <vt:lpwstr/>
      </vt:variant>
      <vt:variant>
        <vt:lpwstr>_Toc225417530</vt:lpwstr>
      </vt:variant>
      <vt:variant>
        <vt:i4>1310771</vt:i4>
      </vt:variant>
      <vt:variant>
        <vt:i4>1892</vt:i4>
      </vt:variant>
      <vt:variant>
        <vt:i4>0</vt:i4>
      </vt:variant>
      <vt:variant>
        <vt:i4>5</vt:i4>
      </vt:variant>
      <vt:variant>
        <vt:lpwstr/>
      </vt:variant>
      <vt:variant>
        <vt:lpwstr>_Toc225417529</vt:lpwstr>
      </vt:variant>
      <vt:variant>
        <vt:i4>1310771</vt:i4>
      </vt:variant>
      <vt:variant>
        <vt:i4>1886</vt:i4>
      </vt:variant>
      <vt:variant>
        <vt:i4>0</vt:i4>
      </vt:variant>
      <vt:variant>
        <vt:i4>5</vt:i4>
      </vt:variant>
      <vt:variant>
        <vt:lpwstr/>
      </vt:variant>
      <vt:variant>
        <vt:lpwstr>_Toc225417528</vt:lpwstr>
      </vt:variant>
      <vt:variant>
        <vt:i4>1310771</vt:i4>
      </vt:variant>
      <vt:variant>
        <vt:i4>1880</vt:i4>
      </vt:variant>
      <vt:variant>
        <vt:i4>0</vt:i4>
      </vt:variant>
      <vt:variant>
        <vt:i4>5</vt:i4>
      </vt:variant>
      <vt:variant>
        <vt:lpwstr/>
      </vt:variant>
      <vt:variant>
        <vt:lpwstr>_Toc225417527</vt:lpwstr>
      </vt:variant>
      <vt:variant>
        <vt:i4>1310771</vt:i4>
      </vt:variant>
      <vt:variant>
        <vt:i4>1874</vt:i4>
      </vt:variant>
      <vt:variant>
        <vt:i4>0</vt:i4>
      </vt:variant>
      <vt:variant>
        <vt:i4>5</vt:i4>
      </vt:variant>
      <vt:variant>
        <vt:lpwstr/>
      </vt:variant>
      <vt:variant>
        <vt:lpwstr>_Toc225417526</vt:lpwstr>
      </vt:variant>
      <vt:variant>
        <vt:i4>1310771</vt:i4>
      </vt:variant>
      <vt:variant>
        <vt:i4>1868</vt:i4>
      </vt:variant>
      <vt:variant>
        <vt:i4>0</vt:i4>
      </vt:variant>
      <vt:variant>
        <vt:i4>5</vt:i4>
      </vt:variant>
      <vt:variant>
        <vt:lpwstr/>
      </vt:variant>
      <vt:variant>
        <vt:lpwstr>_Toc225417525</vt:lpwstr>
      </vt:variant>
      <vt:variant>
        <vt:i4>1310771</vt:i4>
      </vt:variant>
      <vt:variant>
        <vt:i4>1862</vt:i4>
      </vt:variant>
      <vt:variant>
        <vt:i4>0</vt:i4>
      </vt:variant>
      <vt:variant>
        <vt:i4>5</vt:i4>
      </vt:variant>
      <vt:variant>
        <vt:lpwstr/>
      </vt:variant>
      <vt:variant>
        <vt:lpwstr>_Toc225417524</vt:lpwstr>
      </vt:variant>
      <vt:variant>
        <vt:i4>1310771</vt:i4>
      </vt:variant>
      <vt:variant>
        <vt:i4>1856</vt:i4>
      </vt:variant>
      <vt:variant>
        <vt:i4>0</vt:i4>
      </vt:variant>
      <vt:variant>
        <vt:i4>5</vt:i4>
      </vt:variant>
      <vt:variant>
        <vt:lpwstr/>
      </vt:variant>
      <vt:variant>
        <vt:lpwstr>_Toc225417523</vt:lpwstr>
      </vt:variant>
      <vt:variant>
        <vt:i4>1310771</vt:i4>
      </vt:variant>
      <vt:variant>
        <vt:i4>1850</vt:i4>
      </vt:variant>
      <vt:variant>
        <vt:i4>0</vt:i4>
      </vt:variant>
      <vt:variant>
        <vt:i4>5</vt:i4>
      </vt:variant>
      <vt:variant>
        <vt:lpwstr/>
      </vt:variant>
      <vt:variant>
        <vt:lpwstr>_Toc225417522</vt:lpwstr>
      </vt:variant>
      <vt:variant>
        <vt:i4>1310771</vt:i4>
      </vt:variant>
      <vt:variant>
        <vt:i4>1844</vt:i4>
      </vt:variant>
      <vt:variant>
        <vt:i4>0</vt:i4>
      </vt:variant>
      <vt:variant>
        <vt:i4>5</vt:i4>
      </vt:variant>
      <vt:variant>
        <vt:lpwstr/>
      </vt:variant>
      <vt:variant>
        <vt:lpwstr>_Toc225417521</vt:lpwstr>
      </vt:variant>
      <vt:variant>
        <vt:i4>1310771</vt:i4>
      </vt:variant>
      <vt:variant>
        <vt:i4>1838</vt:i4>
      </vt:variant>
      <vt:variant>
        <vt:i4>0</vt:i4>
      </vt:variant>
      <vt:variant>
        <vt:i4>5</vt:i4>
      </vt:variant>
      <vt:variant>
        <vt:lpwstr/>
      </vt:variant>
      <vt:variant>
        <vt:lpwstr>_Toc225417520</vt:lpwstr>
      </vt:variant>
      <vt:variant>
        <vt:i4>1507379</vt:i4>
      </vt:variant>
      <vt:variant>
        <vt:i4>1832</vt:i4>
      </vt:variant>
      <vt:variant>
        <vt:i4>0</vt:i4>
      </vt:variant>
      <vt:variant>
        <vt:i4>5</vt:i4>
      </vt:variant>
      <vt:variant>
        <vt:lpwstr/>
      </vt:variant>
      <vt:variant>
        <vt:lpwstr>_Toc225417519</vt:lpwstr>
      </vt:variant>
      <vt:variant>
        <vt:i4>1507379</vt:i4>
      </vt:variant>
      <vt:variant>
        <vt:i4>1826</vt:i4>
      </vt:variant>
      <vt:variant>
        <vt:i4>0</vt:i4>
      </vt:variant>
      <vt:variant>
        <vt:i4>5</vt:i4>
      </vt:variant>
      <vt:variant>
        <vt:lpwstr/>
      </vt:variant>
      <vt:variant>
        <vt:lpwstr>_Toc225417518</vt:lpwstr>
      </vt:variant>
      <vt:variant>
        <vt:i4>1507379</vt:i4>
      </vt:variant>
      <vt:variant>
        <vt:i4>1820</vt:i4>
      </vt:variant>
      <vt:variant>
        <vt:i4>0</vt:i4>
      </vt:variant>
      <vt:variant>
        <vt:i4>5</vt:i4>
      </vt:variant>
      <vt:variant>
        <vt:lpwstr/>
      </vt:variant>
      <vt:variant>
        <vt:lpwstr>_Toc225417517</vt:lpwstr>
      </vt:variant>
      <vt:variant>
        <vt:i4>1507379</vt:i4>
      </vt:variant>
      <vt:variant>
        <vt:i4>1814</vt:i4>
      </vt:variant>
      <vt:variant>
        <vt:i4>0</vt:i4>
      </vt:variant>
      <vt:variant>
        <vt:i4>5</vt:i4>
      </vt:variant>
      <vt:variant>
        <vt:lpwstr/>
      </vt:variant>
      <vt:variant>
        <vt:lpwstr>_Toc225417516</vt:lpwstr>
      </vt:variant>
      <vt:variant>
        <vt:i4>1507379</vt:i4>
      </vt:variant>
      <vt:variant>
        <vt:i4>1808</vt:i4>
      </vt:variant>
      <vt:variant>
        <vt:i4>0</vt:i4>
      </vt:variant>
      <vt:variant>
        <vt:i4>5</vt:i4>
      </vt:variant>
      <vt:variant>
        <vt:lpwstr/>
      </vt:variant>
      <vt:variant>
        <vt:lpwstr>_Toc225417515</vt:lpwstr>
      </vt:variant>
      <vt:variant>
        <vt:i4>1507379</vt:i4>
      </vt:variant>
      <vt:variant>
        <vt:i4>1802</vt:i4>
      </vt:variant>
      <vt:variant>
        <vt:i4>0</vt:i4>
      </vt:variant>
      <vt:variant>
        <vt:i4>5</vt:i4>
      </vt:variant>
      <vt:variant>
        <vt:lpwstr/>
      </vt:variant>
      <vt:variant>
        <vt:lpwstr>_Toc225417514</vt:lpwstr>
      </vt:variant>
      <vt:variant>
        <vt:i4>1507379</vt:i4>
      </vt:variant>
      <vt:variant>
        <vt:i4>1796</vt:i4>
      </vt:variant>
      <vt:variant>
        <vt:i4>0</vt:i4>
      </vt:variant>
      <vt:variant>
        <vt:i4>5</vt:i4>
      </vt:variant>
      <vt:variant>
        <vt:lpwstr/>
      </vt:variant>
      <vt:variant>
        <vt:lpwstr>_Toc225417513</vt:lpwstr>
      </vt:variant>
      <vt:variant>
        <vt:i4>1507379</vt:i4>
      </vt:variant>
      <vt:variant>
        <vt:i4>1790</vt:i4>
      </vt:variant>
      <vt:variant>
        <vt:i4>0</vt:i4>
      </vt:variant>
      <vt:variant>
        <vt:i4>5</vt:i4>
      </vt:variant>
      <vt:variant>
        <vt:lpwstr/>
      </vt:variant>
      <vt:variant>
        <vt:lpwstr>_Toc225417512</vt:lpwstr>
      </vt:variant>
      <vt:variant>
        <vt:i4>1507379</vt:i4>
      </vt:variant>
      <vt:variant>
        <vt:i4>1784</vt:i4>
      </vt:variant>
      <vt:variant>
        <vt:i4>0</vt:i4>
      </vt:variant>
      <vt:variant>
        <vt:i4>5</vt:i4>
      </vt:variant>
      <vt:variant>
        <vt:lpwstr/>
      </vt:variant>
      <vt:variant>
        <vt:lpwstr>_Toc225417511</vt:lpwstr>
      </vt:variant>
      <vt:variant>
        <vt:i4>1507379</vt:i4>
      </vt:variant>
      <vt:variant>
        <vt:i4>1778</vt:i4>
      </vt:variant>
      <vt:variant>
        <vt:i4>0</vt:i4>
      </vt:variant>
      <vt:variant>
        <vt:i4>5</vt:i4>
      </vt:variant>
      <vt:variant>
        <vt:lpwstr/>
      </vt:variant>
      <vt:variant>
        <vt:lpwstr>_Toc225417510</vt:lpwstr>
      </vt:variant>
      <vt:variant>
        <vt:i4>1441843</vt:i4>
      </vt:variant>
      <vt:variant>
        <vt:i4>1772</vt:i4>
      </vt:variant>
      <vt:variant>
        <vt:i4>0</vt:i4>
      </vt:variant>
      <vt:variant>
        <vt:i4>5</vt:i4>
      </vt:variant>
      <vt:variant>
        <vt:lpwstr/>
      </vt:variant>
      <vt:variant>
        <vt:lpwstr>_Toc225417509</vt:lpwstr>
      </vt:variant>
      <vt:variant>
        <vt:i4>1441843</vt:i4>
      </vt:variant>
      <vt:variant>
        <vt:i4>1766</vt:i4>
      </vt:variant>
      <vt:variant>
        <vt:i4>0</vt:i4>
      </vt:variant>
      <vt:variant>
        <vt:i4>5</vt:i4>
      </vt:variant>
      <vt:variant>
        <vt:lpwstr/>
      </vt:variant>
      <vt:variant>
        <vt:lpwstr>_Toc225417508</vt:lpwstr>
      </vt:variant>
      <vt:variant>
        <vt:i4>1441843</vt:i4>
      </vt:variant>
      <vt:variant>
        <vt:i4>1760</vt:i4>
      </vt:variant>
      <vt:variant>
        <vt:i4>0</vt:i4>
      </vt:variant>
      <vt:variant>
        <vt:i4>5</vt:i4>
      </vt:variant>
      <vt:variant>
        <vt:lpwstr/>
      </vt:variant>
      <vt:variant>
        <vt:lpwstr>_Toc225417507</vt:lpwstr>
      </vt:variant>
      <vt:variant>
        <vt:i4>1441843</vt:i4>
      </vt:variant>
      <vt:variant>
        <vt:i4>1754</vt:i4>
      </vt:variant>
      <vt:variant>
        <vt:i4>0</vt:i4>
      </vt:variant>
      <vt:variant>
        <vt:i4>5</vt:i4>
      </vt:variant>
      <vt:variant>
        <vt:lpwstr/>
      </vt:variant>
      <vt:variant>
        <vt:lpwstr>_Toc225417506</vt:lpwstr>
      </vt:variant>
      <vt:variant>
        <vt:i4>1441843</vt:i4>
      </vt:variant>
      <vt:variant>
        <vt:i4>1748</vt:i4>
      </vt:variant>
      <vt:variant>
        <vt:i4>0</vt:i4>
      </vt:variant>
      <vt:variant>
        <vt:i4>5</vt:i4>
      </vt:variant>
      <vt:variant>
        <vt:lpwstr/>
      </vt:variant>
      <vt:variant>
        <vt:lpwstr>_Toc225417505</vt:lpwstr>
      </vt:variant>
      <vt:variant>
        <vt:i4>1441843</vt:i4>
      </vt:variant>
      <vt:variant>
        <vt:i4>1742</vt:i4>
      </vt:variant>
      <vt:variant>
        <vt:i4>0</vt:i4>
      </vt:variant>
      <vt:variant>
        <vt:i4>5</vt:i4>
      </vt:variant>
      <vt:variant>
        <vt:lpwstr/>
      </vt:variant>
      <vt:variant>
        <vt:lpwstr>_Toc225417504</vt:lpwstr>
      </vt:variant>
      <vt:variant>
        <vt:i4>1441843</vt:i4>
      </vt:variant>
      <vt:variant>
        <vt:i4>1736</vt:i4>
      </vt:variant>
      <vt:variant>
        <vt:i4>0</vt:i4>
      </vt:variant>
      <vt:variant>
        <vt:i4>5</vt:i4>
      </vt:variant>
      <vt:variant>
        <vt:lpwstr/>
      </vt:variant>
      <vt:variant>
        <vt:lpwstr>_Toc225417503</vt:lpwstr>
      </vt:variant>
      <vt:variant>
        <vt:i4>1441843</vt:i4>
      </vt:variant>
      <vt:variant>
        <vt:i4>1730</vt:i4>
      </vt:variant>
      <vt:variant>
        <vt:i4>0</vt:i4>
      </vt:variant>
      <vt:variant>
        <vt:i4>5</vt:i4>
      </vt:variant>
      <vt:variant>
        <vt:lpwstr/>
      </vt:variant>
      <vt:variant>
        <vt:lpwstr>_Toc225417502</vt:lpwstr>
      </vt:variant>
      <vt:variant>
        <vt:i4>1441843</vt:i4>
      </vt:variant>
      <vt:variant>
        <vt:i4>1724</vt:i4>
      </vt:variant>
      <vt:variant>
        <vt:i4>0</vt:i4>
      </vt:variant>
      <vt:variant>
        <vt:i4>5</vt:i4>
      </vt:variant>
      <vt:variant>
        <vt:lpwstr/>
      </vt:variant>
      <vt:variant>
        <vt:lpwstr>_Toc225417501</vt:lpwstr>
      </vt:variant>
      <vt:variant>
        <vt:i4>1441843</vt:i4>
      </vt:variant>
      <vt:variant>
        <vt:i4>1718</vt:i4>
      </vt:variant>
      <vt:variant>
        <vt:i4>0</vt:i4>
      </vt:variant>
      <vt:variant>
        <vt:i4>5</vt:i4>
      </vt:variant>
      <vt:variant>
        <vt:lpwstr/>
      </vt:variant>
      <vt:variant>
        <vt:lpwstr>_Toc225417500</vt:lpwstr>
      </vt:variant>
      <vt:variant>
        <vt:i4>2031666</vt:i4>
      </vt:variant>
      <vt:variant>
        <vt:i4>1712</vt:i4>
      </vt:variant>
      <vt:variant>
        <vt:i4>0</vt:i4>
      </vt:variant>
      <vt:variant>
        <vt:i4>5</vt:i4>
      </vt:variant>
      <vt:variant>
        <vt:lpwstr/>
      </vt:variant>
      <vt:variant>
        <vt:lpwstr>_Toc225417499</vt:lpwstr>
      </vt:variant>
      <vt:variant>
        <vt:i4>2031666</vt:i4>
      </vt:variant>
      <vt:variant>
        <vt:i4>1706</vt:i4>
      </vt:variant>
      <vt:variant>
        <vt:i4>0</vt:i4>
      </vt:variant>
      <vt:variant>
        <vt:i4>5</vt:i4>
      </vt:variant>
      <vt:variant>
        <vt:lpwstr/>
      </vt:variant>
      <vt:variant>
        <vt:lpwstr>_Toc225417498</vt:lpwstr>
      </vt:variant>
      <vt:variant>
        <vt:i4>2031666</vt:i4>
      </vt:variant>
      <vt:variant>
        <vt:i4>1700</vt:i4>
      </vt:variant>
      <vt:variant>
        <vt:i4>0</vt:i4>
      </vt:variant>
      <vt:variant>
        <vt:i4>5</vt:i4>
      </vt:variant>
      <vt:variant>
        <vt:lpwstr/>
      </vt:variant>
      <vt:variant>
        <vt:lpwstr>_Toc225417497</vt:lpwstr>
      </vt:variant>
      <vt:variant>
        <vt:i4>2031666</vt:i4>
      </vt:variant>
      <vt:variant>
        <vt:i4>1694</vt:i4>
      </vt:variant>
      <vt:variant>
        <vt:i4>0</vt:i4>
      </vt:variant>
      <vt:variant>
        <vt:i4>5</vt:i4>
      </vt:variant>
      <vt:variant>
        <vt:lpwstr/>
      </vt:variant>
      <vt:variant>
        <vt:lpwstr>_Toc225417496</vt:lpwstr>
      </vt:variant>
      <vt:variant>
        <vt:i4>2031666</vt:i4>
      </vt:variant>
      <vt:variant>
        <vt:i4>1688</vt:i4>
      </vt:variant>
      <vt:variant>
        <vt:i4>0</vt:i4>
      </vt:variant>
      <vt:variant>
        <vt:i4>5</vt:i4>
      </vt:variant>
      <vt:variant>
        <vt:lpwstr/>
      </vt:variant>
      <vt:variant>
        <vt:lpwstr>_Toc225417495</vt:lpwstr>
      </vt:variant>
      <vt:variant>
        <vt:i4>2031666</vt:i4>
      </vt:variant>
      <vt:variant>
        <vt:i4>1682</vt:i4>
      </vt:variant>
      <vt:variant>
        <vt:i4>0</vt:i4>
      </vt:variant>
      <vt:variant>
        <vt:i4>5</vt:i4>
      </vt:variant>
      <vt:variant>
        <vt:lpwstr/>
      </vt:variant>
      <vt:variant>
        <vt:lpwstr>_Toc225417494</vt:lpwstr>
      </vt:variant>
      <vt:variant>
        <vt:i4>2031666</vt:i4>
      </vt:variant>
      <vt:variant>
        <vt:i4>1676</vt:i4>
      </vt:variant>
      <vt:variant>
        <vt:i4>0</vt:i4>
      </vt:variant>
      <vt:variant>
        <vt:i4>5</vt:i4>
      </vt:variant>
      <vt:variant>
        <vt:lpwstr/>
      </vt:variant>
      <vt:variant>
        <vt:lpwstr>_Toc225417493</vt:lpwstr>
      </vt:variant>
      <vt:variant>
        <vt:i4>2031666</vt:i4>
      </vt:variant>
      <vt:variant>
        <vt:i4>1670</vt:i4>
      </vt:variant>
      <vt:variant>
        <vt:i4>0</vt:i4>
      </vt:variant>
      <vt:variant>
        <vt:i4>5</vt:i4>
      </vt:variant>
      <vt:variant>
        <vt:lpwstr/>
      </vt:variant>
      <vt:variant>
        <vt:lpwstr>_Toc225417492</vt:lpwstr>
      </vt:variant>
      <vt:variant>
        <vt:i4>2031666</vt:i4>
      </vt:variant>
      <vt:variant>
        <vt:i4>1664</vt:i4>
      </vt:variant>
      <vt:variant>
        <vt:i4>0</vt:i4>
      </vt:variant>
      <vt:variant>
        <vt:i4>5</vt:i4>
      </vt:variant>
      <vt:variant>
        <vt:lpwstr/>
      </vt:variant>
      <vt:variant>
        <vt:lpwstr>_Toc225417491</vt:lpwstr>
      </vt:variant>
      <vt:variant>
        <vt:i4>2031666</vt:i4>
      </vt:variant>
      <vt:variant>
        <vt:i4>1658</vt:i4>
      </vt:variant>
      <vt:variant>
        <vt:i4>0</vt:i4>
      </vt:variant>
      <vt:variant>
        <vt:i4>5</vt:i4>
      </vt:variant>
      <vt:variant>
        <vt:lpwstr/>
      </vt:variant>
      <vt:variant>
        <vt:lpwstr>_Toc225417490</vt:lpwstr>
      </vt:variant>
      <vt:variant>
        <vt:i4>1966130</vt:i4>
      </vt:variant>
      <vt:variant>
        <vt:i4>1652</vt:i4>
      </vt:variant>
      <vt:variant>
        <vt:i4>0</vt:i4>
      </vt:variant>
      <vt:variant>
        <vt:i4>5</vt:i4>
      </vt:variant>
      <vt:variant>
        <vt:lpwstr/>
      </vt:variant>
      <vt:variant>
        <vt:lpwstr>_Toc225417489</vt:lpwstr>
      </vt:variant>
      <vt:variant>
        <vt:i4>1966130</vt:i4>
      </vt:variant>
      <vt:variant>
        <vt:i4>1646</vt:i4>
      </vt:variant>
      <vt:variant>
        <vt:i4>0</vt:i4>
      </vt:variant>
      <vt:variant>
        <vt:i4>5</vt:i4>
      </vt:variant>
      <vt:variant>
        <vt:lpwstr/>
      </vt:variant>
      <vt:variant>
        <vt:lpwstr>_Toc225417488</vt:lpwstr>
      </vt:variant>
      <vt:variant>
        <vt:i4>1966130</vt:i4>
      </vt:variant>
      <vt:variant>
        <vt:i4>1640</vt:i4>
      </vt:variant>
      <vt:variant>
        <vt:i4>0</vt:i4>
      </vt:variant>
      <vt:variant>
        <vt:i4>5</vt:i4>
      </vt:variant>
      <vt:variant>
        <vt:lpwstr/>
      </vt:variant>
      <vt:variant>
        <vt:lpwstr>_Toc225417487</vt:lpwstr>
      </vt:variant>
      <vt:variant>
        <vt:i4>1966130</vt:i4>
      </vt:variant>
      <vt:variant>
        <vt:i4>1634</vt:i4>
      </vt:variant>
      <vt:variant>
        <vt:i4>0</vt:i4>
      </vt:variant>
      <vt:variant>
        <vt:i4>5</vt:i4>
      </vt:variant>
      <vt:variant>
        <vt:lpwstr/>
      </vt:variant>
      <vt:variant>
        <vt:lpwstr>_Toc225417486</vt:lpwstr>
      </vt:variant>
      <vt:variant>
        <vt:i4>1966130</vt:i4>
      </vt:variant>
      <vt:variant>
        <vt:i4>1628</vt:i4>
      </vt:variant>
      <vt:variant>
        <vt:i4>0</vt:i4>
      </vt:variant>
      <vt:variant>
        <vt:i4>5</vt:i4>
      </vt:variant>
      <vt:variant>
        <vt:lpwstr/>
      </vt:variant>
      <vt:variant>
        <vt:lpwstr>_Toc225417485</vt:lpwstr>
      </vt:variant>
      <vt:variant>
        <vt:i4>1966130</vt:i4>
      </vt:variant>
      <vt:variant>
        <vt:i4>1622</vt:i4>
      </vt:variant>
      <vt:variant>
        <vt:i4>0</vt:i4>
      </vt:variant>
      <vt:variant>
        <vt:i4>5</vt:i4>
      </vt:variant>
      <vt:variant>
        <vt:lpwstr/>
      </vt:variant>
      <vt:variant>
        <vt:lpwstr>_Toc225417484</vt:lpwstr>
      </vt:variant>
      <vt:variant>
        <vt:i4>1966130</vt:i4>
      </vt:variant>
      <vt:variant>
        <vt:i4>1616</vt:i4>
      </vt:variant>
      <vt:variant>
        <vt:i4>0</vt:i4>
      </vt:variant>
      <vt:variant>
        <vt:i4>5</vt:i4>
      </vt:variant>
      <vt:variant>
        <vt:lpwstr/>
      </vt:variant>
      <vt:variant>
        <vt:lpwstr>_Toc225417483</vt:lpwstr>
      </vt:variant>
      <vt:variant>
        <vt:i4>1966130</vt:i4>
      </vt:variant>
      <vt:variant>
        <vt:i4>1610</vt:i4>
      </vt:variant>
      <vt:variant>
        <vt:i4>0</vt:i4>
      </vt:variant>
      <vt:variant>
        <vt:i4>5</vt:i4>
      </vt:variant>
      <vt:variant>
        <vt:lpwstr/>
      </vt:variant>
      <vt:variant>
        <vt:lpwstr>_Toc225417482</vt:lpwstr>
      </vt:variant>
      <vt:variant>
        <vt:i4>1966130</vt:i4>
      </vt:variant>
      <vt:variant>
        <vt:i4>1604</vt:i4>
      </vt:variant>
      <vt:variant>
        <vt:i4>0</vt:i4>
      </vt:variant>
      <vt:variant>
        <vt:i4>5</vt:i4>
      </vt:variant>
      <vt:variant>
        <vt:lpwstr/>
      </vt:variant>
      <vt:variant>
        <vt:lpwstr>_Toc225417481</vt:lpwstr>
      </vt:variant>
      <vt:variant>
        <vt:i4>1966130</vt:i4>
      </vt:variant>
      <vt:variant>
        <vt:i4>1598</vt:i4>
      </vt:variant>
      <vt:variant>
        <vt:i4>0</vt:i4>
      </vt:variant>
      <vt:variant>
        <vt:i4>5</vt:i4>
      </vt:variant>
      <vt:variant>
        <vt:lpwstr/>
      </vt:variant>
      <vt:variant>
        <vt:lpwstr>_Toc225417480</vt:lpwstr>
      </vt:variant>
      <vt:variant>
        <vt:i4>1114162</vt:i4>
      </vt:variant>
      <vt:variant>
        <vt:i4>1592</vt:i4>
      </vt:variant>
      <vt:variant>
        <vt:i4>0</vt:i4>
      </vt:variant>
      <vt:variant>
        <vt:i4>5</vt:i4>
      </vt:variant>
      <vt:variant>
        <vt:lpwstr/>
      </vt:variant>
      <vt:variant>
        <vt:lpwstr>_Toc225417479</vt:lpwstr>
      </vt:variant>
      <vt:variant>
        <vt:i4>1114162</vt:i4>
      </vt:variant>
      <vt:variant>
        <vt:i4>1586</vt:i4>
      </vt:variant>
      <vt:variant>
        <vt:i4>0</vt:i4>
      </vt:variant>
      <vt:variant>
        <vt:i4>5</vt:i4>
      </vt:variant>
      <vt:variant>
        <vt:lpwstr/>
      </vt:variant>
      <vt:variant>
        <vt:lpwstr>_Toc225417478</vt:lpwstr>
      </vt:variant>
      <vt:variant>
        <vt:i4>1114162</vt:i4>
      </vt:variant>
      <vt:variant>
        <vt:i4>1580</vt:i4>
      </vt:variant>
      <vt:variant>
        <vt:i4>0</vt:i4>
      </vt:variant>
      <vt:variant>
        <vt:i4>5</vt:i4>
      </vt:variant>
      <vt:variant>
        <vt:lpwstr/>
      </vt:variant>
      <vt:variant>
        <vt:lpwstr>_Toc225417477</vt:lpwstr>
      </vt:variant>
      <vt:variant>
        <vt:i4>1114162</vt:i4>
      </vt:variant>
      <vt:variant>
        <vt:i4>1574</vt:i4>
      </vt:variant>
      <vt:variant>
        <vt:i4>0</vt:i4>
      </vt:variant>
      <vt:variant>
        <vt:i4>5</vt:i4>
      </vt:variant>
      <vt:variant>
        <vt:lpwstr/>
      </vt:variant>
      <vt:variant>
        <vt:lpwstr>_Toc225417476</vt:lpwstr>
      </vt:variant>
      <vt:variant>
        <vt:i4>1114162</vt:i4>
      </vt:variant>
      <vt:variant>
        <vt:i4>1568</vt:i4>
      </vt:variant>
      <vt:variant>
        <vt:i4>0</vt:i4>
      </vt:variant>
      <vt:variant>
        <vt:i4>5</vt:i4>
      </vt:variant>
      <vt:variant>
        <vt:lpwstr/>
      </vt:variant>
      <vt:variant>
        <vt:lpwstr>_Toc225417475</vt:lpwstr>
      </vt:variant>
      <vt:variant>
        <vt:i4>1114162</vt:i4>
      </vt:variant>
      <vt:variant>
        <vt:i4>1562</vt:i4>
      </vt:variant>
      <vt:variant>
        <vt:i4>0</vt:i4>
      </vt:variant>
      <vt:variant>
        <vt:i4>5</vt:i4>
      </vt:variant>
      <vt:variant>
        <vt:lpwstr/>
      </vt:variant>
      <vt:variant>
        <vt:lpwstr>_Toc225417474</vt:lpwstr>
      </vt:variant>
      <vt:variant>
        <vt:i4>1114162</vt:i4>
      </vt:variant>
      <vt:variant>
        <vt:i4>1556</vt:i4>
      </vt:variant>
      <vt:variant>
        <vt:i4>0</vt:i4>
      </vt:variant>
      <vt:variant>
        <vt:i4>5</vt:i4>
      </vt:variant>
      <vt:variant>
        <vt:lpwstr/>
      </vt:variant>
      <vt:variant>
        <vt:lpwstr>_Toc225417473</vt:lpwstr>
      </vt:variant>
      <vt:variant>
        <vt:i4>1114162</vt:i4>
      </vt:variant>
      <vt:variant>
        <vt:i4>1550</vt:i4>
      </vt:variant>
      <vt:variant>
        <vt:i4>0</vt:i4>
      </vt:variant>
      <vt:variant>
        <vt:i4>5</vt:i4>
      </vt:variant>
      <vt:variant>
        <vt:lpwstr/>
      </vt:variant>
      <vt:variant>
        <vt:lpwstr>_Toc225417472</vt:lpwstr>
      </vt:variant>
      <vt:variant>
        <vt:i4>1114162</vt:i4>
      </vt:variant>
      <vt:variant>
        <vt:i4>1544</vt:i4>
      </vt:variant>
      <vt:variant>
        <vt:i4>0</vt:i4>
      </vt:variant>
      <vt:variant>
        <vt:i4>5</vt:i4>
      </vt:variant>
      <vt:variant>
        <vt:lpwstr/>
      </vt:variant>
      <vt:variant>
        <vt:lpwstr>_Toc225417471</vt:lpwstr>
      </vt:variant>
      <vt:variant>
        <vt:i4>1114162</vt:i4>
      </vt:variant>
      <vt:variant>
        <vt:i4>1538</vt:i4>
      </vt:variant>
      <vt:variant>
        <vt:i4>0</vt:i4>
      </vt:variant>
      <vt:variant>
        <vt:i4>5</vt:i4>
      </vt:variant>
      <vt:variant>
        <vt:lpwstr/>
      </vt:variant>
      <vt:variant>
        <vt:lpwstr>_Toc225417470</vt:lpwstr>
      </vt:variant>
      <vt:variant>
        <vt:i4>1048626</vt:i4>
      </vt:variant>
      <vt:variant>
        <vt:i4>1532</vt:i4>
      </vt:variant>
      <vt:variant>
        <vt:i4>0</vt:i4>
      </vt:variant>
      <vt:variant>
        <vt:i4>5</vt:i4>
      </vt:variant>
      <vt:variant>
        <vt:lpwstr/>
      </vt:variant>
      <vt:variant>
        <vt:lpwstr>_Toc225417469</vt:lpwstr>
      </vt:variant>
      <vt:variant>
        <vt:i4>1048626</vt:i4>
      </vt:variant>
      <vt:variant>
        <vt:i4>1526</vt:i4>
      </vt:variant>
      <vt:variant>
        <vt:i4>0</vt:i4>
      </vt:variant>
      <vt:variant>
        <vt:i4>5</vt:i4>
      </vt:variant>
      <vt:variant>
        <vt:lpwstr/>
      </vt:variant>
      <vt:variant>
        <vt:lpwstr>_Toc225417468</vt:lpwstr>
      </vt:variant>
      <vt:variant>
        <vt:i4>1048626</vt:i4>
      </vt:variant>
      <vt:variant>
        <vt:i4>1520</vt:i4>
      </vt:variant>
      <vt:variant>
        <vt:i4>0</vt:i4>
      </vt:variant>
      <vt:variant>
        <vt:i4>5</vt:i4>
      </vt:variant>
      <vt:variant>
        <vt:lpwstr/>
      </vt:variant>
      <vt:variant>
        <vt:lpwstr>_Toc225417467</vt:lpwstr>
      </vt:variant>
      <vt:variant>
        <vt:i4>1048626</vt:i4>
      </vt:variant>
      <vt:variant>
        <vt:i4>1514</vt:i4>
      </vt:variant>
      <vt:variant>
        <vt:i4>0</vt:i4>
      </vt:variant>
      <vt:variant>
        <vt:i4>5</vt:i4>
      </vt:variant>
      <vt:variant>
        <vt:lpwstr/>
      </vt:variant>
      <vt:variant>
        <vt:lpwstr>_Toc225417466</vt:lpwstr>
      </vt:variant>
      <vt:variant>
        <vt:i4>1048626</vt:i4>
      </vt:variant>
      <vt:variant>
        <vt:i4>1508</vt:i4>
      </vt:variant>
      <vt:variant>
        <vt:i4>0</vt:i4>
      </vt:variant>
      <vt:variant>
        <vt:i4>5</vt:i4>
      </vt:variant>
      <vt:variant>
        <vt:lpwstr/>
      </vt:variant>
      <vt:variant>
        <vt:lpwstr>_Toc225417465</vt:lpwstr>
      </vt:variant>
      <vt:variant>
        <vt:i4>1048626</vt:i4>
      </vt:variant>
      <vt:variant>
        <vt:i4>1502</vt:i4>
      </vt:variant>
      <vt:variant>
        <vt:i4>0</vt:i4>
      </vt:variant>
      <vt:variant>
        <vt:i4>5</vt:i4>
      </vt:variant>
      <vt:variant>
        <vt:lpwstr/>
      </vt:variant>
      <vt:variant>
        <vt:lpwstr>_Toc225417464</vt:lpwstr>
      </vt:variant>
      <vt:variant>
        <vt:i4>1048626</vt:i4>
      </vt:variant>
      <vt:variant>
        <vt:i4>1496</vt:i4>
      </vt:variant>
      <vt:variant>
        <vt:i4>0</vt:i4>
      </vt:variant>
      <vt:variant>
        <vt:i4>5</vt:i4>
      </vt:variant>
      <vt:variant>
        <vt:lpwstr/>
      </vt:variant>
      <vt:variant>
        <vt:lpwstr>_Toc225417463</vt:lpwstr>
      </vt:variant>
      <vt:variant>
        <vt:i4>1048626</vt:i4>
      </vt:variant>
      <vt:variant>
        <vt:i4>1490</vt:i4>
      </vt:variant>
      <vt:variant>
        <vt:i4>0</vt:i4>
      </vt:variant>
      <vt:variant>
        <vt:i4>5</vt:i4>
      </vt:variant>
      <vt:variant>
        <vt:lpwstr/>
      </vt:variant>
      <vt:variant>
        <vt:lpwstr>_Toc225417462</vt:lpwstr>
      </vt:variant>
      <vt:variant>
        <vt:i4>1048626</vt:i4>
      </vt:variant>
      <vt:variant>
        <vt:i4>1484</vt:i4>
      </vt:variant>
      <vt:variant>
        <vt:i4>0</vt:i4>
      </vt:variant>
      <vt:variant>
        <vt:i4>5</vt:i4>
      </vt:variant>
      <vt:variant>
        <vt:lpwstr/>
      </vt:variant>
      <vt:variant>
        <vt:lpwstr>_Toc225417461</vt:lpwstr>
      </vt:variant>
      <vt:variant>
        <vt:i4>1048626</vt:i4>
      </vt:variant>
      <vt:variant>
        <vt:i4>1478</vt:i4>
      </vt:variant>
      <vt:variant>
        <vt:i4>0</vt:i4>
      </vt:variant>
      <vt:variant>
        <vt:i4>5</vt:i4>
      </vt:variant>
      <vt:variant>
        <vt:lpwstr/>
      </vt:variant>
      <vt:variant>
        <vt:lpwstr>_Toc225417460</vt:lpwstr>
      </vt:variant>
      <vt:variant>
        <vt:i4>1245234</vt:i4>
      </vt:variant>
      <vt:variant>
        <vt:i4>1472</vt:i4>
      </vt:variant>
      <vt:variant>
        <vt:i4>0</vt:i4>
      </vt:variant>
      <vt:variant>
        <vt:i4>5</vt:i4>
      </vt:variant>
      <vt:variant>
        <vt:lpwstr/>
      </vt:variant>
      <vt:variant>
        <vt:lpwstr>_Toc225417459</vt:lpwstr>
      </vt:variant>
      <vt:variant>
        <vt:i4>1245234</vt:i4>
      </vt:variant>
      <vt:variant>
        <vt:i4>1466</vt:i4>
      </vt:variant>
      <vt:variant>
        <vt:i4>0</vt:i4>
      </vt:variant>
      <vt:variant>
        <vt:i4>5</vt:i4>
      </vt:variant>
      <vt:variant>
        <vt:lpwstr/>
      </vt:variant>
      <vt:variant>
        <vt:lpwstr>_Toc225417458</vt:lpwstr>
      </vt:variant>
      <vt:variant>
        <vt:i4>1245234</vt:i4>
      </vt:variant>
      <vt:variant>
        <vt:i4>1460</vt:i4>
      </vt:variant>
      <vt:variant>
        <vt:i4>0</vt:i4>
      </vt:variant>
      <vt:variant>
        <vt:i4>5</vt:i4>
      </vt:variant>
      <vt:variant>
        <vt:lpwstr/>
      </vt:variant>
      <vt:variant>
        <vt:lpwstr>_Toc225417457</vt:lpwstr>
      </vt:variant>
      <vt:variant>
        <vt:i4>1245234</vt:i4>
      </vt:variant>
      <vt:variant>
        <vt:i4>1454</vt:i4>
      </vt:variant>
      <vt:variant>
        <vt:i4>0</vt:i4>
      </vt:variant>
      <vt:variant>
        <vt:i4>5</vt:i4>
      </vt:variant>
      <vt:variant>
        <vt:lpwstr/>
      </vt:variant>
      <vt:variant>
        <vt:lpwstr>_Toc225417456</vt:lpwstr>
      </vt:variant>
      <vt:variant>
        <vt:i4>1245234</vt:i4>
      </vt:variant>
      <vt:variant>
        <vt:i4>1448</vt:i4>
      </vt:variant>
      <vt:variant>
        <vt:i4>0</vt:i4>
      </vt:variant>
      <vt:variant>
        <vt:i4>5</vt:i4>
      </vt:variant>
      <vt:variant>
        <vt:lpwstr/>
      </vt:variant>
      <vt:variant>
        <vt:lpwstr>_Toc225417455</vt:lpwstr>
      </vt:variant>
      <vt:variant>
        <vt:i4>1245234</vt:i4>
      </vt:variant>
      <vt:variant>
        <vt:i4>1442</vt:i4>
      </vt:variant>
      <vt:variant>
        <vt:i4>0</vt:i4>
      </vt:variant>
      <vt:variant>
        <vt:i4>5</vt:i4>
      </vt:variant>
      <vt:variant>
        <vt:lpwstr/>
      </vt:variant>
      <vt:variant>
        <vt:lpwstr>_Toc225417454</vt:lpwstr>
      </vt:variant>
      <vt:variant>
        <vt:i4>1245234</vt:i4>
      </vt:variant>
      <vt:variant>
        <vt:i4>1436</vt:i4>
      </vt:variant>
      <vt:variant>
        <vt:i4>0</vt:i4>
      </vt:variant>
      <vt:variant>
        <vt:i4>5</vt:i4>
      </vt:variant>
      <vt:variant>
        <vt:lpwstr/>
      </vt:variant>
      <vt:variant>
        <vt:lpwstr>_Toc225417453</vt:lpwstr>
      </vt:variant>
      <vt:variant>
        <vt:i4>1245234</vt:i4>
      </vt:variant>
      <vt:variant>
        <vt:i4>1430</vt:i4>
      </vt:variant>
      <vt:variant>
        <vt:i4>0</vt:i4>
      </vt:variant>
      <vt:variant>
        <vt:i4>5</vt:i4>
      </vt:variant>
      <vt:variant>
        <vt:lpwstr/>
      </vt:variant>
      <vt:variant>
        <vt:lpwstr>_Toc225417452</vt:lpwstr>
      </vt:variant>
      <vt:variant>
        <vt:i4>1245234</vt:i4>
      </vt:variant>
      <vt:variant>
        <vt:i4>1424</vt:i4>
      </vt:variant>
      <vt:variant>
        <vt:i4>0</vt:i4>
      </vt:variant>
      <vt:variant>
        <vt:i4>5</vt:i4>
      </vt:variant>
      <vt:variant>
        <vt:lpwstr/>
      </vt:variant>
      <vt:variant>
        <vt:lpwstr>_Toc225417451</vt:lpwstr>
      </vt:variant>
      <vt:variant>
        <vt:i4>1245234</vt:i4>
      </vt:variant>
      <vt:variant>
        <vt:i4>1418</vt:i4>
      </vt:variant>
      <vt:variant>
        <vt:i4>0</vt:i4>
      </vt:variant>
      <vt:variant>
        <vt:i4>5</vt:i4>
      </vt:variant>
      <vt:variant>
        <vt:lpwstr/>
      </vt:variant>
      <vt:variant>
        <vt:lpwstr>_Toc225417450</vt:lpwstr>
      </vt:variant>
      <vt:variant>
        <vt:i4>1179698</vt:i4>
      </vt:variant>
      <vt:variant>
        <vt:i4>1412</vt:i4>
      </vt:variant>
      <vt:variant>
        <vt:i4>0</vt:i4>
      </vt:variant>
      <vt:variant>
        <vt:i4>5</vt:i4>
      </vt:variant>
      <vt:variant>
        <vt:lpwstr/>
      </vt:variant>
      <vt:variant>
        <vt:lpwstr>_Toc225417449</vt:lpwstr>
      </vt:variant>
      <vt:variant>
        <vt:i4>1179698</vt:i4>
      </vt:variant>
      <vt:variant>
        <vt:i4>1406</vt:i4>
      </vt:variant>
      <vt:variant>
        <vt:i4>0</vt:i4>
      </vt:variant>
      <vt:variant>
        <vt:i4>5</vt:i4>
      </vt:variant>
      <vt:variant>
        <vt:lpwstr/>
      </vt:variant>
      <vt:variant>
        <vt:lpwstr>_Toc225417448</vt:lpwstr>
      </vt:variant>
      <vt:variant>
        <vt:i4>1179698</vt:i4>
      </vt:variant>
      <vt:variant>
        <vt:i4>1400</vt:i4>
      </vt:variant>
      <vt:variant>
        <vt:i4>0</vt:i4>
      </vt:variant>
      <vt:variant>
        <vt:i4>5</vt:i4>
      </vt:variant>
      <vt:variant>
        <vt:lpwstr/>
      </vt:variant>
      <vt:variant>
        <vt:lpwstr>_Toc225417447</vt:lpwstr>
      </vt:variant>
      <vt:variant>
        <vt:i4>1179698</vt:i4>
      </vt:variant>
      <vt:variant>
        <vt:i4>1394</vt:i4>
      </vt:variant>
      <vt:variant>
        <vt:i4>0</vt:i4>
      </vt:variant>
      <vt:variant>
        <vt:i4>5</vt:i4>
      </vt:variant>
      <vt:variant>
        <vt:lpwstr/>
      </vt:variant>
      <vt:variant>
        <vt:lpwstr>_Toc225417446</vt:lpwstr>
      </vt:variant>
      <vt:variant>
        <vt:i4>1179698</vt:i4>
      </vt:variant>
      <vt:variant>
        <vt:i4>1388</vt:i4>
      </vt:variant>
      <vt:variant>
        <vt:i4>0</vt:i4>
      </vt:variant>
      <vt:variant>
        <vt:i4>5</vt:i4>
      </vt:variant>
      <vt:variant>
        <vt:lpwstr/>
      </vt:variant>
      <vt:variant>
        <vt:lpwstr>_Toc225417445</vt:lpwstr>
      </vt:variant>
      <vt:variant>
        <vt:i4>1179698</vt:i4>
      </vt:variant>
      <vt:variant>
        <vt:i4>1382</vt:i4>
      </vt:variant>
      <vt:variant>
        <vt:i4>0</vt:i4>
      </vt:variant>
      <vt:variant>
        <vt:i4>5</vt:i4>
      </vt:variant>
      <vt:variant>
        <vt:lpwstr/>
      </vt:variant>
      <vt:variant>
        <vt:lpwstr>_Toc225417444</vt:lpwstr>
      </vt:variant>
      <vt:variant>
        <vt:i4>1179698</vt:i4>
      </vt:variant>
      <vt:variant>
        <vt:i4>1376</vt:i4>
      </vt:variant>
      <vt:variant>
        <vt:i4>0</vt:i4>
      </vt:variant>
      <vt:variant>
        <vt:i4>5</vt:i4>
      </vt:variant>
      <vt:variant>
        <vt:lpwstr/>
      </vt:variant>
      <vt:variant>
        <vt:lpwstr>_Toc225417443</vt:lpwstr>
      </vt:variant>
      <vt:variant>
        <vt:i4>1179698</vt:i4>
      </vt:variant>
      <vt:variant>
        <vt:i4>1370</vt:i4>
      </vt:variant>
      <vt:variant>
        <vt:i4>0</vt:i4>
      </vt:variant>
      <vt:variant>
        <vt:i4>5</vt:i4>
      </vt:variant>
      <vt:variant>
        <vt:lpwstr/>
      </vt:variant>
      <vt:variant>
        <vt:lpwstr>_Toc225417442</vt:lpwstr>
      </vt:variant>
      <vt:variant>
        <vt:i4>1179698</vt:i4>
      </vt:variant>
      <vt:variant>
        <vt:i4>1364</vt:i4>
      </vt:variant>
      <vt:variant>
        <vt:i4>0</vt:i4>
      </vt:variant>
      <vt:variant>
        <vt:i4>5</vt:i4>
      </vt:variant>
      <vt:variant>
        <vt:lpwstr/>
      </vt:variant>
      <vt:variant>
        <vt:lpwstr>_Toc225417441</vt:lpwstr>
      </vt:variant>
      <vt:variant>
        <vt:i4>1179698</vt:i4>
      </vt:variant>
      <vt:variant>
        <vt:i4>1358</vt:i4>
      </vt:variant>
      <vt:variant>
        <vt:i4>0</vt:i4>
      </vt:variant>
      <vt:variant>
        <vt:i4>5</vt:i4>
      </vt:variant>
      <vt:variant>
        <vt:lpwstr/>
      </vt:variant>
      <vt:variant>
        <vt:lpwstr>_Toc225417440</vt:lpwstr>
      </vt:variant>
      <vt:variant>
        <vt:i4>1376306</vt:i4>
      </vt:variant>
      <vt:variant>
        <vt:i4>1352</vt:i4>
      </vt:variant>
      <vt:variant>
        <vt:i4>0</vt:i4>
      </vt:variant>
      <vt:variant>
        <vt:i4>5</vt:i4>
      </vt:variant>
      <vt:variant>
        <vt:lpwstr/>
      </vt:variant>
      <vt:variant>
        <vt:lpwstr>_Toc225417439</vt:lpwstr>
      </vt:variant>
      <vt:variant>
        <vt:i4>1376306</vt:i4>
      </vt:variant>
      <vt:variant>
        <vt:i4>1346</vt:i4>
      </vt:variant>
      <vt:variant>
        <vt:i4>0</vt:i4>
      </vt:variant>
      <vt:variant>
        <vt:i4>5</vt:i4>
      </vt:variant>
      <vt:variant>
        <vt:lpwstr/>
      </vt:variant>
      <vt:variant>
        <vt:lpwstr>_Toc225417438</vt:lpwstr>
      </vt:variant>
      <vt:variant>
        <vt:i4>1376306</vt:i4>
      </vt:variant>
      <vt:variant>
        <vt:i4>1340</vt:i4>
      </vt:variant>
      <vt:variant>
        <vt:i4>0</vt:i4>
      </vt:variant>
      <vt:variant>
        <vt:i4>5</vt:i4>
      </vt:variant>
      <vt:variant>
        <vt:lpwstr/>
      </vt:variant>
      <vt:variant>
        <vt:lpwstr>_Toc225417437</vt:lpwstr>
      </vt:variant>
      <vt:variant>
        <vt:i4>1376306</vt:i4>
      </vt:variant>
      <vt:variant>
        <vt:i4>1334</vt:i4>
      </vt:variant>
      <vt:variant>
        <vt:i4>0</vt:i4>
      </vt:variant>
      <vt:variant>
        <vt:i4>5</vt:i4>
      </vt:variant>
      <vt:variant>
        <vt:lpwstr/>
      </vt:variant>
      <vt:variant>
        <vt:lpwstr>_Toc225417436</vt:lpwstr>
      </vt:variant>
      <vt:variant>
        <vt:i4>1376306</vt:i4>
      </vt:variant>
      <vt:variant>
        <vt:i4>1328</vt:i4>
      </vt:variant>
      <vt:variant>
        <vt:i4>0</vt:i4>
      </vt:variant>
      <vt:variant>
        <vt:i4>5</vt:i4>
      </vt:variant>
      <vt:variant>
        <vt:lpwstr/>
      </vt:variant>
      <vt:variant>
        <vt:lpwstr>_Toc225417435</vt:lpwstr>
      </vt:variant>
      <vt:variant>
        <vt:i4>1376306</vt:i4>
      </vt:variant>
      <vt:variant>
        <vt:i4>1322</vt:i4>
      </vt:variant>
      <vt:variant>
        <vt:i4>0</vt:i4>
      </vt:variant>
      <vt:variant>
        <vt:i4>5</vt:i4>
      </vt:variant>
      <vt:variant>
        <vt:lpwstr/>
      </vt:variant>
      <vt:variant>
        <vt:lpwstr>_Toc225417434</vt:lpwstr>
      </vt:variant>
      <vt:variant>
        <vt:i4>1376306</vt:i4>
      </vt:variant>
      <vt:variant>
        <vt:i4>1316</vt:i4>
      </vt:variant>
      <vt:variant>
        <vt:i4>0</vt:i4>
      </vt:variant>
      <vt:variant>
        <vt:i4>5</vt:i4>
      </vt:variant>
      <vt:variant>
        <vt:lpwstr/>
      </vt:variant>
      <vt:variant>
        <vt:lpwstr>_Toc225417433</vt:lpwstr>
      </vt:variant>
      <vt:variant>
        <vt:i4>1376306</vt:i4>
      </vt:variant>
      <vt:variant>
        <vt:i4>1310</vt:i4>
      </vt:variant>
      <vt:variant>
        <vt:i4>0</vt:i4>
      </vt:variant>
      <vt:variant>
        <vt:i4>5</vt:i4>
      </vt:variant>
      <vt:variant>
        <vt:lpwstr/>
      </vt:variant>
      <vt:variant>
        <vt:lpwstr>_Toc225417432</vt:lpwstr>
      </vt:variant>
      <vt:variant>
        <vt:i4>1376306</vt:i4>
      </vt:variant>
      <vt:variant>
        <vt:i4>1304</vt:i4>
      </vt:variant>
      <vt:variant>
        <vt:i4>0</vt:i4>
      </vt:variant>
      <vt:variant>
        <vt:i4>5</vt:i4>
      </vt:variant>
      <vt:variant>
        <vt:lpwstr/>
      </vt:variant>
      <vt:variant>
        <vt:lpwstr>_Toc225417431</vt:lpwstr>
      </vt:variant>
      <vt:variant>
        <vt:i4>1376306</vt:i4>
      </vt:variant>
      <vt:variant>
        <vt:i4>1298</vt:i4>
      </vt:variant>
      <vt:variant>
        <vt:i4>0</vt:i4>
      </vt:variant>
      <vt:variant>
        <vt:i4>5</vt:i4>
      </vt:variant>
      <vt:variant>
        <vt:lpwstr/>
      </vt:variant>
      <vt:variant>
        <vt:lpwstr>_Toc225417430</vt:lpwstr>
      </vt:variant>
      <vt:variant>
        <vt:i4>1310770</vt:i4>
      </vt:variant>
      <vt:variant>
        <vt:i4>1292</vt:i4>
      </vt:variant>
      <vt:variant>
        <vt:i4>0</vt:i4>
      </vt:variant>
      <vt:variant>
        <vt:i4>5</vt:i4>
      </vt:variant>
      <vt:variant>
        <vt:lpwstr/>
      </vt:variant>
      <vt:variant>
        <vt:lpwstr>_Toc225417429</vt:lpwstr>
      </vt:variant>
      <vt:variant>
        <vt:i4>1310770</vt:i4>
      </vt:variant>
      <vt:variant>
        <vt:i4>1286</vt:i4>
      </vt:variant>
      <vt:variant>
        <vt:i4>0</vt:i4>
      </vt:variant>
      <vt:variant>
        <vt:i4>5</vt:i4>
      </vt:variant>
      <vt:variant>
        <vt:lpwstr/>
      </vt:variant>
      <vt:variant>
        <vt:lpwstr>_Toc225417428</vt:lpwstr>
      </vt:variant>
      <vt:variant>
        <vt:i4>1310770</vt:i4>
      </vt:variant>
      <vt:variant>
        <vt:i4>1280</vt:i4>
      </vt:variant>
      <vt:variant>
        <vt:i4>0</vt:i4>
      </vt:variant>
      <vt:variant>
        <vt:i4>5</vt:i4>
      </vt:variant>
      <vt:variant>
        <vt:lpwstr/>
      </vt:variant>
      <vt:variant>
        <vt:lpwstr>_Toc225417427</vt:lpwstr>
      </vt:variant>
      <vt:variant>
        <vt:i4>1310770</vt:i4>
      </vt:variant>
      <vt:variant>
        <vt:i4>1274</vt:i4>
      </vt:variant>
      <vt:variant>
        <vt:i4>0</vt:i4>
      </vt:variant>
      <vt:variant>
        <vt:i4>5</vt:i4>
      </vt:variant>
      <vt:variant>
        <vt:lpwstr/>
      </vt:variant>
      <vt:variant>
        <vt:lpwstr>_Toc225417426</vt:lpwstr>
      </vt:variant>
      <vt:variant>
        <vt:i4>1310770</vt:i4>
      </vt:variant>
      <vt:variant>
        <vt:i4>1268</vt:i4>
      </vt:variant>
      <vt:variant>
        <vt:i4>0</vt:i4>
      </vt:variant>
      <vt:variant>
        <vt:i4>5</vt:i4>
      </vt:variant>
      <vt:variant>
        <vt:lpwstr/>
      </vt:variant>
      <vt:variant>
        <vt:lpwstr>_Toc225417425</vt:lpwstr>
      </vt:variant>
      <vt:variant>
        <vt:i4>1310770</vt:i4>
      </vt:variant>
      <vt:variant>
        <vt:i4>1262</vt:i4>
      </vt:variant>
      <vt:variant>
        <vt:i4>0</vt:i4>
      </vt:variant>
      <vt:variant>
        <vt:i4>5</vt:i4>
      </vt:variant>
      <vt:variant>
        <vt:lpwstr/>
      </vt:variant>
      <vt:variant>
        <vt:lpwstr>_Toc225417424</vt:lpwstr>
      </vt:variant>
      <vt:variant>
        <vt:i4>1310770</vt:i4>
      </vt:variant>
      <vt:variant>
        <vt:i4>1256</vt:i4>
      </vt:variant>
      <vt:variant>
        <vt:i4>0</vt:i4>
      </vt:variant>
      <vt:variant>
        <vt:i4>5</vt:i4>
      </vt:variant>
      <vt:variant>
        <vt:lpwstr/>
      </vt:variant>
      <vt:variant>
        <vt:lpwstr>_Toc225417423</vt:lpwstr>
      </vt:variant>
      <vt:variant>
        <vt:i4>1310770</vt:i4>
      </vt:variant>
      <vt:variant>
        <vt:i4>1250</vt:i4>
      </vt:variant>
      <vt:variant>
        <vt:i4>0</vt:i4>
      </vt:variant>
      <vt:variant>
        <vt:i4>5</vt:i4>
      </vt:variant>
      <vt:variant>
        <vt:lpwstr/>
      </vt:variant>
      <vt:variant>
        <vt:lpwstr>_Toc225417422</vt:lpwstr>
      </vt:variant>
      <vt:variant>
        <vt:i4>1310770</vt:i4>
      </vt:variant>
      <vt:variant>
        <vt:i4>1244</vt:i4>
      </vt:variant>
      <vt:variant>
        <vt:i4>0</vt:i4>
      </vt:variant>
      <vt:variant>
        <vt:i4>5</vt:i4>
      </vt:variant>
      <vt:variant>
        <vt:lpwstr/>
      </vt:variant>
      <vt:variant>
        <vt:lpwstr>_Toc225417421</vt:lpwstr>
      </vt:variant>
      <vt:variant>
        <vt:i4>1310770</vt:i4>
      </vt:variant>
      <vt:variant>
        <vt:i4>1238</vt:i4>
      </vt:variant>
      <vt:variant>
        <vt:i4>0</vt:i4>
      </vt:variant>
      <vt:variant>
        <vt:i4>5</vt:i4>
      </vt:variant>
      <vt:variant>
        <vt:lpwstr/>
      </vt:variant>
      <vt:variant>
        <vt:lpwstr>_Toc225417420</vt:lpwstr>
      </vt:variant>
      <vt:variant>
        <vt:i4>1507378</vt:i4>
      </vt:variant>
      <vt:variant>
        <vt:i4>1232</vt:i4>
      </vt:variant>
      <vt:variant>
        <vt:i4>0</vt:i4>
      </vt:variant>
      <vt:variant>
        <vt:i4>5</vt:i4>
      </vt:variant>
      <vt:variant>
        <vt:lpwstr/>
      </vt:variant>
      <vt:variant>
        <vt:lpwstr>_Toc225417419</vt:lpwstr>
      </vt:variant>
      <vt:variant>
        <vt:i4>1507378</vt:i4>
      </vt:variant>
      <vt:variant>
        <vt:i4>1226</vt:i4>
      </vt:variant>
      <vt:variant>
        <vt:i4>0</vt:i4>
      </vt:variant>
      <vt:variant>
        <vt:i4>5</vt:i4>
      </vt:variant>
      <vt:variant>
        <vt:lpwstr/>
      </vt:variant>
      <vt:variant>
        <vt:lpwstr>_Toc225417418</vt:lpwstr>
      </vt:variant>
      <vt:variant>
        <vt:i4>1507378</vt:i4>
      </vt:variant>
      <vt:variant>
        <vt:i4>1220</vt:i4>
      </vt:variant>
      <vt:variant>
        <vt:i4>0</vt:i4>
      </vt:variant>
      <vt:variant>
        <vt:i4>5</vt:i4>
      </vt:variant>
      <vt:variant>
        <vt:lpwstr/>
      </vt:variant>
      <vt:variant>
        <vt:lpwstr>_Toc225417417</vt:lpwstr>
      </vt:variant>
      <vt:variant>
        <vt:i4>1507378</vt:i4>
      </vt:variant>
      <vt:variant>
        <vt:i4>1214</vt:i4>
      </vt:variant>
      <vt:variant>
        <vt:i4>0</vt:i4>
      </vt:variant>
      <vt:variant>
        <vt:i4>5</vt:i4>
      </vt:variant>
      <vt:variant>
        <vt:lpwstr/>
      </vt:variant>
      <vt:variant>
        <vt:lpwstr>_Toc225417416</vt:lpwstr>
      </vt:variant>
      <vt:variant>
        <vt:i4>1507378</vt:i4>
      </vt:variant>
      <vt:variant>
        <vt:i4>1208</vt:i4>
      </vt:variant>
      <vt:variant>
        <vt:i4>0</vt:i4>
      </vt:variant>
      <vt:variant>
        <vt:i4>5</vt:i4>
      </vt:variant>
      <vt:variant>
        <vt:lpwstr/>
      </vt:variant>
      <vt:variant>
        <vt:lpwstr>_Toc225417415</vt:lpwstr>
      </vt:variant>
      <vt:variant>
        <vt:i4>1507378</vt:i4>
      </vt:variant>
      <vt:variant>
        <vt:i4>1202</vt:i4>
      </vt:variant>
      <vt:variant>
        <vt:i4>0</vt:i4>
      </vt:variant>
      <vt:variant>
        <vt:i4>5</vt:i4>
      </vt:variant>
      <vt:variant>
        <vt:lpwstr/>
      </vt:variant>
      <vt:variant>
        <vt:lpwstr>_Toc225417414</vt:lpwstr>
      </vt:variant>
      <vt:variant>
        <vt:i4>1507378</vt:i4>
      </vt:variant>
      <vt:variant>
        <vt:i4>1196</vt:i4>
      </vt:variant>
      <vt:variant>
        <vt:i4>0</vt:i4>
      </vt:variant>
      <vt:variant>
        <vt:i4>5</vt:i4>
      </vt:variant>
      <vt:variant>
        <vt:lpwstr/>
      </vt:variant>
      <vt:variant>
        <vt:lpwstr>_Toc225417413</vt:lpwstr>
      </vt:variant>
      <vt:variant>
        <vt:i4>1507378</vt:i4>
      </vt:variant>
      <vt:variant>
        <vt:i4>1190</vt:i4>
      </vt:variant>
      <vt:variant>
        <vt:i4>0</vt:i4>
      </vt:variant>
      <vt:variant>
        <vt:i4>5</vt:i4>
      </vt:variant>
      <vt:variant>
        <vt:lpwstr/>
      </vt:variant>
      <vt:variant>
        <vt:lpwstr>_Toc225417412</vt:lpwstr>
      </vt:variant>
      <vt:variant>
        <vt:i4>1507378</vt:i4>
      </vt:variant>
      <vt:variant>
        <vt:i4>1184</vt:i4>
      </vt:variant>
      <vt:variant>
        <vt:i4>0</vt:i4>
      </vt:variant>
      <vt:variant>
        <vt:i4>5</vt:i4>
      </vt:variant>
      <vt:variant>
        <vt:lpwstr/>
      </vt:variant>
      <vt:variant>
        <vt:lpwstr>_Toc225417411</vt:lpwstr>
      </vt:variant>
      <vt:variant>
        <vt:i4>1507378</vt:i4>
      </vt:variant>
      <vt:variant>
        <vt:i4>1178</vt:i4>
      </vt:variant>
      <vt:variant>
        <vt:i4>0</vt:i4>
      </vt:variant>
      <vt:variant>
        <vt:i4>5</vt:i4>
      </vt:variant>
      <vt:variant>
        <vt:lpwstr/>
      </vt:variant>
      <vt:variant>
        <vt:lpwstr>_Toc225417410</vt:lpwstr>
      </vt:variant>
      <vt:variant>
        <vt:i4>1441842</vt:i4>
      </vt:variant>
      <vt:variant>
        <vt:i4>1172</vt:i4>
      </vt:variant>
      <vt:variant>
        <vt:i4>0</vt:i4>
      </vt:variant>
      <vt:variant>
        <vt:i4>5</vt:i4>
      </vt:variant>
      <vt:variant>
        <vt:lpwstr/>
      </vt:variant>
      <vt:variant>
        <vt:lpwstr>_Toc225417409</vt:lpwstr>
      </vt:variant>
      <vt:variant>
        <vt:i4>1441842</vt:i4>
      </vt:variant>
      <vt:variant>
        <vt:i4>1166</vt:i4>
      </vt:variant>
      <vt:variant>
        <vt:i4>0</vt:i4>
      </vt:variant>
      <vt:variant>
        <vt:i4>5</vt:i4>
      </vt:variant>
      <vt:variant>
        <vt:lpwstr/>
      </vt:variant>
      <vt:variant>
        <vt:lpwstr>_Toc225417408</vt:lpwstr>
      </vt:variant>
      <vt:variant>
        <vt:i4>1441842</vt:i4>
      </vt:variant>
      <vt:variant>
        <vt:i4>1160</vt:i4>
      </vt:variant>
      <vt:variant>
        <vt:i4>0</vt:i4>
      </vt:variant>
      <vt:variant>
        <vt:i4>5</vt:i4>
      </vt:variant>
      <vt:variant>
        <vt:lpwstr/>
      </vt:variant>
      <vt:variant>
        <vt:lpwstr>_Toc225417407</vt:lpwstr>
      </vt:variant>
      <vt:variant>
        <vt:i4>1441842</vt:i4>
      </vt:variant>
      <vt:variant>
        <vt:i4>1154</vt:i4>
      </vt:variant>
      <vt:variant>
        <vt:i4>0</vt:i4>
      </vt:variant>
      <vt:variant>
        <vt:i4>5</vt:i4>
      </vt:variant>
      <vt:variant>
        <vt:lpwstr/>
      </vt:variant>
      <vt:variant>
        <vt:lpwstr>_Toc225417406</vt:lpwstr>
      </vt:variant>
      <vt:variant>
        <vt:i4>1441842</vt:i4>
      </vt:variant>
      <vt:variant>
        <vt:i4>1148</vt:i4>
      </vt:variant>
      <vt:variant>
        <vt:i4>0</vt:i4>
      </vt:variant>
      <vt:variant>
        <vt:i4>5</vt:i4>
      </vt:variant>
      <vt:variant>
        <vt:lpwstr/>
      </vt:variant>
      <vt:variant>
        <vt:lpwstr>_Toc225417405</vt:lpwstr>
      </vt:variant>
      <vt:variant>
        <vt:i4>1441842</vt:i4>
      </vt:variant>
      <vt:variant>
        <vt:i4>1142</vt:i4>
      </vt:variant>
      <vt:variant>
        <vt:i4>0</vt:i4>
      </vt:variant>
      <vt:variant>
        <vt:i4>5</vt:i4>
      </vt:variant>
      <vt:variant>
        <vt:lpwstr/>
      </vt:variant>
      <vt:variant>
        <vt:lpwstr>_Toc225417404</vt:lpwstr>
      </vt:variant>
      <vt:variant>
        <vt:i4>1441842</vt:i4>
      </vt:variant>
      <vt:variant>
        <vt:i4>1136</vt:i4>
      </vt:variant>
      <vt:variant>
        <vt:i4>0</vt:i4>
      </vt:variant>
      <vt:variant>
        <vt:i4>5</vt:i4>
      </vt:variant>
      <vt:variant>
        <vt:lpwstr/>
      </vt:variant>
      <vt:variant>
        <vt:lpwstr>_Toc225417403</vt:lpwstr>
      </vt:variant>
      <vt:variant>
        <vt:i4>1441842</vt:i4>
      </vt:variant>
      <vt:variant>
        <vt:i4>1130</vt:i4>
      </vt:variant>
      <vt:variant>
        <vt:i4>0</vt:i4>
      </vt:variant>
      <vt:variant>
        <vt:i4>5</vt:i4>
      </vt:variant>
      <vt:variant>
        <vt:lpwstr/>
      </vt:variant>
      <vt:variant>
        <vt:lpwstr>_Toc225417402</vt:lpwstr>
      </vt:variant>
      <vt:variant>
        <vt:i4>1441842</vt:i4>
      </vt:variant>
      <vt:variant>
        <vt:i4>1124</vt:i4>
      </vt:variant>
      <vt:variant>
        <vt:i4>0</vt:i4>
      </vt:variant>
      <vt:variant>
        <vt:i4>5</vt:i4>
      </vt:variant>
      <vt:variant>
        <vt:lpwstr/>
      </vt:variant>
      <vt:variant>
        <vt:lpwstr>_Toc225417401</vt:lpwstr>
      </vt:variant>
      <vt:variant>
        <vt:i4>1441842</vt:i4>
      </vt:variant>
      <vt:variant>
        <vt:i4>1118</vt:i4>
      </vt:variant>
      <vt:variant>
        <vt:i4>0</vt:i4>
      </vt:variant>
      <vt:variant>
        <vt:i4>5</vt:i4>
      </vt:variant>
      <vt:variant>
        <vt:lpwstr/>
      </vt:variant>
      <vt:variant>
        <vt:lpwstr>_Toc225417400</vt:lpwstr>
      </vt:variant>
      <vt:variant>
        <vt:i4>2031669</vt:i4>
      </vt:variant>
      <vt:variant>
        <vt:i4>1112</vt:i4>
      </vt:variant>
      <vt:variant>
        <vt:i4>0</vt:i4>
      </vt:variant>
      <vt:variant>
        <vt:i4>5</vt:i4>
      </vt:variant>
      <vt:variant>
        <vt:lpwstr/>
      </vt:variant>
      <vt:variant>
        <vt:lpwstr>_Toc225417399</vt:lpwstr>
      </vt:variant>
      <vt:variant>
        <vt:i4>2031669</vt:i4>
      </vt:variant>
      <vt:variant>
        <vt:i4>1106</vt:i4>
      </vt:variant>
      <vt:variant>
        <vt:i4>0</vt:i4>
      </vt:variant>
      <vt:variant>
        <vt:i4>5</vt:i4>
      </vt:variant>
      <vt:variant>
        <vt:lpwstr/>
      </vt:variant>
      <vt:variant>
        <vt:lpwstr>_Toc225417398</vt:lpwstr>
      </vt:variant>
      <vt:variant>
        <vt:i4>2031669</vt:i4>
      </vt:variant>
      <vt:variant>
        <vt:i4>1100</vt:i4>
      </vt:variant>
      <vt:variant>
        <vt:i4>0</vt:i4>
      </vt:variant>
      <vt:variant>
        <vt:i4>5</vt:i4>
      </vt:variant>
      <vt:variant>
        <vt:lpwstr/>
      </vt:variant>
      <vt:variant>
        <vt:lpwstr>_Toc225417397</vt:lpwstr>
      </vt:variant>
      <vt:variant>
        <vt:i4>2031669</vt:i4>
      </vt:variant>
      <vt:variant>
        <vt:i4>1094</vt:i4>
      </vt:variant>
      <vt:variant>
        <vt:i4>0</vt:i4>
      </vt:variant>
      <vt:variant>
        <vt:i4>5</vt:i4>
      </vt:variant>
      <vt:variant>
        <vt:lpwstr/>
      </vt:variant>
      <vt:variant>
        <vt:lpwstr>_Toc225417396</vt:lpwstr>
      </vt:variant>
      <vt:variant>
        <vt:i4>2031669</vt:i4>
      </vt:variant>
      <vt:variant>
        <vt:i4>1088</vt:i4>
      </vt:variant>
      <vt:variant>
        <vt:i4>0</vt:i4>
      </vt:variant>
      <vt:variant>
        <vt:i4>5</vt:i4>
      </vt:variant>
      <vt:variant>
        <vt:lpwstr/>
      </vt:variant>
      <vt:variant>
        <vt:lpwstr>_Toc225417395</vt:lpwstr>
      </vt:variant>
      <vt:variant>
        <vt:i4>2031669</vt:i4>
      </vt:variant>
      <vt:variant>
        <vt:i4>1082</vt:i4>
      </vt:variant>
      <vt:variant>
        <vt:i4>0</vt:i4>
      </vt:variant>
      <vt:variant>
        <vt:i4>5</vt:i4>
      </vt:variant>
      <vt:variant>
        <vt:lpwstr/>
      </vt:variant>
      <vt:variant>
        <vt:lpwstr>_Toc225417394</vt:lpwstr>
      </vt:variant>
      <vt:variant>
        <vt:i4>2031669</vt:i4>
      </vt:variant>
      <vt:variant>
        <vt:i4>1076</vt:i4>
      </vt:variant>
      <vt:variant>
        <vt:i4>0</vt:i4>
      </vt:variant>
      <vt:variant>
        <vt:i4>5</vt:i4>
      </vt:variant>
      <vt:variant>
        <vt:lpwstr/>
      </vt:variant>
      <vt:variant>
        <vt:lpwstr>_Toc225417393</vt:lpwstr>
      </vt:variant>
      <vt:variant>
        <vt:i4>2031669</vt:i4>
      </vt:variant>
      <vt:variant>
        <vt:i4>1070</vt:i4>
      </vt:variant>
      <vt:variant>
        <vt:i4>0</vt:i4>
      </vt:variant>
      <vt:variant>
        <vt:i4>5</vt:i4>
      </vt:variant>
      <vt:variant>
        <vt:lpwstr/>
      </vt:variant>
      <vt:variant>
        <vt:lpwstr>_Toc225417392</vt:lpwstr>
      </vt:variant>
      <vt:variant>
        <vt:i4>2031669</vt:i4>
      </vt:variant>
      <vt:variant>
        <vt:i4>1064</vt:i4>
      </vt:variant>
      <vt:variant>
        <vt:i4>0</vt:i4>
      </vt:variant>
      <vt:variant>
        <vt:i4>5</vt:i4>
      </vt:variant>
      <vt:variant>
        <vt:lpwstr/>
      </vt:variant>
      <vt:variant>
        <vt:lpwstr>_Toc225417391</vt:lpwstr>
      </vt:variant>
      <vt:variant>
        <vt:i4>2031669</vt:i4>
      </vt:variant>
      <vt:variant>
        <vt:i4>1058</vt:i4>
      </vt:variant>
      <vt:variant>
        <vt:i4>0</vt:i4>
      </vt:variant>
      <vt:variant>
        <vt:i4>5</vt:i4>
      </vt:variant>
      <vt:variant>
        <vt:lpwstr/>
      </vt:variant>
      <vt:variant>
        <vt:lpwstr>_Toc225417390</vt:lpwstr>
      </vt:variant>
      <vt:variant>
        <vt:i4>1966133</vt:i4>
      </vt:variant>
      <vt:variant>
        <vt:i4>1052</vt:i4>
      </vt:variant>
      <vt:variant>
        <vt:i4>0</vt:i4>
      </vt:variant>
      <vt:variant>
        <vt:i4>5</vt:i4>
      </vt:variant>
      <vt:variant>
        <vt:lpwstr/>
      </vt:variant>
      <vt:variant>
        <vt:lpwstr>_Toc225417389</vt:lpwstr>
      </vt:variant>
      <vt:variant>
        <vt:i4>1966133</vt:i4>
      </vt:variant>
      <vt:variant>
        <vt:i4>1046</vt:i4>
      </vt:variant>
      <vt:variant>
        <vt:i4>0</vt:i4>
      </vt:variant>
      <vt:variant>
        <vt:i4>5</vt:i4>
      </vt:variant>
      <vt:variant>
        <vt:lpwstr/>
      </vt:variant>
      <vt:variant>
        <vt:lpwstr>_Toc225417388</vt:lpwstr>
      </vt:variant>
      <vt:variant>
        <vt:i4>1966133</vt:i4>
      </vt:variant>
      <vt:variant>
        <vt:i4>1040</vt:i4>
      </vt:variant>
      <vt:variant>
        <vt:i4>0</vt:i4>
      </vt:variant>
      <vt:variant>
        <vt:i4>5</vt:i4>
      </vt:variant>
      <vt:variant>
        <vt:lpwstr/>
      </vt:variant>
      <vt:variant>
        <vt:lpwstr>_Toc225417387</vt:lpwstr>
      </vt:variant>
      <vt:variant>
        <vt:i4>1966133</vt:i4>
      </vt:variant>
      <vt:variant>
        <vt:i4>1034</vt:i4>
      </vt:variant>
      <vt:variant>
        <vt:i4>0</vt:i4>
      </vt:variant>
      <vt:variant>
        <vt:i4>5</vt:i4>
      </vt:variant>
      <vt:variant>
        <vt:lpwstr/>
      </vt:variant>
      <vt:variant>
        <vt:lpwstr>_Toc225417386</vt:lpwstr>
      </vt:variant>
      <vt:variant>
        <vt:i4>1966133</vt:i4>
      </vt:variant>
      <vt:variant>
        <vt:i4>1028</vt:i4>
      </vt:variant>
      <vt:variant>
        <vt:i4>0</vt:i4>
      </vt:variant>
      <vt:variant>
        <vt:i4>5</vt:i4>
      </vt:variant>
      <vt:variant>
        <vt:lpwstr/>
      </vt:variant>
      <vt:variant>
        <vt:lpwstr>_Toc225417385</vt:lpwstr>
      </vt:variant>
      <vt:variant>
        <vt:i4>1966133</vt:i4>
      </vt:variant>
      <vt:variant>
        <vt:i4>1022</vt:i4>
      </vt:variant>
      <vt:variant>
        <vt:i4>0</vt:i4>
      </vt:variant>
      <vt:variant>
        <vt:i4>5</vt:i4>
      </vt:variant>
      <vt:variant>
        <vt:lpwstr/>
      </vt:variant>
      <vt:variant>
        <vt:lpwstr>_Toc225417384</vt:lpwstr>
      </vt:variant>
      <vt:variant>
        <vt:i4>1966133</vt:i4>
      </vt:variant>
      <vt:variant>
        <vt:i4>1016</vt:i4>
      </vt:variant>
      <vt:variant>
        <vt:i4>0</vt:i4>
      </vt:variant>
      <vt:variant>
        <vt:i4>5</vt:i4>
      </vt:variant>
      <vt:variant>
        <vt:lpwstr/>
      </vt:variant>
      <vt:variant>
        <vt:lpwstr>_Toc225417383</vt:lpwstr>
      </vt:variant>
      <vt:variant>
        <vt:i4>1966133</vt:i4>
      </vt:variant>
      <vt:variant>
        <vt:i4>1010</vt:i4>
      </vt:variant>
      <vt:variant>
        <vt:i4>0</vt:i4>
      </vt:variant>
      <vt:variant>
        <vt:i4>5</vt:i4>
      </vt:variant>
      <vt:variant>
        <vt:lpwstr/>
      </vt:variant>
      <vt:variant>
        <vt:lpwstr>_Toc225417382</vt:lpwstr>
      </vt:variant>
      <vt:variant>
        <vt:i4>1966133</vt:i4>
      </vt:variant>
      <vt:variant>
        <vt:i4>1004</vt:i4>
      </vt:variant>
      <vt:variant>
        <vt:i4>0</vt:i4>
      </vt:variant>
      <vt:variant>
        <vt:i4>5</vt:i4>
      </vt:variant>
      <vt:variant>
        <vt:lpwstr/>
      </vt:variant>
      <vt:variant>
        <vt:lpwstr>_Toc225417381</vt:lpwstr>
      </vt:variant>
      <vt:variant>
        <vt:i4>1966133</vt:i4>
      </vt:variant>
      <vt:variant>
        <vt:i4>998</vt:i4>
      </vt:variant>
      <vt:variant>
        <vt:i4>0</vt:i4>
      </vt:variant>
      <vt:variant>
        <vt:i4>5</vt:i4>
      </vt:variant>
      <vt:variant>
        <vt:lpwstr/>
      </vt:variant>
      <vt:variant>
        <vt:lpwstr>_Toc225417380</vt:lpwstr>
      </vt:variant>
      <vt:variant>
        <vt:i4>1114165</vt:i4>
      </vt:variant>
      <vt:variant>
        <vt:i4>992</vt:i4>
      </vt:variant>
      <vt:variant>
        <vt:i4>0</vt:i4>
      </vt:variant>
      <vt:variant>
        <vt:i4>5</vt:i4>
      </vt:variant>
      <vt:variant>
        <vt:lpwstr/>
      </vt:variant>
      <vt:variant>
        <vt:lpwstr>_Toc225417379</vt:lpwstr>
      </vt:variant>
      <vt:variant>
        <vt:i4>1114165</vt:i4>
      </vt:variant>
      <vt:variant>
        <vt:i4>986</vt:i4>
      </vt:variant>
      <vt:variant>
        <vt:i4>0</vt:i4>
      </vt:variant>
      <vt:variant>
        <vt:i4>5</vt:i4>
      </vt:variant>
      <vt:variant>
        <vt:lpwstr/>
      </vt:variant>
      <vt:variant>
        <vt:lpwstr>_Toc225417378</vt:lpwstr>
      </vt:variant>
      <vt:variant>
        <vt:i4>1114165</vt:i4>
      </vt:variant>
      <vt:variant>
        <vt:i4>980</vt:i4>
      </vt:variant>
      <vt:variant>
        <vt:i4>0</vt:i4>
      </vt:variant>
      <vt:variant>
        <vt:i4>5</vt:i4>
      </vt:variant>
      <vt:variant>
        <vt:lpwstr/>
      </vt:variant>
      <vt:variant>
        <vt:lpwstr>_Toc225417377</vt:lpwstr>
      </vt:variant>
      <vt:variant>
        <vt:i4>1114165</vt:i4>
      </vt:variant>
      <vt:variant>
        <vt:i4>974</vt:i4>
      </vt:variant>
      <vt:variant>
        <vt:i4>0</vt:i4>
      </vt:variant>
      <vt:variant>
        <vt:i4>5</vt:i4>
      </vt:variant>
      <vt:variant>
        <vt:lpwstr/>
      </vt:variant>
      <vt:variant>
        <vt:lpwstr>_Toc225417376</vt:lpwstr>
      </vt:variant>
      <vt:variant>
        <vt:i4>1114165</vt:i4>
      </vt:variant>
      <vt:variant>
        <vt:i4>968</vt:i4>
      </vt:variant>
      <vt:variant>
        <vt:i4>0</vt:i4>
      </vt:variant>
      <vt:variant>
        <vt:i4>5</vt:i4>
      </vt:variant>
      <vt:variant>
        <vt:lpwstr/>
      </vt:variant>
      <vt:variant>
        <vt:lpwstr>_Toc225417375</vt:lpwstr>
      </vt:variant>
      <vt:variant>
        <vt:i4>1114165</vt:i4>
      </vt:variant>
      <vt:variant>
        <vt:i4>962</vt:i4>
      </vt:variant>
      <vt:variant>
        <vt:i4>0</vt:i4>
      </vt:variant>
      <vt:variant>
        <vt:i4>5</vt:i4>
      </vt:variant>
      <vt:variant>
        <vt:lpwstr/>
      </vt:variant>
      <vt:variant>
        <vt:lpwstr>_Toc225417374</vt:lpwstr>
      </vt:variant>
      <vt:variant>
        <vt:i4>1114165</vt:i4>
      </vt:variant>
      <vt:variant>
        <vt:i4>956</vt:i4>
      </vt:variant>
      <vt:variant>
        <vt:i4>0</vt:i4>
      </vt:variant>
      <vt:variant>
        <vt:i4>5</vt:i4>
      </vt:variant>
      <vt:variant>
        <vt:lpwstr/>
      </vt:variant>
      <vt:variant>
        <vt:lpwstr>_Toc225417373</vt:lpwstr>
      </vt:variant>
      <vt:variant>
        <vt:i4>1114165</vt:i4>
      </vt:variant>
      <vt:variant>
        <vt:i4>950</vt:i4>
      </vt:variant>
      <vt:variant>
        <vt:i4>0</vt:i4>
      </vt:variant>
      <vt:variant>
        <vt:i4>5</vt:i4>
      </vt:variant>
      <vt:variant>
        <vt:lpwstr/>
      </vt:variant>
      <vt:variant>
        <vt:lpwstr>_Toc225417372</vt:lpwstr>
      </vt:variant>
      <vt:variant>
        <vt:i4>1114165</vt:i4>
      </vt:variant>
      <vt:variant>
        <vt:i4>944</vt:i4>
      </vt:variant>
      <vt:variant>
        <vt:i4>0</vt:i4>
      </vt:variant>
      <vt:variant>
        <vt:i4>5</vt:i4>
      </vt:variant>
      <vt:variant>
        <vt:lpwstr/>
      </vt:variant>
      <vt:variant>
        <vt:lpwstr>_Toc225417371</vt:lpwstr>
      </vt:variant>
      <vt:variant>
        <vt:i4>1114165</vt:i4>
      </vt:variant>
      <vt:variant>
        <vt:i4>938</vt:i4>
      </vt:variant>
      <vt:variant>
        <vt:i4>0</vt:i4>
      </vt:variant>
      <vt:variant>
        <vt:i4>5</vt:i4>
      </vt:variant>
      <vt:variant>
        <vt:lpwstr/>
      </vt:variant>
      <vt:variant>
        <vt:lpwstr>_Toc225417370</vt:lpwstr>
      </vt:variant>
      <vt:variant>
        <vt:i4>1048629</vt:i4>
      </vt:variant>
      <vt:variant>
        <vt:i4>932</vt:i4>
      </vt:variant>
      <vt:variant>
        <vt:i4>0</vt:i4>
      </vt:variant>
      <vt:variant>
        <vt:i4>5</vt:i4>
      </vt:variant>
      <vt:variant>
        <vt:lpwstr/>
      </vt:variant>
      <vt:variant>
        <vt:lpwstr>_Toc225417369</vt:lpwstr>
      </vt:variant>
      <vt:variant>
        <vt:i4>1048629</vt:i4>
      </vt:variant>
      <vt:variant>
        <vt:i4>926</vt:i4>
      </vt:variant>
      <vt:variant>
        <vt:i4>0</vt:i4>
      </vt:variant>
      <vt:variant>
        <vt:i4>5</vt:i4>
      </vt:variant>
      <vt:variant>
        <vt:lpwstr/>
      </vt:variant>
      <vt:variant>
        <vt:lpwstr>_Toc225417368</vt:lpwstr>
      </vt:variant>
      <vt:variant>
        <vt:i4>1048629</vt:i4>
      </vt:variant>
      <vt:variant>
        <vt:i4>920</vt:i4>
      </vt:variant>
      <vt:variant>
        <vt:i4>0</vt:i4>
      </vt:variant>
      <vt:variant>
        <vt:i4>5</vt:i4>
      </vt:variant>
      <vt:variant>
        <vt:lpwstr/>
      </vt:variant>
      <vt:variant>
        <vt:lpwstr>_Toc225417367</vt:lpwstr>
      </vt:variant>
      <vt:variant>
        <vt:i4>1048629</vt:i4>
      </vt:variant>
      <vt:variant>
        <vt:i4>914</vt:i4>
      </vt:variant>
      <vt:variant>
        <vt:i4>0</vt:i4>
      </vt:variant>
      <vt:variant>
        <vt:i4>5</vt:i4>
      </vt:variant>
      <vt:variant>
        <vt:lpwstr/>
      </vt:variant>
      <vt:variant>
        <vt:lpwstr>_Toc225417366</vt:lpwstr>
      </vt:variant>
      <vt:variant>
        <vt:i4>1048629</vt:i4>
      </vt:variant>
      <vt:variant>
        <vt:i4>908</vt:i4>
      </vt:variant>
      <vt:variant>
        <vt:i4>0</vt:i4>
      </vt:variant>
      <vt:variant>
        <vt:i4>5</vt:i4>
      </vt:variant>
      <vt:variant>
        <vt:lpwstr/>
      </vt:variant>
      <vt:variant>
        <vt:lpwstr>_Toc225417365</vt:lpwstr>
      </vt:variant>
      <vt:variant>
        <vt:i4>1048629</vt:i4>
      </vt:variant>
      <vt:variant>
        <vt:i4>902</vt:i4>
      </vt:variant>
      <vt:variant>
        <vt:i4>0</vt:i4>
      </vt:variant>
      <vt:variant>
        <vt:i4>5</vt:i4>
      </vt:variant>
      <vt:variant>
        <vt:lpwstr/>
      </vt:variant>
      <vt:variant>
        <vt:lpwstr>_Toc225417364</vt:lpwstr>
      </vt:variant>
      <vt:variant>
        <vt:i4>1048629</vt:i4>
      </vt:variant>
      <vt:variant>
        <vt:i4>896</vt:i4>
      </vt:variant>
      <vt:variant>
        <vt:i4>0</vt:i4>
      </vt:variant>
      <vt:variant>
        <vt:i4>5</vt:i4>
      </vt:variant>
      <vt:variant>
        <vt:lpwstr/>
      </vt:variant>
      <vt:variant>
        <vt:lpwstr>_Toc225417363</vt:lpwstr>
      </vt:variant>
      <vt:variant>
        <vt:i4>1048629</vt:i4>
      </vt:variant>
      <vt:variant>
        <vt:i4>890</vt:i4>
      </vt:variant>
      <vt:variant>
        <vt:i4>0</vt:i4>
      </vt:variant>
      <vt:variant>
        <vt:i4>5</vt:i4>
      </vt:variant>
      <vt:variant>
        <vt:lpwstr/>
      </vt:variant>
      <vt:variant>
        <vt:lpwstr>_Toc225417362</vt:lpwstr>
      </vt:variant>
      <vt:variant>
        <vt:i4>1048629</vt:i4>
      </vt:variant>
      <vt:variant>
        <vt:i4>884</vt:i4>
      </vt:variant>
      <vt:variant>
        <vt:i4>0</vt:i4>
      </vt:variant>
      <vt:variant>
        <vt:i4>5</vt:i4>
      </vt:variant>
      <vt:variant>
        <vt:lpwstr/>
      </vt:variant>
      <vt:variant>
        <vt:lpwstr>_Toc225417361</vt:lpwstr>
      </vt:variant>
      <vt:variant>
        <vt:i4>1048629</vt:i4>
      </vt:variant>
      <vt:variant>
        <vt:i4>878</vt:i4>
      </vt:variant>
      <vt:variant>
        <vt:i4>0</vt:i4>
      </vt:variant>
      <vt:variant>
        <vt:i4>5</vt:i4>
      </vt:variant>
      <vt:variant>
        <vt:lpwstr/>
      </vt:variant>
      <vt:variant>
        <vt:lpwstr>_Toc225417360</vt:lpwstr>
      </vt:variant>
      <vt:variant>
        <vt:i4>1245237</vt:i4>
      </vt:variant>
      <vt:variant>
        <vt:i4>872</vt:i4>
      </vt:variant>
      <vt:variant>
        <vt:i4>0</vt:i4>
      </vt:variant>
      <vt:variant>
        <vt:i4>5</vt:i4>
      </vt:variant>
      <vt:variant>
        <vt:lpwstr/>
      </vt:variant>
      <vt:variant>
        <vt:lpwstr>_Toc225417359</vt:lpwstr>
      </vt:variant>
      <vt:variant>
        <vt:i4>1245237</vt:i4>
      </vt:variant>
      <vt:variant>
        <vt:i4>866</vt:i4>
      </vt:variant>
      <vt:variant>
        <vt:i4>0</vt:i4>
      </vt:variant>
      <vt:variant>
        <vt:i4>5</vt:i4>
      </vt:variant>
      <vt:variant>
        <vt:lpwstr/>
      </vt:variant>
      <vt:variant>
        <vt:lpwstr>_Toc225417358</vt:lpwstr>
      </vt:variant>
      <vt:variant>
        <vt:i4>1245237</vt:i4>
      </vt:variant>
      <vt:variant>
        <vt:i4>860</vt:i4>
      </vt:variant>
      <vt:variant>
        <vt:i4>0</vt:i4>
      </vt:variant>
      <vt:variant>
        <vt:i4>5</vt:i4>
      </vt:variant>
      <vt:variant>
        <vt:lpwstr/>
      </vt:variant>
      <vt:variant>
        <vt:lpwstr>_Toc225417357</vt:lpwstr>
      </vt:variant>
      <vt:variant>
        <vt:i4>1245237</vt:i4>
      </vt:variant>
      <vt:variant>
        <vt:i4>854</vt:i4>
      </vt:variant>
      <vt:variant>
        <vt:i4>0</vt:i4>
      </vt:variant>
      <vt:variant>
        <vt:i4>5</vt:i4>
      </vt:variant>
      <vt:variant>
        <vt:lpwstr/>
      </vt:variant>
      <vt:variant>
        <vt:lpwstr>_Toc225417356</vt:lpwstr>
      </vt:variant>
      <vt:variant>
        <vt:i4>1245237</vt:i4>
      </vt:variant>
      <vt:variant>
        <vt:i4>848</vt:i4>
      </vt:variant>
      <vt:variant>
        <vt:i4>0</vt:i4>
      </vt:variant>
      <vt:variant>
        <vt:i4>5</vt:i4>
      </vt:variant>
      <vt:variant>
        <vt:lpwstr/>
      </vt:variant>
      <vt:variant>
        <vt:lpwstr>_Toc225417355</vt:lpwstr>
      </vt:variant>
      <vt:variant>
        <vt:i4>1245237</vt:i4>
      </vt:variant>
      <vt:variant>
        <vt:i4>842</vt:i4>
      </vt:variant>
      <vt:variant>
        <vt:i4>0</vt:i4>
      </vt:variant>
      <vt:variant>
        <vt:i4>5</vt:i4>
      </vt:variant>
      <vt:variant>
        <vt:lpwstr/>
      </vt:variant>
      <vt:variant>
        <vt:lpwstr>_Toc225417354</vt:lpwstr>
      </vt:variant>
      <vt:variant>
        <vt:i4>1245237</vt:i4>
      </vt:variant>
      <vt:variant>
        <vt:i4>836</vt:i4>
      </vt:variant>
      <vt:variant>
        <vt:i4>0</vt:i4>
      </vt:variant>
      <vt:variant>
        <vt:i4>5</vt:i4>
      </vt:variant>
      <vt:variant>
        <vt:lpwstr/>
      </vt:variant>
      <vt:variant>
        <vt:lpwstr>_Toc225417353</vt:lpwstr>
      </vt:variant>
      <vt:variant>
        <vt:i4>1245237</vt:i4>
      </vt:variant>
      <vt:variant>
        <vt:i4>830</vt:i4>
      </vt:variant>
      <vt:variant>
        <vt:i4>0</vt:i4>
      </vt:variant>
      <vt:variant>
        <vt:i4>5</vt:i4>
      </vt:variant>
      <vt:variant>
        <vt:lpwstr/>
      </vt:variant>
      <vt:variant>
        <vt:lpwstr>_Toc225417352</vt:lpwstr>
      </vt:variant>
      <vt:variant>
        <vt:i4>1245237</vt:i4>
      </vt:variant>
      <vt:variant>
        <vt:i4>824</vt:i4>
      </vt:variant>
      <vt:variant>
        <vt:i4>0</vt:i4>
      </vt:variant>
      <vt:variant>
        <vt:i4>5</vt:i4>
      </vt:variant>
      <vt:variant>
        <vt:lpwstr/>
      </vt:variant>
      <vt:variant>
        <vt:lpwstr>_Toc225417351</vt:lpwstr>
      </vt:variant>
      <vt:variant>
        <vt:i4>1245237</vt:i4>
      </vt:variant>
      <vt:variant>
        <vt:i4>818</vt:i4>
      </vt:variant>
      <vt:variant>
        <vt:i4>0</vt:i4>
      </vt:variant>
      <vt:variant>
        <vt:i4>5</vt:i4>
      </vt:variant>
      <vt:variant>
        <vt:lpwstr/>
      </vt:variant>
      <vt:variant>
        <vt:lpwstr>_Toc225417350</vt:lpwstr>
      </vt:variant>
      <vt:variant>
        <vt:i4>1179701</vt:i4>
      </vt:variant>
      <vt:variant>
        <vt:i4>812</vt:i4>
      </vt:variant>
      <vt:variant>
        <vt:i4>0</vt:i4>
      </vt:variant>
      <vt:variant>
        <vt:i4>5</vt:i4>
      </vt:variant>
      <vt:variant>
        <vt:lpwstr/>
      </vt:variant>
      <vt:variant>
        <vt:lpwstr>_Toc225417349</vt:lpwstr>
      </vt:variant>
      <vt:variant>
        <vt:i4>1179701</vt:i4>
      </vt:variant>
      <vt:variant>
        <vt:i4>806</vt:i4>
      </vt:variant>
      <vt:variant>
        <vt:i4>0</vt:i4>
      </vt:variant>
      <vt:variant>
        <vt:i4>5</vt:i4>
      </vt:variant>
      <vt:variant>
        <vt:lpwstr/>
      </vt:variant>
      <vt:variant>
        <vt:lpwstr>_Toc225417348</vt:lpwstr>
      </vt:variant>
      <vt:variant>
        <vt:i4>1179701</vt:i4>
      </vt:variant>
      <vt:variant>
        <vt:i4>800</vt:i4>
      </vt:variant>
      <vt:variant>
        <vt:i4>0</vt:i4>
      </vt:variant>
      <vt:variant>
        <vt:i4>5</vt:i4>
      </vt:variant>
      <vt:variant>
        <vt:lpwstr/>
      </vt:variant>
      <vt:variant>
        <vt:lpwstr>_Toc225417347</vt:lpwstr>
      </vt:variant>
      <vt:variant>
        <vt:i4>1179701</vt:i4>
      </vt:variant>
      <vt:variant>
        <vt:i4>794</vt:i4>
      </vt:variant>
      <vt:variant>
        <vt:i4>0</vt:i4>
      </vt:variant>
      <vt:variant>
        <vt:i4>5</vt:i4>
      </vt:variant>
      <vt:variant>
        <vt:lpwstr/>
      </vt:variant>
      <vt:variant>
        <vt:lpwstr>_Toc225417346</vt:lpwstr>
      </vt:variant>
      <vt:variant>
        <vt:i4>1179701</vt:i4>
      </vt:variant>
      <vt:variant>
        <vt:i4>788</vt:i4>
      </vt:variant>
      <vt:variant>
        <vt:i4>0</vt:i4>
      </vt:variant>
      <vt:variant>
        <vt:i4>5</vt:i4>
      </vt:variant>
      <vt:variant>
        <vt:lpwstr/>
      </vt:variant>
      <vt:variant>
        <vt:lpwstr>_Toc225417345</vt:lpwstr>
      </vt:variant>
      <vt:variant>
        <vt:i4>1179701</vt:i4>
      </vt:variant>
      <vt:variant>
        <vt:i4>782</vt:i4>
      </vt:variant>
      <vt:variant>
        <vt:i4>0</vt:i4>
      </vt:variant>
      <vt:variant>
        <vt:i4>5</vt:i4>
      </vt:variant>
      <vt:variant>
        <vt:lpwstr/>
      </vt:variant>
      <vt:variant>
        <vt:lpwstr>_Toc225417344</vt:lpwstr>
      </vt:variant>
      <vt:variant>
        <vt:i4>1179701</vt:i4>
      </vt:variant>
      <vt:variant>
        <vt:i4>776</vt:i4>
      </vt:variant>
      <vt:variant>
        <vt:i4>0</vt:i4>
      </vt:variant>
      <vt:variant>
        <vt:i4>5</vt:i4>
      </vt:variant>
      <vt:variant>
        <vt:lpwstr/>
      </vt:variant>
      <vt:variant>
        <vt:lpwstr>_Toc225417343</vt:lpwstr>
      </vt:variant>
      <vt:variant>
        <vt:i4>1179701</vt:i4>
      </vt:variant>
      <vt:variant>
        <vt:i4>770</vt:i4>
      </vt:variant>
      <vt:variant>
        <vt:i4>0</vt:i4>
      </vt:variant>
      <vt:variant>
        <vt:i4>5</vt:i4>
      </vt:variant>
      <vt:variant>
        <vt:lpwstr/>
      </vt:variant>
      <vt:variant>
        <vt:lpwstr>_Toc225417342</vt:lpwstr>
      </vt:variant>
      <vt:variant>
        <vt:i4>1179701</vt:i4>
      </vt:variant>
      <vt:variant>
        <vt:i4>764</vt:i4>
      </vt:variant>
      <vt:variant>
        <vt:i4>0</vt:i4>
      </vt:variant>
      <vt:variant>
        <vt:i4>5</vt:i4>
      </vt:variant>
      <vt:variant>
        <vt:lpwstr/>
      </vt:variant>
      <vt:variant>
        <vt:lpwstr>_Toc225417341</vt:lpwstr>
      </vt:variant>
      <vt:variant>
        <vt:i4>1179701</vt:i4>
      </vt:variant>
      <vt:variant>
        <vt:i4>758</vt:i4>
      </vt:variant>
      <vt:variant>
        <vt:i4>0</vt:i4>
      </vt:variant>
      <vt:variant>
        <vt:i4>5</vt:i4>
      </vt:variant>
      <vt:variant>
        <vt:lpwstr/>
      </vt:variant>
      <vt:variant>
        <vt:lpwstr>_Toc225417340</vt:lpwstr>
      </vt:variant>
      <vt:variant>
        <vt:i4>1376309</vt:i4>
      </vt:variant>
      <vt:variant>
        <vt:i4>752</vt:i4>
      </vt:variant>
      <vt:variant>
        <vt:i4>0</vt:i4>
      </vt:variant>
      <vt:variant>
        <vt:i4>5</vt:i4>
      </vt:variant>
      <vt:variant>
        <vt:lpwstr/>
      </vt:variant>
      <vt:variant>
        <vt:lpwstr>_Toc225417339</vt:lpwstr>
      </vt:variant>
      <vt:variant>
        <vt:i4>1376309</vt:i4>
      </vt:variant>
      <vt:variant>
        <vt:i4>746</vt:i4>
      </vt:variant>
      <vt:variant>
        <vt:i4>0</vt:i4>
      </vt:variant>
      <vt:variant>
        <vt:i4>5</vt:i4>
      </vt:variant>
      <vt:variant>
        <vt:lpwstr/>
      </vt:variant>
      <vt:variant>
        <vt:lpwstr>_Toc225417338</vt:lpwstr>
      </vt:variant>
      <vt:variant>
        <vt:i4>1376309</vt:i4>
      </vt:variant>
      <vt:variant>
        <vt:i4>740</vt:i4>
      </vt:variant>
      <vt:variant>
        <vt:i4>0</vt:i4>
      </vt:variant>
      <vt:variant>
        <vt:i4>5</vt:i4>
      </vt:variant>
      <vt:variant>
        <vt:lpwstr/>
      </vt:variant>
      <vt:variant>
        <vt:lpwstr>_Toc225417337</vt:lpwstr>
      </vt:variant>
      <vt:variant>
        <vt:i4>1376309</vt:i4>
      </vt:variant>
      <vt:variant>
        <vt:i4>734</vt:i4>
      </vt:variant>
      <vt:variant>
        <vt:i4>0</vt:i4>
      </vt:variant>
      <vt:variant>
        <vt:i4>5</vt:i4>
      </vt:variant>
      <vt:variant>
        <vt:lpwstr/>
      </vt:variant>
      <vt:variant>
        <vt:lpwstr>_Toc225417336</vt:lpwstr>
      </vt:variant>
      <vt:variant>
        <vt:i4>1376309</vt:i4>
      </vt:variant>
      <vt:variant>
        <vt:i4>728</vt:i4>
      </vt:variant>
      <vt:variant>
        <vt:i4>0</vt:i4>
      </vt:variant>
      <vt:variant>
        <vt:i4>5</vt:i4>
      </vt:variant>
      <vt:variant>
        <vt:lpwstr/>
      </vt:variant>
      <vt:variant>
        <vt:lpwstr>_Toc225417335</vt:lpwstr>
      </vt:variant>
      <vt:variant>
        <vt:i4>1376309</vt:i4>
      </vt:variant>
      <vt:variant>
        <vt:i4>722</vt:i4>
      </vt:variant>
      <vt:variant>
        <vt:i4>0</vt:i4>
      </vt:variant>
      <vt:variant>
        <vt:i4>5</vt:i4>
      </vt:variant>
      <vt:variant>
        <vt:lpwstr/>
      </vt:variant>
      <vt:variant>
        <vt:lpwstr>_Toc225417334</vt:lpwstr>
      </vt:variant>
      <vt:variant>
        <vt:i4>1376309</vt:i4>
      </vt:variant>
      <vt:variant>
        <vt:i4>716</vt:i4>
      </vt:variant>
      <vt:variant>
        <vt:i4>0</vt:i4>
      </vt:variant>
      <vt:variant>
        <vt:i4>5</vt:i4>
      </vt:variant>
      <vt:variant>
        <vt:lpwstr/>
      </vt:variant>
      <vt:variant>
        <vt:lpwstr>_Toc225417333</vt:lpwstr>
      </vt:variant>
      <vt:variant>
        <vt:i4>1376309</vt:i4>
      </vt:variant>
      <vt:variant>
        <vt:i4>710</vt:i4>
      </vt:variant>
      <vt:variant>
        <vt:i4>0</vt:i4>
      </vt:variant>
      <vt:variant>
        <vt:i4>5</vt:i4>
      </vt:variant>
      <vt:variant>
        <vt:lpwstr/>
      </vt:variant>
      <vt:variant>
        <vt:lpwstr>_Toc225417332</vt:lpwstr>
      </vt:variant>
      <vt:variant>
        <vt:i4>1376309</vt:i4>
      </vt:variant>
      <vt:variant>
        <vt:i4>704</vt:i4>
      </vt:variant>
      <vt:variant>
        <vt:i4>0</vt:i4>
      </vt:variant>
      <vt:variant>
        <vt:i4>5</vt:i4>
      </vt:variant>
      <vt:variant>
        <vt:lpwstr/>
      </vt:variant>
      <vt:variant>
        <vt:lpwstr>_Toc225417331</vt:lpwstr>
      </vt:variant>
      <vt:variant>
        <vt:i4>1376309</vt:i4>
      </vt:variant>
      <vt:variant>
        <vt:i4>698</vt:i4>
      </vt:variant>
      <vt:variant>
        <vt:i4>0</vt:i4>
      </vt:variant>
      <vt:variant>
        <vt:i4>5</vt:i4>
      </vt:variant>
      <vt:variant>
        <vt:lpwstr/>
      </vt:variant>
      <vt:variant>
        <vt:lpwstr>_Toc225417330</vt:lpwstr>
      </vt:variant>
      <vt:variant>
        <vt:i4>1310773</vt:i4>
      </vt:variant>
      <vt:variant>
        <vt:i4>692</vt:i4>
      </vt:variant>
      <vt:variant>
        <vt:i4>0</vt:i4>
      </vt:variant>
      <vt:variant>
        <vt:i4>5</vt:i4>
      </vt:variant>
      <vt:variant>
        <vt:lpwstr/>
      </vt:variant>
      <vt:variant>
        <vt:lpwstr>_Toc225417329</vt:lpwstr>
      </vt:variant>
      <vt:variant>
        <vt:i4>1310773</vt:i4>
      </vt:variant>
      <vt:variant>
        <vt:i4>686</vt:i4>
      </vt:variant>
      <vt:variant>
        <vt:i4>0</vt:i4>
      </vt:variant>
      <vt:variant>
        <vt:i4>5</vt:i4>
      </vt:variant>
      <vt:variant>
        <vt:lpwstr/>
      </vt:variant>
      <vt:variant>
        <vt:lpwstr>_Toc225417328</vt:lpwstr>
      </vt:variant>
      <vt:variant>
        <vt:i4>1310773</vt:i4>
      </vt:variant>
      <vt:variant>
        <vt:i4>680</vt:i4>
      </vt:variant>
      <vt:variant>
        <vt:i4>0</vt:i4>
      </vt:variant>
      <vt:variant>
        <vt:i4>5</vt:i4>
      </vt:variant>
      <vt:variant>
        <vt:lpwstr/>
      </vt:variant>
      <vt:variant>
        <vt:lpwstr>_Toc225417327</vt:lpwstr>
      </vt:variant>
      <vt:variant>
        <vt:i4>1310773</vt:i4>
      </vt:variant>
      <vt:variant>
        <vt:i4>674</vt:i4>
      </vt:variant>
      <vt:variant>
        <vt:i4>0</vt:i4>
      </vt:variant>
      <vt:variant>
        <vt:i4>5</vt:i4>
      </vt:variant>
      <vt:variant>
        <vt:lpwstr/>
      </vt:variant>
      <vt:variant>
        <vt:lpwstr>_Toc225417326</vt:lpwstr>
      </vt:variant>
      <vt:variant>
        <vt:i4>1310773</vt:i4>
      </vt:variant>
      <vt:variant>
        <vt:i4>668</vt:i4>
      </vt:variant>
      <vt:variant>
        <vt:i4>0</vt:i4>
      </vt:variant>
      <vt:variant>
        <vt:i4>5</vt:i4>
      </vt:variant>
      <vt:variant>
        <vt:lpwstr/>
      </vt:variant>
      <vt:variant>
        <vt:lpwstr>_Toc225417325</vt:lpwstr>
      </vt:variant>
      <vt:variant>
        <vt:i4>1310773</vt:i4>
      </vt:variant>
      <vt:variant>
        <vt:i4>662</vt:i4>
      </vt:variant>
      <vt:variant>
        <vt:i4>0</vt:i4>
      </vt:variant>
      <vt:variant>
        <vt:i4>5</vt:i4>
      </vt:variant>
      <vt:variant>
        <vt:lpwstr/>
      </vt:variant>
      <vt:variant>
        <vt:lpwstr>_Toc225417324</vt:lpwstr>
      </vt:variant>
      <vt:variant>
        <vt:i4>1310773</vt:i4>
      </vt:variant>
      <vt:variant>
        <vt:i4>656</vt:i4>
      </vt:variant>
      <vt:variant>
        <vt:i4>0</vt:i4>
      </vt:variant>
      <vt:variant>
        <vt:i4>5</vt:i4>
      </vt:variant>
      <vt:variant>
        <vt:lpwstr/>
      </vt:variant>
      <vt:variant>
        <vt:lpwstr>_Toc225417323</vt:lpwstr>
      </vt:variant>
      <vt:variant>
        <vt:i4>1310773</vt:i4>
      </vt:variant>
      <vt:variant>
        <vt:i4>650</vt:i4>
      </vt:variant>
      <vt:variant>
        <vt:i4>0</vt:i4>
      </vt:variant>
      <vt:variant>
        <vt:i4>5</vt:i4>
      </vt:variant>
      <vt:variant>
        <vt:lpwstr/>
      </vt:variant>
      <vt:variant>
        <vt:lpwstr>_Toc225417322</vt:lpwstr>
      </vt:variant>
      <vt:variant>
        <vt:i4>1310773</vt:i4>
      </vt:variant>
      <vt:variant>
        <vt:i4>644</vt:i4>
      </vt:variant>
      <vt:variant>
        <vt:i4>0</vt:i4>
      </vt:variant>
      <vt:variant>
        <vt:i4>5</vt:i4>
      </vt:variant>
      <vt:variant>
        <vt:lpwstr/>
      </vt:variant>
      <vt:variant>
        <vt:lpwstr>_Toc225417321</vt:lpwstr>
      </vt:variant>
      <vt:variant>
        <vt:i4>1310773</vt:i4>
      </vt:variant>
      <vt:variant>
        <vt:i4>638</vt:i4>
      </vt:variant>
      <vt:variant>
        <vt:i4>0</vt:i4>
      </vt:variant>
      <vt:variant>
        <vt:i4>5</vt:i4>
      </vt:variant>
      <vt:variant>
        <vt:lpwstr/>
      </vt:variant>
      <vt:variant>
        <vt:lpwstr>_Toc225417320</vt:lpwstr>
      </vt:variant>
      <vt:variant>
        <vt:i4>1507381</vt:i4>
      </vt:variant>
      <vt:variant>
        <vt:i4>632</vt:i4>
      </vt:variant>
      <vt:variant>
        <vt:i4>0</vt:i4>
      </vt:variant>
      <vt:variant>
        <vt:i4>5</vt:i4>
      </vt:variant>
      <vt:variant>
        <vt:lpwstr/>
      </vt:variant>
      <vt:variant>
        <vt:lpwstr>_Toc225417319</vt:lpwstr>
      </vt:variant>
      <vt:variant>
        <vt:i4>1507381</vt:i4>
      </vt:variant>
      <vt:variant>
        <vt:i4>626</vt:i4>
      </vt:variant>
      <vt:variant>
        <vt:i4>0</vt:i4>
      </vt:variant>
      <vt:variant>
        <vt:i4>5</vt:i4>
      </vt:variant>
      <vt:variant>
        <vt:lpwstr/>
      </vt:variant>
      <vt:variant>
        <vt:lpwstr>_Toc225417318</vt:lpwstr>
      </vt:variant>
      <vt:variant>
        <vt:i4>1507381</vt:i4>
      </vt:variant>
      <vt:variant>
        <vt:i4>620</vt:i4>
      </vt:variant>
      <vt:variant>
        <vt:i4>0</vt:i4>
      </vt:variant>
      <vt:variant>
        <vt:i4>5</vt:i4>
      </vt:variant>
      <vt:variant>
        <vt:lpwstr/>
      </vt:variant>
      <vt:variant>
        <vt:lpwstr>_Toc225417317</vt:lpwstr>
      </vt:variant>
      <vt:variant>
        <vt:i4>1507381</vt:i4>
      </vt:variant>
      <vt:variant>
        <vt:i4>614</vt:i4>
      </vt:variant>
      <vt:variant>
        <vt:i4>0</vt:i4>
      </vt:variant>
      <vt:variant>
        <vt:i4>5</vt:i4>
      </vt:variant>
      <vt:variant>
        <vt:lpwstr/>
      </vt:variant>
      <vt:variant>
        <vt:lpwstr>_Toc225417316</vt:lpwstr>
      </vt:variant>
      <vt:variant>
        <vt:i4>1507381</vt:i4>
      </vt:variant>
      <vt:variant>
        <vt:i4>608</vt:i4>
      </vt:variant>
      <vt:variant>
        <vt:i4>0</vt:i4>
      </vt:variant>
      <vt:variant>
        <vt:i4>5</vt:i4>
      </vt:variant>
      <vt:variant>
        <vt:lpwstr/>
      </vt:variant>
      <vt:variant>
        <vt:lpwstr>_Toc225417315</vt:lpwstr>
      </vt:variant>
      <vt:variant>
        <vt:i4>1507381</vt:i4>
      </vt:variant>
      <vt:variant>
        <vt:i4>602</vt:i4>
      </vt:variant>
      <vt:variant>
        <vt:i4>0</vt:i4>
      </vt:variant>
      <vt:variant>
        <vt:i4>5</vt:i4>
      </vt:variant>
      <vt:variant>
        <vt:lpwstr/>
      </vt:variant>
      <vt:variant>
        <vt:lpwstr>_Toc225417314</vt:lpwstr>
      </vt:variant>
      <vt:variant>
        <vt:i4>1507381</vt:i4>
      </vt:variant>
      <vt:variant>
        <vt:i4>596</vt:i4>
      </vt:variant>
      <vt:variant>
        <vt:i4>0</vt:i4>
      </vt:variant>
      <vt:variant>
        <vt:i4>5</vt:i4>
      </vt:variant>
      <vt:variant>
        <vt:lpwstr/>
      </vt:variant>
      <vt:variant>
        <vt:lpwstr>_Toc225417313</vt:lpwstr>
      </vt:variant>
      <vt:variant>
        <vt:i4>1507381</vt:i4>
      </vt:variant>
      <vt:variant>
        <vt:i4>590</vt:i4>
      </vt:variant>
      <vt:variant>
        <vt:i4>0</vt:i4>
      </vt:variant>
      <vt:variant>
        <vt:i4>5</vt:i4>
      </vt:variant>
      <vt:variant>
        <vt:lpwstr/>
      </vt:variant>
      <vt:variant>
        <vt:lpwstr>_Toc225417312</vt:lpwstr>
      </vt:variant>
      <vt:variant>
        <vt:i4>1507381</vt:i4>
      </vt:variant>
      <vt:variant>
        <vt:i4>584</vt:i4>
      </vt:variant>
      <vt:variant>
        <vt:i4>0</vt:i4>
      </vt:variant>
      <vt:variant>
        <vt:i4>5</vt:i4>
      </vt:variant>
      <vt:variant>
        <vt:lpwstr/>
      </vt:variant>
      <vt:variant>
        <vt:lpwstr>_Toc225417311</vt:lpwstr>
      </vt:variant>
      <vt:variant>
        <vt:i4>1507381</vt:i4>
      </vt:variant>
      <vt:variant>
        <vt:i4>578</vt:i4>
      </vt:variant>
      <vt:variant>
        <vt:i4>0</vt:i4>
      </vt:variant>
      <vt:variant>
        <vt:i4>5</vt:i4>
      </vt:variant>
      <vt:variant>
        <vt:lpwstr/>
      </vt:variant>
      <vt:variant>
        <vt:lpwstr>_Toc225417310</vt:lpwstr>
      </vt:variant>
      <vt:variant>
        <vt:i4>1441845</vt:i4>
      </vt:variant>
      <vt:variant>
        <vt:i4>572</vt:i4>
      </vt:variant>
      <vt:variant>
        <vt:i4>0</vt:i4>
      </vt:variant>
      <vt:variant>
        <vt:i4>5</vt:i4>
      </vt:variant>
      <vt:variant>
        <vt:lpwstr/>
      </vt:variant>
      <vt:variant>
        <vt:lpwstr>_Toc225417309</vt:lpwstr>
      </vt:variant>
      <vt:variant>
        <vt:i4>1441845</vt:i4>
      </vt:variant>
      <vt:variant>
        <vt:i4>566</vt:i4>
      </vt:variant>
      <vt:variant>
        <vt:i4>0</vt:i4>
      </vt:variant>
      <vt:variant>
        <vt:i4>5</vt:i4>
      </vt:variant>
      <vt:variant>
        <vt:lpwstr/>
      </vt:variant>
      <vt:variant>
        <vt:lpwstr>_Toc225417308</vt:lpwstr>
      </vt:variant>
      <vt:variant>
        <vt:i4>1441845</vt:i4>
      </vt:variant>
      <vt:variant>
        <vt:i4>560</vt:i4>
      </vt:variant>
      <vt:variant>
        <vt:i4>0</vt:i4>
      </vt:variant>
      <vt:variant>
        <vt:i4>5</vt:i4>
      </vt:variant>
      <vt:variant>
        <vt:lpwstr/>
      </vt:variant>
      <vt:variant>
        <vt:lpwstr>_Toc225417307</vt:lpwstr>
      </vt:variant>
      <vt:variant>
        <vt:i4>1441845</vt:i4>
      </vt:variant>
      <vt:variant>
        <vt:i4>554</vt:i4>
      </vt:variant>
      <vt:variant>
        <vt:i4>0</vt:i4>
      </vt:variant>
      <vt:variant>
        <vt:i4>5</vt:i4>
      </vt:variant>
      <vt:variant>
        <vt:lpwstr/>
      </vt:variant>
      <vt:variant>
        <vt:lpwstr>_Toc225417306</vt:lpwstr>
      </vt:variant>
      <vt:variant>
        <vt:i4>1441845</vt:i4>
      </vt:variant>
      <vt:variant>
        <vt:i4>548</vt:i4>
      </vt:variant>
      <vt:variant>
        <vt:i4>0</vt:i4>
      </vt:variant>
      <vt:variant>
        <vt:i4>5</vt:i4>
      </vt:variant>
      <vt:variant>
        <vt:lpwstr/>
      </vt:variant>
      <vt:variant>
        <vt:lpwstr>_Toc225417305</vt:lpwstr>
      </vt:variant>
      <vt:variant>
        <vt:i4>1441845</vt:i4>
      </vt:variant>
      <vt:variant>
        <vt:i4>542</vt:i4>
      </vt:variant>
      <vt:variant>
        <vt:i4>0</vt:i4>
      </vt:variant>
      <vt:variant>
        <vt:i4>5</vt:i4>
      </vt:variant>
      <vt:variant>
        <vt:lpwstr/>
      </vt:variant>
      <vt:variant>
        <vt:lpwstr>_Toc225417303</vt:lpwstr>
      </vt:variant>
      <vt:variant>
        <vt:i4>1441845</vt:i4>
      </vt:variant>
      <vt:variant>
        <vt:i4>536</vt:i4>
      </vt:variant>
      <vt:variant>
        <vt:i4>0</vt:i4>
      </vt:variant>
      <vt:variant>
        <vt:i4>5</vt:i4>
      </vt:variant>
      <vt:variant>
        <vt:lpwstr/>
      </vt:variant>
      <vt:variant>
        <vt:lpwstr>_Toc225417302</vt:lpwstr>
      </vt:variant>
      <vt:variant>
        <vt:i4>1441845</vt:i4>
      </vt:variant>
      <vt:variant>
        <vt:i4>530</vt:i4>
      </vt:variant>
      <vt:variant>
        <vt:i4>0</vt:i4>
      </vt:variant>
      <vt:variant>
        <vt:i4>5</vt:i4>
      </vt:variant>
      <vt:variant>
        <vt:lpwstr/>
      </vt:variant>
      <vt:variant>
        <vt:lpwstr>_Toc225417301</vt:lpwstr>
      </vt:variant>
      <vt:variant>
        <vt:i4>1441845</vt:i4>
      </vt:variant>
      <vt:variant>
        <vt:i4>524</vt:i4>
      </vt:variant>
      <vt:variant>
        <vt:i4>0</vt:i4>
      </vt:variant>
      <vt:variant>
        <vt:i4>5</vt:i4>
      </vt:variant>
      <vt:variant>
        <vt:lpwstr/>
      </vt:variant>
      <vt:variant>
        <vt:lpwstr>_Toc225417300</vt:lpwstr>
      </vt:variant>
      <vt:variant>
        <vt:i4>2031668</vt:i4>
      </vt:variant>
      <vt:variant>
        <vt:i4>518</vt:i4>
      </vt:variant>
      <vt:variant>
        <vt:i4>0</vt:i4>
      </vt:variant>
      <vt:variant>
        <vt:i4>5</vt:i4>
      </vt:variant>
      <vt:variant>
        <vt:lpwstr/>
      </vt:variant>
      <vt:variant>
        <vt:lpwstr>_Toc225417299</vt:lpwstr>
      </vt:variant>
      <vt:variant>
        <vt:i4>2031668</vt:i4>
      </vt:variant>
      <vt:variant>
        <vt:i4>512</vt:i4>
      </vt:variant>
      <vt:variant>
        <vt:i4>0</vt:i4>
      </vt:variant>
      <vt:variant>
        <vt:i4>5</vt:i4>
      </vt:variant>
      <vt:variant>
        <vt:lpwstr/>
      </vt:variant>
      <vt:variant>
        <vt:lpwstr>_Toc225417298</vt:lpwstr>
      </vt:variant>
      <vt:variant>
        <vt:i4>2031668</vt:i4>
      </vt:variant>
      <vt:variant>
        <vt:i4>506</vt:i4>
      </vt:variant>
      <vt:variant>
        <vt:i4>0</vt:i4>
      </vt:variant>
      <vt:variant>
        <vt:i4>5</vt:i4>
      </vt:variant>
      <vt:variant>
        <vt:lpwstr/>
      </vt:variant>
      <vt:variant>
        <vt:lpwstr>_Toc225417297</vt:lpwstr>
      </vt:variant>
      <vt:variant>
        <vt:i4>2031668</vt:i4>
      </vt:variant>
      <vt:variant>
        <vt:i4>500</vt:i4>
      </vt:variant>
      <vt:variant>
        <vt:i4>0</vt:i4>
      </vt:variant>
      <vt:variant>
        <vt:i4>5</vt:i4>
      </vt:variant>
      <vt:variant>
        <vt:lpwstr/>
      </vt:variant>
      <vt:variant>
        <vt:lpwstr>_Toc225417296</vt:lpwstr>
      </vt:variant>
      <vt:variant>
        <vt:i4>2031668</vt:i4>
      </vt:variant>
      <vt:variant>
        <vt:i4>494</vt:i4>
      </vt:variant>
      <vt:variant>
        <vt:i4>0</vt:i4>
      </vt:variant>
      <vt:variant>
        <vt:i4>5</vt:i4>
      </vt:variant>
      <vt:variant>
        <vt:lpwstr/>
      </vt:variant>
      <vt:variant>
        <vt:lpwstr>_Toc225417295</vt:lpwstr>
      </vt:variant>
      <vt:variant>
        <vt:i4>2031668</vt:i4>
      </vt:variant>
      <vt:variant>
        <vt:i4>488</vt:i4>
      </vt:variant>
      <vt:variant>
        <vt:i4>0</vt:i4>
      </vt:variant>
      <vt:variant>
        <vt:i4>5</vt:i4>
      </vt:variant>
      <vt:variant>
        <vt:lpwstr/>
      </vt:variant>
      <vt:variant>
        <vt:lpwstr>_Toc225417294</vt:lpwstr>
      </vt:variant>
      <vt:variant>
        <vt:i4>2031668</vt:i4>
      </vt:variant>
      <vt:variant>
        <vt:i4>482</vt:i4>
      </vt:variant>
      <vt:variant>
        <vt:i4>0</vt:i4>
      </vt:variant>
      <vt:variant>
        <vt:i4>5</vt:i4>
      </vt:variant>
      <vt:variant>
        <vt:lpwstr/>
      </vt:variant>
      <vt:variant>
        <vt:lpwstr>_Toc225417293</vt:lpwstr>
      </vt:variant>
      <vt:variant>
        <vt:i4>2031668</vt:i4>
      </vt:variant>
      <vt:variant>
        <vt:i4>476</vt:i4>
      </vt:variant>
      <vt:variant>
        <vt:i4>0</vt:i4>
      </vt:variant>
      <vt:variant>
        <vt:i4>5</vt:i4>
      </vt:variant>
      <vt:variant>
        <vt:lpwstr/>
      </vt:variant>
      <vt:variant>
        <vt:lpwstr>_Toc225417292</vt:lpwstr>
      </vt:variant>
      <vt:variant>
        <vt:i4>2031668</vt:i4>
      </vt:variant>
      <vt:variant>
        <vt:i4>470</vt:i4>
      </vt:variant>
      <vt:variant>
        <vt:i4>0</vt:i4>
      </vt:variant>
      <vt:variant>
        <vt:i4>5</vt:i4>
      </vt:variant>
      <vt:variant>
        <vt:lpwstr/>
      </vt:variant>
      <vt:variant>
        <vt:lpwstr>_Toc225417291</vt:lpwstr>
      </vt:variant>
      <vt:variant>
        <vt:i4>2031668</vt:i4>
      </vt:variant>
      <vt:variant>
        <vt:i4>464</vt:i4>
      </vt:variant>
      <vt:variant>
        <vt:i4>0</vt:i4>
      </vt:variant>
      <vt:variant>
        <vt:i4>5</vt:i4>
      </vt:variant>
      <vt:variant>
        <vt:lpwstr/>
      </vt:variant>
      <vt:variant>
        <vt:lpwstr>_Toc225417290</vt:lpwstr>
      </vt:variant>
      <vt:variant>
        <vt:i4>1966132</vt:i4>
      </vt:variant>
      <vt:variant>
        <vt:i4>458</vt:i4>
      </vt:variant>
      <vt:variant>
        <vt:i4>0</vt:i4>
      </vt:variant>
      <vt:variant>
        <vt:i4>5</vt:i4>
      </vt:variant>
      <vt:variant>
        <vt:lpwstr/>
      </vt:variant>
      <vt:variant>
        <vt:lpwstr>_Toc225417289</vt:lpwstr>
      </vt:variant>
      <vt:variant>
        <vt:i4>1966132</vt:i4>
      </vt:variant>
      <vt:variant>
        <vt:i4>452</vt:i4>
      </vt:variant>
      <vt:variant>
        <vt:i4>0</vt:i4>
      </vt:variant>
      <vt:variant>
        <vt:i4>5</vt:i4>
      </vt:variant>
      <vt:variant>
        <vt:lpwstr/>
      </vt:variant>
      <vt:variant>
        <vt:lpwstr>_Toc225417288</vt:lpwstr>
      </vt:variant>
      <vt:variant>
        <vt:i4>1966132</vt:i4>
      </vt:variant>
      <vt:variant>
        <vt:i4>446</vt:i4>
      </vt:variant>
      <vt:variant>
        <vt:i4>0</vt:i4>
      </vt:variant>
      <vt:variant>
        <vt:i4>5</vt:i4>
      </vt:variant>
      <vt:variant>
        <vt:lpwstr/>
      </vt:variant>
      <vt:variant>
        <vt:lpwstr>_Toc225417287</vt:lpwstr>
      </vt:variant>
      <vt:variant>
        <vt:i4>1966132</vt:i4>
      </vt:variant>
      <vt:variant>
        <vt:i4>440</vt:i4>
      </vt:variant>
      <vt:variant>
        <vt:i4>0</vt:i4>
      </vt:variant>
      <vt:variant>
        <vt:i4>5</vt:i4>
      </vt:variant>
      <vt:variant>
        <vt:lpwstr/>
      </vt:variant>
      <vt:variant>
        <vt:lpwstr>_Toc225417286</vt:lpwstr>
      </vt:variant>
      <vt:variant>
        <vt:i4>1966132</vt:i4>
      </vt:variant>
      <vt:variant>
        <vt:i4>434</vt:i4>
      </vt:variant>
      <vt:variant>
        <vt:i4>0</vt:i4>
      </vt:variant>
      <vt:variant>
        <vt:i4>5</vt:i4>
      </vt:variant>
      <vt:variant>
        <vt:lpwstr/>
      </vt:variant>
      <vt:variant>
        <vt:lpwstr>_Toc225417285</vt:lpwstr>
      </vt:variant>
      <vt:variant>
        <vt:i4>1966132</vt:i4>
      </vt:variant>
      <vt:variant>
        <vt:i4>428</vt:i4>
      </vt:variant>
      <vt:variant>
        <vt:i4>0</vt:i4>
      </vt:variant>
      <vt:variant>
        <vt:i4>5</vt:i4>
      </vt:variant>
      <vt:variant>
        <vt:lpwstr/>
      </vt:variant>
      <vt:variant>
        <vt:lpwstr>_Toc225417284</vt:lpwstr>
      </vt:variant>
      <vt:variant>
        <vt:i4>1966132</vt:i4>
      </vt:variant>
      <vt:variant>
        <vt:i4>422</vt:i4>
      </vt:variant>
      <vt:variant>
        <vt:i4>0</vt:i4>
      </vt:variant>
      <vt:variant>
        <vt:i4>5</vt:i4>
      </vt:variant>
      <vt:variant>
        <vt:lpwstr/>
      </vt:variant>
      <vt:variant>
        <vt:lpwstr>_Toc225417283</vt:lpwstr>
      </vt:variant>
      <vt:variant>
        <vt:i4>1966132</vt:i4>
      </vt:variant>
      <vt:variant>
        <vt:i4>416</vt:i4>
      </vt:variant>
      <vt:variant>
        <vt:i4>0</vt:i4>
      </vt:variant>
      <vt:variant>
        <vt:i4>5</vt:i4>
      </vt:variant>
      <vt:variant>
        <vt:lpwstr/>
      </vt:variant>
      <vt:variant>
        <vt:lpwstr>_Toc225417282</vt:lpwstr>
      </vt:variant>
      <vt:variant>
        <vt:i4>1966132</vt:i4>
      </vt:variant>
      <vt:variant>
        <vt:i4>410</vt:i4>
      </vt:variant>
      <vt:variant>
        <vt:i4>0</vt:i4>
      </vt:variant>
      <vt:variant>
        <vt:i4>5</vt:i4>
      </vt:variant>
      <vt:variant>
        <vt:lpwstr/>
      </vt:variant>
      <vt:variant>
        <vt:lpwstr>_Toc225417281</vt:lpwstr>
      </vt:variant>
      <vt:variant>
        <vt:i4>1966132</vt:i4>
      </vt:variant>
      <vt:variant>
        <vt:i4>404</vt:i4>
      </vt:variant>
      <vt:variant>
        <vt:i4>0</vt:i4>
      </vt:variant>
      <vt:variant>
        <vt:i4>5</vt:i4>
      </vt:variant>
      <vt:variant>
        <vt:lpwstr/>
      </vt:variant>
      <vt:variant>
        <vt:lpwstr>_Toc225417280</vt:lpwstr>
      </vt:variant>
      <vt:variant>
        <vt:i4>1114164</vt:i4>
      </vt:variant>
      <vt:variant>
        <vt:i4>398</vt:i4>
      </vt:variant>
      <vt:variant>
        <vt:i4>0</vt:i4>
      </vt:variant>
      <vt:variant>
        <vt:i4>5</vt:i4>
      </vt:variant>
      <vt:variant>
        <vt:lpwstr/>
      </vt:variant>
      <vt:variant>
        <vt:lpwstr>_Toc225417279</vt:lpwstr>
      </vt:variant>
      <vt:variant>
        <vt:i4>1114164</vt:i4>
      </vt:variant>
      <vt:variant>
        <vt:i4>392</vt:i4>
      </vt:variant>
      <vt:variant>
        <vt:i4>0</vt:i4>
      </vt:variant>
      <vt:variant>
        <vt:i4>5</vt:i4>
      </vt:variant>
      <vt:variant>
        <vt:lpwstr/>
      </vt:variant>
      <vt:variant>
        <vt:lpwstr>_Toc225417278</vt:lpwstr>
      </vt:variant>
      <vt:variant>
        <vt:i4>1114164</vt:i4>
      </vt:variant>
      <vt:variant>
        <vt:i4>386</vt:i4>
      </vt:variant>
      <vt:variant>
        <vt:i4>0</vt:i4>
      </vt:variant>
      <vt:variant>
        <vt:i4>5</vt:i4>
      </vt:variant>
      <vt:variant>
        <vt:lpwstr/>
      </vt:variant>
      <vt:variant>
        <vt:lpwstr>_Toc225417277</vt:lpwstr>
      </vt:variant>
      <vt:variant>
        <vt:i4>1114164</vt:i4>
      </vt:variant>
      <vt:variant>
        <vt:i4>380</vt:i4>
      </vt:variant>
      <vt:variant>
        <vt:i4>0</vt:i4>
      </vt:variant>
      <vt:variant>
        <vt:i4>5</vt:i4>
      </vt:variant>
      <vt:variant>
        <vt:lpwstr/>
      </vt:variant>
      <vt:variant>
        <vt:lpwstr>_Toc225417276</vt:lpwstr>
      </vt:variant>
      <vt:variant>
        <vt:i4>1114164</vt:i4>
      </vt:variant>
      <vt:variant>
        <vt:i4>374</vt:i4>
      </vt:variant>
      <vt:variant>
        <vt:i4>0</vt:i4>
      </vt:variant>
      <vt:variant>
        <vt:i4>5</vt:i4>
      </vt:variant>
      <vt:variant>
        <vt:lpwstr/>
      </vt:variant>
      <vt:variant>
        <vt:lpwstr>_Toc225417275</vt:lpwstr>
      </vt:variant>
      <vt:variant>
        <vt:i4>1114164</vt:i4>
      </vt:variant>
      <vt:variant>
        <vt:i4>368</vt:i4>
      </vt:variant>
      <vt:variant>
        <vt:i4>0</vt:i4>
      </vt:variant>
      <vt:variant>
        <vt:i4>5</vt:i4>
      </vt:variant>
      <vt:variant>
        <vt:lpwstr/>
      </vt:variant>
      <vt:variant>
        <vt:lpwstr>_Toc225417274</vt:lpwstr>
      </vt:variant>
      <vt:variant>
        <vt:i4>1114164</vt:i4>
      </vt:variant>
      <vt:variant>
        <vt:i4>362</vt:i4>
      </vt:variant>
      <vt:variant>
        <vt:i4>0</vt:i4>
      </vt:variant>
      <vt:variant>
        <vt:i4>5</vt:i4>
      </vt:variant>
      <vt:variant>
        <vt:lpwstr/>
      </vt:variant>
      <vt:variant>
        <vt:lpwstr>_Toc225417273</vt:lpwstr>
      </vt:variant>
      <vt:variant>
        <vt:i4>1114164</vt:i4>
      </vt:variant>
      <vt:variant>
        <vt:i4>356</vt:i4>
      </vt:variant>
      <vt:variant>
        <vt:i4>0</vt:i4>
      </vt:variant>
      <vt:variant>
        <vt:i4>5</vt:i4>
      </vt:variant>
      <vt:variant>
        <vt:lpwstr/>
      </vt:variant>
      <vt:variant>
        <vt:lpwstr>_Toc225417272</vt:lpwstr>
      </vt:variant>
      <vt:variant>
        <vt:i4>1114164</vt:i4>
      </vt:variant>
      <vt:variant>
        <vt:i4>350</vt:i4>
      </vt:variant>
      <vt:variant>
        <vt:i4>0</vt:i4>
      </vt:variant>
      <vt:variant>
        <vt:i4>5</vt:i4>
      </vt:variant>
      <vt:variant>
        <vt:lpwstr/>
      </vt:variant>
      <vt:variant>
        <vt:lpwstr>_Toc225417271</vt:lpwstr>
      </vt:variant>
      <vt:variant>
        <vt:i4>1114164</vt:i4>
      </vt:variant>
      <vt:variant>
        <vt:i4>344</vt:i4>
      </vt:variant>
      <vt:variant>
        <vt:i4>0</vt:i4>
      </vt:variant>
      <vt:variant>
        <vt:i4>5</vt:i4>
      </vt:variant>
      <vt:variant>
        <vt:lpwstr/>
      </vt:variant>
      <vt:variant>
        <vt:lpwstr>_Toc225417270</vt:lpwstr>
      </vt:variant>
      <vt:variant>
        <vt:i4>1048628</vt:i4>
      </vt:variant>
      <vt:variant>
        <vt:i4>338</vt:i4>
      </vt:variant>
      <vt:variant>
        <vt:i4>0</vt:i4>
      </vt:variant>
      <vt:variant>
        <vt:i4>5</vt:i4>
      </vt:variant>
      <vt:variant>
        <vt:lpwstr/>
      </vt:variant>
      <vt:variant>
        <vt:lpwstr>_Toc225417269</vt:lpwstr>
      </vt:variant>
      <vt:variant>
        <vt:i4>1048628</vt:i4>
      </vt:variant>
      <vt:variant>
        <vt:i4>332</vt:i4>
      </vt:variant>
      <vt:variant>
        <vt:i4>0</vt:i4>
      </vt:variant>
      <vt:variant>
        <vt:i4>5</vt:i4>
      </vt:variant>
      <vt:variant>
        <vt:lpwstr/>
      </vt:variant>
      <vt:variant>
        <vt:lpwstr>_Toc225417268</vt:lpwstr>
      </vt:variant>
      <vt:variant>
        <vt:i4>1048628</vt:i4>
      </vt:variant>
      <vt:variant>
        <vt:i4>326</vt:i4>
      </vt:variant>
      <vt:variant>
        <vt:i4>0</vt:i4>
      </vt:variant>
      <vt:variant>
        <vt:i4>5</vt:i4>
      </vt:variant>
      <vt:variant>
        <vt:lpwstr/>
      </vt:variant>
      <vt:variant>
        <vt:lpwstr>_Toc225417267</vt:lpwstr>
      </vt:variant>
      <vt:variant>
        <vt:i4>1048628</vt:i4>
      </vt:variant>
      <vt:variant>
        <vt:i4>320</vt:i4>
      </vt:variant>
      <vt:variant>
        <vt:i4>0</vt:i4>
      </vt:variant>
      <vt:variant>
        <vt:i4>5</vt:i4>
      </vt:variant>
      <vt:variant>
        <vt:lpwstr/>
      </vt:variant>
      <vt:variant>
        <vt:lpwstr>_Toc225417266</vt:lpwstr>
      </vt:variant>
      <vt:variant>
        <vt:i4>1048628</vt:i4>
      </vt:variant>
      <vt:variant>
        <vt:i4>314</vt:i4>
      </vt:variant>
      <vt:variant>
        <vt:i4>0</vt:i4>
      </vt:variant>
      <vt:variant>
        <vt:i4>5</vt:i4>
      </vt:variant>
      <vt:variant>
        <vt:lpwstr/>
      </vt:variant>
      <vt:variant>
        <vt:lpwstr>_Toc225417265</vt:lpwstr>
      </vt:variant>
      <vt:variant>
        <vt:i4>1048628</vt:i4>
      </vt:variant>
      <vt:variant>
        <vt:i4>308</vt:i4>
      </vt:variant>
      <vt:variant>
        <vt:i4>0</vt:i4>
      </vt:variant>
      <vt:variant>
        <vt:i4>5</vt:i4>
      </vt:variant>
      <vt:variant>
        <vt:lpwstr/>
      </vt:variant>
      <vt:variant>
        <vt:lpwstr>_Toc225417264</vt:lpwstr>
      </vt:variant>
      <vt:variant>
        <vt:i4>1048628</vt:i4>
      </vt:variant>
      <vt:variant>
        <vt:i4>302</vt:i4>
      </vt:variant>
      <vt:variant>
        <vt:i4>0</vt:i4>
      </vt:variant>
      <vt:variant>
        <vt:i4>5</vt:i4>
      </vt:variant>
      <vt:variant>
        <vt:lpwstr/>
      </vt:variant>
      <vt:variant>
        <vt:lpwstr>_Toc225417263</vt:lpwstr>
      </vt:variant>
      <vt:variant>
        <vt:i4>1048628</vt:i4>
      </vt:variant>
      <vt:variant>
        <vt:i4>296</vt:i4>
      </vt:variant>
      <vt:variant>
        <vt:i4>0</vt:i4>
      </vt:variant>
      <vt:variant>
        <vt:i4>5</vt:i4>
      </vt:variant>
      <vt:variant>
        <vt:lpwstr/>
      </vt:variant>
      <vt:variant>
        <vt:lpwstr>_Toc225417262</vt:lpwstr>
      </vt:variant>
      <vt:variant>
        <vt:i4>1048628</vt:i4>
      </vt:variant>
      <vt:variant>
        <vt:i4>290</vt:i4>
      </vt:variant>
      <vt:variant>
        <vt:i4>0</vt:i4>
      </vt:variant>
      <vt:variant>
        <vt:i4>5</vt:i4>
      </vt:variant>
      <vt:variant>
        <vt:lpwstr/>
      </vt:variant>
      <vt:variant>
        <vt:lpwstr>_Toc225417261</vt:lpwstr>
      </vt:variant>
      <vt:variant>
        <vt:i4>1048628</vt:i4>
      </vt:variant>
      <vt:variant>
        <vt:i4>284</vt:i4>
      </vt:variant>
      <vt:variant>
        <vt:i4>0</vt:i4>
      </vt:variant>
      <vt:variant>
        <vt:i4>5</vt:i4>
      </vt:variant>
      <vt:variant>
        <vt:lpwstr/>
      </vt:variant>
      <vt:variant>
        <vt:lpwstr>_Toc225417260</vt:lpwstr>
      </vt:variant>
      <vt:variant>
        <vt:i4>1245236</vt:i4>
      </vt:variant>
      <vt:variant>
        <vt:i4>278</vt:i4>
      </vt:variant>
      <vt:variant>
        <vt:i4>0</vt:i4>
      </vt:variant>
      <vt:variant>
        <vt:i4>5</vt:i4>
      </vt:variant>
      <vt:variant>
        <vt:lpwstr/>
      </vt:variant>
      <vt:variant>
        <vt:lpwstr>_Toc225417259</vt:lpwstr>
      </vt:variant>
      <vt:variant>
        <vt:i4>1245236</vt:i4>
      </vt:variant>
      <vt:variant>
        <vt:i4>272</vt:i4>
      </vt:variant>
      <vt:variant>
        <vt:i4>0</vt:i4>
      </vt:variant>
      <vt:variant>
        <vt:i4>5</vt:i4>
      </vt:variant>
      <vt:variant>
        <vt:lpwstr/>
      </vt:variant>
      <vt:variant>
        <vt:lpwstr>_Toc225417258</vt:lpwstr>
      </vt:variant>
      <vt:variant>
        <vt:i4>1245236</vt:i4>
      </vt:variant>
      <vt:variant>
        <vt:i4>266</vt:i4>
      </vt:variant>
      <vt:variant>
        <vt:i4>0</vt:i4>
      </vt:variant>
      <vt:variant>
        <vt:i4>5</vt:i4>
      </vt:variant>
      <vt:variant>
        <vt:lpwstr/>
      </vt:variant>
      <vt:variant>
        <vt:lpwstr>_Toc225417257</vt:lpwstr>
      </vt:variant>
      <vt:variant>
        <vt:i4>1245236</vt:i4>
      </vt:variant>
      <vt:variant>
        <vt:i4>260</vt:i4>
      </vt:variant>
      <vt:variant>
        <vt:i4>0</vt:i4>
      </vt:variant>
      <vt:variant>
        <vt:i4>5</vt:i4>
      </vt:variant>
      <vt:variant>
        <vt:lpwstr/>
      </vt:variant>
      <vt:variant>
        <vt:lpwstr>_Toc225417256</vt:lpwstr>
      </vt:variant>
      <vt:variant>
        <vt:i4>1245236</vt:i4>
      </vt:variant>
      <vt:variant>
        <vt:i4>254</vt:i4>
      </vt:variant>
      <vt:variant>
        <vt:i4>0</vt:i4>
      </vt:variant>
      <vt:variant>
        <vt:i4>5</vt:i4>
      </vt:variant>
      <vt:variant>
        <vt:lpwstr/>
      </vt:variant>
      <vt:variant>
        <vt:lpwstr>_Toc225417255</vt:lpwstr>
      </vt:variant>
      <vt:variant>
        <vt:i4>1245236</vt:i4>
      </vt:variant>
      <vt:variant>
        <vt:i4>248</vt:i4>
      </vt:variant>
      <vt:variant>
        <vt:i4>0</vt:i4>
      </vt:variant>
      <vt:variant>
        <vt:i4>5</vt:i4>
      </vt:variant>
      <vt:variant>
        <vt:lpwstr/>
      </vt:variant>
      <vt:variant>
        <vt:lpwstr>_Toc225417254</vt:lpwstr>
      </vt:variant>
      <vt:variant>
        <vt:i4>1245236</vt:i4>
      </vt:variant>
      <vt:variant>
        <vt:i4>242</vt:i4>
      </vt:variant>
      <vt:variant>
        <vt:i4>0</vt:i4>
      </vt:variant>
      <vt:variant>
        <vt:i4>5</vt:i4>
      </vt:variant>
      <vt:variant>
        <vt:lpwstr/>
      </vt:variant>
      <vt:variant>
        <vt:lpwstr>_Toc225417253</vt:lpwstr>
      </vt:variant>
      <vt:variant>
        <vt:i4>1245236</vt:i4>
      </vt:variant>
      <vt:variant>
        <vt:i4>236</vt:i4>
      </vt:variant>
      <vt:variant>
        <vt:i4>0</vt:i4>
      </vt:variant>
      <vt:variant>
        <vt:i4>5</vt:i4>
      </vt:variant>
      <vt:variant>
        <vt:lpwstr/>
      </vt:variant>
      <vt:variant>
        <vt:lpwstr>_Toc225417252</vt:lpwstr>
      </vt:variant>
      <vt:variant>
        <vt:i4>1245236</vt:i4>
      </vt:variant>
      <vt:variant>
        <vt:i4>230</vt:i4>
      </vt:variant>
      <vt:variant>
        <vt:i4>0</vt:i4>
      </vt:variant>
      <vt:variant>
        <vt:i4>5</vt:i4>
      </vt:variant>
      <vt:variant>
        <vt:lpwstr/>
      </vt:variant>
      <vt:variant>
        <vt:lpwstr>_Toc225417251</vt:lpwstr>
      </vt:variant>
      <vt:variant>
        <vt:i4>1245236</vt:i4>
      </vt:variant>
      <vt:variant>
        <vt:i4>224</vt:i4>
      </vt:variant>
      <vt:variant>
        <vt:i4>0</vt:i4>
      </vt:variant>
      <vt:variant>
        <vt:i4>5</vt:i4>
      </vt:variant>
      <vt:variant>
        <vt:lpwstr/>
      </vt:variant>
      <vt:variant>
        <vt:lpwstr>_Toc225417250</vt:lpwstr>
      </vt:variant>
      <vt:variant>
        <vt:i4>1179700</vt:i4>
      </vt:variant>
      <vt:variant>
        <vt:i4>218</vt:i4>
      </vt:variant>
      <vt:variant>
        <vt:i4>0</vt:i4>
      </vt:variant>
      <vt:variant>
        <vt:i4>5</vt:i4>
      </vt:variant>
      <vt:variant>
        <vt:lpwstr/>
      </vt:variant>
      <vt:variant>
        <vt:lpwstr>_Toc225417249</vt:lpwstr>
      </vt:variant>
      <vt:variant>
        <vt:i4>1179700</vt:i4>
      </vt:variant>
      <vt:variant>
        <vt:i4>212</vt:i4>
      </vt:variant>
      <vt:variant>
        <vt:i4>0</vt:i4>
      </vt:variant>
      <vt:variant>
        <vt:i4>5</vt:i4>
      </vt:variant>
      <vt:variant>
        <vt:lpwstr/>
      </vt:variant>
      <vt:variant>
        <vt:lpwstr>_Toc225417248</vt:lpwstr>
      </vt:variant>
      <vt:variant>
        <vt:i4>1179700</vt:i4>
      </vt:variant>
      <vt:variant>
        <vt:i4>206</vt:i4>
      </vt:variant>
      <vt:variant>
        <vt:i4>0</vt:i4>
      </vt:variant>
      <vt:variant>
        <vt:i4>5</vt:i4>
      </vt:variant>
      <vt:variant>
        <vt:lpwstr/>
      </vt:variant>
      <vt:variant>
        <vt:lpwstr>_Toc225417247</vt:lpwstr>
      </vt:variant>
      <vt:variant>
        <vt:i4>1179700</vt:i4>
      </vt:variant>
      <vt:variant>
        <vt:i4>200</vt:i4>
      </vt:variant>
      <vt:variant>
        <vt:i4>0</vt:i4>
      </vt:variant>
      <vt:variant>
        <vt:i4>5</vt:i4>
      </vt:variant>
      <vt:variant>
        <vt:lpwstr/>
      </vt:variant>
      <vt:variant>
        <vt:lpwstr>_Toc225417246</vt:lpwstr>
      </vt:variant>
      <vt:variant>
        <vt:i4>1179700</vt:i4>
      </vt:variant>
      <vt:variant>
        <vt:i4>194</vt:i4>
      </vt:variant>
      <vt:variant>
        <vt:i4>0</vt:i4>
      </vt:variant>
      <vt:variant>
        <vt:i4>5</vt:i4>
      </vt:variant>
      <vt:variant>
        <vt:lpwstr/>
      </vt:variant>
      <vt:variant>
        <vt:lpwstr>_Toc225417245</vt:lpwstr>
      </vt:variant>
      <vt:variant>
        <vt:i4>1179700</vt:i4>
      </vt:variant>
      <vt:variant>
        <vt:i4>188</vt:i4>
      </vt:variant>
      <vt:variant>
        <vt:i4>0</vt:i4>
      </vt:variant>
      <vt:variant>
        <vt:i4>5</vt:i4>
      </vt:variant>
      <vt:variant>
        <vt:lpwstr/>
      </vt:variant>
      <vt:variant>
        <vt:lpwstr>_Toc225417244</vt:lpwstr>
      </vt:variant>
      <vt:variant>
        <vt:i4>1179700</vt:i4>
      </vt:variant>
      <vt:variant>
        <vt:i4>182</vt:i4>
      </vt:variant>
      <vt:variant>
        <vt:i4>0</vt:i4>
      </vt:variant>
      <vt:variant>
        <vt:i4>5</vt:i4>
      </vt:variant>
      <vt:variant>
        <vt:lpwstr/>
      </vt:variant>
      <vt:variant>
        <vt:lpwstr>_Toc225417243</vt:lpwstr>
      </vt:variant>
      <vt:variant>
        <vt:i4>1179700</vt:i4>
      </vt:variant>
      <vt:variant>
        <vt:i4>176</vt:i4>
      </vt:variant>
      <vt:variant>
        <vt:i4>0</vt:i4>
      </vt:variant>
      <vt:variant>
        <vt:i4>5</vt:i4>
      </vt:variant>
      <vt:variant>
        <vt:lpwstr/>
      </vt:variant>
      <vt:variant>
        <vt:lpwstr>_Toc225417242</vt:lpwstr>
      </vt:variant>
      <vt:variant>
        <vt:i4>1179700</vt:i4>
      </vt:variant>
      <vt:variant>
        <vt:i4>170</vt:i4>
      </vt:variant>
      <vt:variant>
        <vt:i4>0</vt:i4>
      </vt:variant>
      <vt:variant>
        <vt:i4>5</vt:i4>
      </vt:variant>
      <vt:variant>
        <vt:lpwstr/>
      </vt:variant>
      <vt:variant>
        <vt:lpwstr>_Toc225417241</vt:lpwstr>
      </vt:variant>
      <vt:variant>
        <vt:i4>1179700</vt:i4>
      </vt:variant>
      <vt:variant>
        <vt:i4>164</vt:i4>
      </vt:variant>
      <vt:variant>
        <vt:i4>0</vt:i4>
      </vt:variant>
      <vt:variant>
        <vt:i4>5</vt:i4>
      </vt:variant>
      <vt:variant>
        <vt:lpwstr/>
      </vt:variant>
      <vt:variant>
        <vt:lpwstr>_Toc225417240</vt:lpwstr>
      </vt:variant>
      <vt:variant>
        <vt:i4>1376308</vt:i4>
      </vt:variant>
      <vt:variant>
        <vt:i4>158</vt:i4>
      </vt:variant>
      <vt:variant>
        <vt:i4>0</vt:i4>
      </vt:variant>
      <vt:variant>
        <vt:i4>5</vt:i4>
      </vt:variant>
      <vt:variant>
        <vt:lpwstr/>
      </vt:variant>
      <vt:variant>
        <vt:lpwstr>_Toc225417239</vt:lpwstr>
      </vt:variant>
      <vt:variant>
        <vt:i4>1376308</vt:i4>
      </vt:variant>
      <vt:variant>
        <vt:i4>152</vt:i4>
      </vt:variant>
      <vt:variant>
        <vt:i4>0</vt:i4>
      </vt:variant>
      <vt:variant>
        <vt:i4>5</vt:i4>
      </vt:variant>
      <vt:variant>
        <vt:lpwstr/>
      </vt:variant>
      <vt:variant>
        <vt:lpwstr>_Toc225417238</vt:lpwstr>
      </vt:variant>
      <vt:variant>
        <vt:i4>1376308</vt:i4>
      </vt:variant>
      <vt:variant>
        <vt:i4>146</vt:i4>
      </vt:variant>
      <vt:variant>
        <vt:i4>0</vt:i4>
      </vt:variant>
      <vt:variant>
        <vt:i4>5</vt:i4>
      </vt:variant>
      <vt:variant>
        <vt:lpwstr/>
      </vt:variant>
      <vt:variant>
        <vt:lpwstr>_Toc225417237</vt:lpwstr>
      </vt:variant>
      <vt:variant>
        <vt:i4>1376308</vt:i4>
      </vt:variant>
      <vt:variant>
        <vt:i4>140</vt:i4>
      </vt:variant>
      <vt:variant>
        <vt:i4>0</vt:i4>
      </vt:variant>
      <vt:variant>
        <vt:i4>5</vt:i4>
      </vt:variant>
      <vt:variant>
        <vt:lpwstr/>
      </vt:variant>
      <vt:variant>
        <vt:lpwstr>_Toc225417236</vt:lpwstr>
      </vt:variant>
      <vt:variant>
        <vt:i4>1376308</vt:i4>
      </vt:variant>
      <vt:variant>
        <vt:i4>134</vt:i4>
      </vt:variant>
      <vt:variant>
        <vt:i4>0</vt:i4>
      </vt:variant>
      <vt:variant>
        <vt:i4>5</vt:i4>
      </vt:variant>
      <vt:variant>
        <vt:lpwstr/>
      </vt:variant>
      <vt:variant>
        <vt:lpwstr>_Toc225417235</vt:lpwstr>
      </vt:variant>
      <vt:variant>
        <vt:i4>1376308</vt:i4>
      </vt:variant>
      <vt:variant>
        <vt:i4>128</vt:i4>
      </vt:variant>
      <vt:variant>
        <vt:i4>0</vt:i4>
      </vt:variant>
      <vt:variant>
        <vt:i4>5</vt:i4>
      </vt:variant>
      <vt:variant>
        <vt:lpwstr/>
      </vt:variant>
      <vt:variant>
        <vt:lpwstr>_Toc225417234</vt:lpwstr>
      </vt:variant>
      <vt:variant>
        <vt:i4>1376308</vt:i4>
      </vt:variant>
      <vt:variant>
        <vt:i4>122</vt:i4>
      </vt:variant>
      <vt:variant>
        <vt:i4>0</vt:i4>
      </vt:variant>
      <vt:variant>
        <vt:i4>5</vt:i4>
      </vt:variant>
      <vt:variant>
        <vt:lpwstr/>
      </vt:variant>
      <vt:variant>
        <vt:lpwstr>_Toc225417233</vt:lpwstr>
      </vt:variant>
      <vt:variant>
        <vt:i4>1376308</vt:i4>
      </vt:variant>
      <vt:variant>
        <vt:i4>116</vt:i4>
      </vt:variant>
      <vt:variant>
        <vt:i4>0</vt:i4>
      </vt:variant>
      <vt:variant>
        <vt:i4>5</vt:i4>
      </vt:variant>
      <vt:variant>
        <vt:lpwstr/>
      </vt:variant>
      <vt:variant>
        <vt:lpwstr>_Toc225417232</vt:lpwstr>
      </vt:variant>
      <vt:variant>
        <vt:i4>1376308</vt:i4>
      </vt:variant>
      <vt:variant>
        <vt:i4>110</vt:i4>
      </vt:variant>
      <vt:variant>
        <vt:i4>0</vt:i4>
      </vt:variant>
      <vt:variant>
        <vt:i4>5</vt:i4>
      </vt:variant>
      <vt:variant>
        <vt:lpwstr/>
      </vt:variant>
      <vt:variant>
        <vt:lpwstr>_Toc225417231</vt:lpwstr>
      </vt:variant>
      <vt:variant>
        <vt:i4>1376308</vt:i4>
      </vt:variant>
      <vt:variant>
        <vt:i4>104</vt:i4>
      </vt:variant>
      <vt:variant>
        <vt:i4>0</vt:i4>
      </vt:variant>
      <vt:variant>
        <vt:i4>5</vt:i4>
      </vt:variant>
      <vt:variant>
        <vt:lpwstr/>
      </vt:variant>
      <vt:variant>
        <vt:lpwstr>_Toc225417230</vt:lpwstr>
      </vt:variant>
      <vt:variant>
        <vt:i4>1310772</vt:i4>
      </vt:variant>
      <vt:variant>
        <vt:i4>98</vt:i4>
      </vt:variant>
      <vt:variant>
        <vt:i4>0</vt:i4>
      </vt:variant>
      <vt:variant>
        <vt:i4>5</vt:i4>
      </vt:variant>
      <vt:variant>
        <vt:lpwstr/>
      </vt:variant>
      <vt:variant>
        <vt:lpwstr>_Toc225417229</vt:lpwstr>
      </vt:variant>
      <vt:variant>
        <vt:i4>1310772</vt:i4>
      </vt:variant>
      <vt:variant>
        <vt:i4>92</vt:i4>
      </vt:variant>
      <vt:variant>
        <vt:i4>0</vt:i4>
      </vt:variant>
      <vt:variant>
        <vt:i4>5</vt:i4>
      </vt:variant>
      <vt:variant>
        <vt:lpwstr/>
      </vt:variant>
      <vt:variant>
        <vt:lpwstr>_Toc225417228</vt:lpwstr>
      </vt:variant>
      <vt:variant>
        <vt:i4>1310772</vt:i4>
      </vt:variant>
      <vt:variant>
        <vt:i4>86</vt:i4>
      </vt:variant>
      <vt:variant>
        <vt:i4>0</vt:i4>
      </vt:variant>
      <vt:variant>
        <vt:i4>5</vt:i4>
      </vt:variant>
      <vt:variant>
        <vt:lpwstr/>
      </vt:variant>
      <vt:variant>
        <vt:lpwstr>_Toc225417227</vt:lpwstr>
      </vt:variant>
      <vt:variant>
        <vt:i4>1310772</vt:i4>
      </vt:variant>
      <vt:variant>
        <vt:i4>80</vt:i4>
      </vt:variant>
      <vt:variant>
        <vt:i4>0</vt:i4>
      </vt:variant>
      <vt:variant>
        <vt:i4>5</vt:i4>
      </vt:variant>
      <vt:variant>
        <vt:lpwstr/>
      </vt:variant>
      <vt:variant>
        <vt:lpwstr>_Toc225417224</vt:lpwstr>
      </vt:variant>
      <vt:variant>
        <vt:i4>1310772</vt:i4>
      </vt:variant>
      <vt:variant>
        <vt:i4>74</vt:i4>
      </vt:variant>
      <vt:variant>
        <vt:i4>0</vt:i4>
      </vt:variant>
      <vt:variant>
        <vt:i4>5</vt:i4>
      </vt:variant>
      <vt:variant>
        <vt:lpwstr/>
      </vt:variant>
      <vt:variant>
        <vt:lpwstr>_Toc225417223</vt:lpwstr>
      </vt:variant>
      <vt:variant>
        <vt:i4>1310772</vt:i4>
      </vt:variant>
      <vt:variant>
        <vt:i4>68</vt:i4>
      </vt:variant>
      <vt:variant>
        <vt:i4>0</vt:i4>
      </vt:variant>
      <vt:variant>
        <vt:i4>5</vt:i4>
      </vt:variant>
      <vt:variant>
        <vt:lpwstr/>
      </vt:variant>
      <vt:variant>
        <vt:lpwstr>_Toc225417222</vt:lpwstr>
      </vt:variant>
      <vt:variant>
        <vt:i4>1310772</vt:i4>
      </vt:variant>
      <vt:variant>
        <vt:i4>62</vt:i4>
      </vt:variant>
      <vt:variant>
        <vt:i4>0</vt:i4>
      </vt:variant>
      <vt:variant>
        <vt:i4>5</vt:i4>
      </vt:variant>
      <vt:variant>
        <vt:lpwstr/>
      </vt:variant>
      <vt:variant>
        <vt:lpwstr>_Toc225417221</vt:lpwstr>
      </vt:variant>
      <vt:variant>
        <vt:i4>1310772</vt:i4>
      </vt:variant>
      <vt:variant>
        <vt:i4>56</vt:i4>
      </vt:variant>
      <vt:variant>
        <vt:i4>0</vt:i4>
      </vt:variant>
      <vt:variant>
        <vt:i4>5</vt:i4>
      </vt:variant>
      <vt:variant>
        <vt:lpwstr/>
      </vt:variant>
      <vt:variant>
        <vt:lpwstr>_Toc225417220</vt:lpwstr>
      </vt:variant>
      <vt:variant>
        <vt:i4>1507380</vt:i4>
      </vt:variant>
      <vt:variant>
        <vt:i4>50</vt:i4>
      </vt:variant>
      <vt:variant>
        <vt:i4>0</vt:i4>
      </vt:variant>
      <vt:variant>
        <vt:i4>5</vt:i4>
      </vt:variant>
      <vt:variant>
        <vt:lpwstr/>
      </vt:variant>
      <vt:variant>
        <vt:lpwstr>_Toc225417219</vt:lpwstr>
      </vt:variant>
      <vt:variant>
        <vt:i4>1507380</vt:i4>
      </vt:variant>
      <vt:variant>
        <vt:i4>44</vt:i4>
      </vt:variant>
      <vt:variant>
        <vt:i4>0</vt:i4>
      </vt:variant>
      <vt:variant>
        <vt:i4>5</vt:i4>
      </vt:variant>
      <vt:variant>
        <vt:lpwstr/>
      </vt:variant>
      <vt:variant>
        <vt:lpwstr>_Toc225417218</vt:lpwstr>
      </vt:variant>
      <vt:variant>
        <vt:i4>1507380</vt:i4>
      </vt:variant>
      <vt:variant>
        <vt:i4>38</vt:i4>
      </vt:variant>
      <vt:variant>
        <vt:i4>0</vt:i4>
      </vt:variant>
      <vt:variant>
        <vt:i4>5</vt:i4>
      </vt:variant>
      <vt:variant>
        <vt:lpwstr/>
      </vt:variant>
      <vt:variant>
        <vt:lpwstr>_Toc225417217</vt:lpwstr>
      </vt:variant>
      <vt:variant>
        <vt:i4>1441844</vt:i4>
      </vt:variant>
      <vt:variant>
        <vt:i4>32</vt:i4>
      </vt:variant>
      <vt:variant>
        <vt:i4>0</vt:i4>
      </vt:variant>
      <vt:variant>
        <vt:i4>5</vt:i4>
      </vt:variant>
      <vt:variant>
        <vt:lpwstr/>
      </vt:variant>
      <vt:variant>
        <vt:lpwstr>_Toc225417204</vt:lpwstr>
      </vt:variant>
      <vt:variant>
        <vt:i4>1441844</vt:i4>
      </vt:variant>
      <vt:variant>
        <vt:i4>26</vt:i4>
      </vt:variant>
      <vt:variant>
        <vt:i4>0</vt:i4>
      </vt:variant>
      <vt:variant>
        <vt:i4>5</vt:i4>
      </vt:variant>
      <vt:variant>
        <vt:lpwstr/>
      </vt:variant>
      <vt:variant>
        <vt:lpwstr>_Toc225417203</vt:lpwstr>
      </vt:variant>
      <vt:variant>
        <vt:i4>1441844</vt:i4>
      </vt:variant>
      <vt:variant>
        <vt:i4>20</vt:i4>
      </vt:variant>
      <vt:variant>
        <vt:i4>0</vt:i4>
      </vt:variant>
      <vt:variant>
        <vt:i4>5</vt:i4>
      </vt:variant>
      <vt:variant>
        <vt:lpwstr/>
      </vt:variant>
      <vt:variant>
        <vt:lpwstr>_Toc225417202</vt:lpwstr>
      </vt:variant>
      <vt:variant>
        <vt:i4>1441844</vt:i4>
      </vt:variant>
      <vt:variant>
        <vt:i4>14</vt:i4>
      </vt:variant>
      <vt:variant>
        <vt:i4>0</vt:i4>
      </vt:variant>
      <vt:variant>
        <vt:i4>5</vt:i4>
      </vt:variant>
      <vt:variant>
        <vt:lpwstr/>
      </vt:variant>
      <vt:variant>
        <vt:lpwstr>_Toc225417201</vt:lpwstr>
      </vt:variant>
      <vt:variant>
        <vt:i4>1441844</vt:i4>
      </vt:variant>
      <vt:variant>
        <vt:i4>8</vt:i4>
      </vt:variant>
      <vt:variant>
        <vt:i4>0</vt:i4>
      </vt:variant>
      <vt:variant>
        <vt:i4>5</vt:i4>
      </vt:variant>
      <vt:variant>
        <vt:lpwstr/>
      </vt:variant>
      <vt:variant>
        <vt:lpwstr>_Toc225417200</vt:lpwstr>
      </vt:variant>
      <vt:variant>
        <vt:i4>2031671</vt:i4>
      </vt:variant>
      <vt:variant>
        <vt:i4>2</vt:i4>
      </vt:variant>
      <vt:variant>
        <vt:i4>0</vt:i4>
      </vt:variant>
      <vt:variant>
        <vt:i4>5</vt:i4>
      </vt:variant>
      <vt:variant>
        <vt:lpwstr/>
      </vt:variant>
      <vt:variant>
        <vt:lpwstr>_Toc225417194</vt:lpwstr>
      </vt:variant>
      <vt:variant>
        <vt:i4>7209062</vt:i4>
      </vt:variant>
      <vt:variant>
        <vt:i4>0</vt:i4>
      </vt:variant>
      <vt:variant>
        <vt:i4>0</vt:i4>
      </vt:variant>
      <vt:variant>
        <vt:i4>5</vt:i4>
      </vt:variant>
      <vt:variant>
        <vt:lpwstr>http://www.juridat.be/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Règles de fond et de forme (Budget communal 2026)</dc:title>
  <dc:subject>FAQ budgétaire communale 2026</dc:subject>
  <dc:creator>FREDERIX Cassandra</dc:creator>
  <cp:keywords/>
  <dc:description>Généré automatiquement par M365 Copilot</dc:description>
  <cp:lastModifiedBy>KNAPEN Philippe</cp:lastModifiedBy>
  <cp:revision>2</cp:revision>
  <cp:lastPrinted>2026-07-09T08:22:00Z</cp:lastPrinted>
  <dcterms:created xsi:type="dcterms:W3CDTF">2026-07-17T07:42:00Z</dcterms:created>
  <dcterms:modified xsi:type="dcterms:W3CDTF">2026-07-17T07:42:00Z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2026-01-13T08:53:08Z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0b0abe17-fd92-4dce-95ab-34fe6cf1f446</vt:lpwstr>
  </property>
  <property fmtid="{D5CDD505-2E9C-101B-9397-08002B2CF9AE}" pid="8" name="MSIP_Label_97a477d1-147d-4e34-b5e3-7b26d2f44870_ContentBits">
    <vt:lpwstr>0</vt:lpwstr>
  </property>
  <property fmtid="{D5CDD505-2E9C-101B-9397-08002B2CF9AE}" pid="9" name="MSIP_Label_97a477d1-147d-4e34-b5e3-7b26d2f44870_Tag">
    <vt:lpwstr>10, 3, 0, 1</vt:lpwstr>
  </property>
  <property fmtid="{D5CDD505-2E9C-101B-9397-08002B2CF9AE}" pid="10" name="ContentTypeId">
    <vt:lpwstr>0x010100FED07AB3A2CE1B4CA8BC3CF5672101E7</vt:lpwstr>
  </property>
  <property fmtid="{D5CDD505-2E9C-101B-9397-08002B2CF9AE}" pid="11" name="docLang">
    <vt:lpwstr>fr</vt:lpwstr>
  </property>
</Properties>
</file>