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40E" w:rsidRPr="0003325F" w:rsidRDefault="004A340E" w:rsidP="004A340E">
      <w:pPr>
        <w:spacing w:before="7" w:after="233" w:line="272" w:lineRule="exact"/>
        <w:jc w:val="both"/>
        <w:textAlignment w:val="baseline"/>
        <w:rPr>
          <w:rFonts w:eastAsia="Times New Roman"/>
          <w:b/>
          <w:i/>
          <w:spacing w:val="3"/>
          <w:sz w:val="24"/>
          <w:szCs w:val="24"/>
          <w:lang w:val="fr-FR"/>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5"/>
        <w:gridCol w:w="12"/>
        <w:gridCol w:w="9356"/>
      </w:tblGrid>
      <w:tr w:rsidR="004A340E" w:rsidRPr="0003325F" w:rsidTr="00A46D3C">
        <w:tc>
          <w:tcPr>
            <w:tcW w:w="10172" w:type="dxa"/>
            <w:gridSpan w:val="3"/>
          </w:tcPr>
          <w:p w:rsidR="004A340E" w:rsidRPr="0003325F" w:rsidRDefault="004A340E" w:rsidP="00A46D3C">
            <w:pPr>
              <w:jc w:val="center"/>
              <w:rPr>
                <w:rFonts w:eastAsia="Times New Roman"/>
                <w:b/>
                <w:sz w:val="24"/>
                <w:szCs w:val="24"/>
                <w:lang w:val="fr-BE"/>
              </w:rPr>
            </w:pPr>
            <w:r w:rsidRPr="0003325F">
              <w:rPr>
                <w:rFonts w:eastAsia="Times New Roman"/>
                <w:b/>
                <w:sz w:val="24"/>
                <w:szCs w:val="24"/>
                <w:lang w:val="fr-BE"/>
              </w:rPr>
              <w:t xml:space="preserve">BUDGET INITIAL COMMUNAL </w:t>
            </w:r>
          </w:p>
          <w:p w:rsidR="004A340E" w:rsidRPr="0003325F" w:rsidRDefault="004A340E" w:rsidP="00A46D3C">
            <w:pPr>
              <w:jc w:val="center"/>
              <w:rPr>
                <w:rFonts w:eastAsia="Times New Roman"/>
                <w:b/>
                <w:sz w:val="24"/>
                <w:szCs w:val="24"/>
                <w:lang w:val="fr-BE"/>
              </w:rPr>
            </w:pPr>
            <w:r w:rsidRPr="0003325F">
              <w:rPr>
                <w:rFonts w:eastAsia="Times New Roman"/>
                <w:b/>
                <w:sz w:val="24"/>
                <w:szCs w:val="24"/>
                <w:lang w:val="fr-BE"/>
              </w:rPr>
              <w:t>LISTE DES PIECES JUSTIFICATIVES OBLIGATOIRES</w:t>
            </w:r>
          </w:p>
        </w:tc>
      </w:tr>
      <w:tr w:rsidR="004A340E" w:rsidRPr="0003325F" w:rsidTr="00A46D3C">
        <w:tc>
          <w:tcPr>
            <w:tcW w:w="817" w:type="dxa"/>
            <w:gridSpan w:val="2"/>
          </w:tcPr>
          <w:p w:rsidR="004A340E" w:rsidRPr="0003325F" w:rsidRDefault="004A340E" w:rsidP="00A46D3C">
            <w:pPr>
              <w:jc w:val="center"/>
              <w:rPr>
                <w:rFonts w:eastAsia="Times New Roman"/>
                <w:sz w:val="24"/>
                <w:szCs w:val="24"/>
              </w:rPr>
            </w:pPr>
            <w:r w:rsidRPr="0003325F">
              <w:rPr>
                <w:rFonts w:eastAsia="Times New Roman"/>
                <w:sz w:val="24"/>
                <w:szCs w:val="24"/>
              </w:rPr>
              <w:t>1</w:t>
            </w:r>
          </w:p>
        </w:tc>
        <w:tc>
          <w:tcPr>
            <w:tcW w:w="9355" w:type="dxa"/>
          </w:tcPr>
          <w:p w:rsidR="004A340E" w:rsidRPr="0003325F" w:rsidRDefault="004A340E" w:rsidP="004A340E">
            <w:pPr>
              <w:rPr>
                <w:rFonts w:eastAsia="Times New Roman"/>
                <w:color w:val="000000"/>
                <w:sz w:val="24"/>
                <w:szCs w:val="24"/>
                <w:lang w:val="fr-BE"/>
              </w:rPr>
            </w:pPr>
            <w:r w:rsidRPr="0003325F">
              <w:rPr>
                <w:rFonts w:eastAsia="Times New Roman"/>
                <w:color w:val="000000"/>
                <w:sz w:val="24"/>
                <w:szCs w:val="24"/>
                <w:lang w:val="fr-BE"/>
              </w:rPr>
              <w:t xml:space="preserve">La délibération </w:t>
            </w:r>
            <w:r w:rsidR="00634883">
              <w:rPr>
                <w:rFonts w:eastAsia="Times New Roman"/>
                <w:color w:val="000000"/>
                <w:sz w:val="24"/>
                <w:szCs w:val="24"/>
                <w:lang w:val="fr-BE"/>
              </w:rPr>
              <w:t>in extenso du Conseil communal -</w:t>
            </w:r>
            <w:r w:rsidRPr="0003325F">
              <w:rPr>
                <w:rFonts w:eastAsia="Times New Roman"/>
                <w:color w:val="000000"/>
                <w:sz w:val="24"/>
                <w:szCs w:val="24"/>
                <w:lang w:val="fr-BE"/>
              </w:rPr>
              <w:t xml:space="preserve"> </w:t>
            </w:r>
            <w:r w:rsidRPr="0003325F">
              <w:rPr>
                <w:rFonts w:eastAsia="Times New Roman"/>
                <w:sz w:val="24"/>
                <w:szCs w:val="24"/>
                <w:lang w:val="fr-BE"/>
              </w:rPr>
              <w:t>Modèle disponible sur le portail des pouvoirs locaux et sur eComptes</w:t>
            </w:r>
          </w:p>
        </w:tc>
      </w:tr>
      <w:tr w:rsidR="004A340E" w:rsidRPr="0003325F" w:rsidTr="00A46D3C">
        <w:tc>
          <w:tcPr>
            <w:tcW w:w="817" w:type="dxa"/>
            <w:gridSpan w:val="2"/>
          </w:tcPr>
          <w:p w:rsidR="004A340E" w:rsidRPr="0003325F" w:rsidRDefault="004A340E" w:rsidP="00A46D3C">
            <w:pPr>
              <w:jc w:val="center"/>
              <w:rPr>
                <w:rFonts w:eastAsia="Times New Roman"/>
                <w:sz w:val="24"/>
                <w:szCs w:val="24"/>
              </w:rPr>
            </w:pPr>
            <w:r w:rsidRPr="0003325F">
              <w:rPr>
                <w:rFonts w:eastAsia="Times New Roman"/>
                <w:sz w:val="24"/>
                <w:szCs w:val="24"/>
              </w:rPr>
              <w:t>2</w:t>
            </w:r>
          </w:p>
        </w:tc>
        <w:tc>
          <w:tcPr>
            <w:tcW w:w="9355" w:type="dxa"/>
          </w:tcPr>
          <w:p w:rsidR="004A340E" w:rsidRPr="0003325F" w:rsidRDefault="004A340E" w:rsidP="00A46D3C">
            <w:pPr>
              <w:rPr>
                <w:rFonts w:eastAsia="Times New Roman"/>
                <w:sz w:val="24"/>
                <w:szCs w:val="24"/>
              </w:rPr>
            </w:pPr>
            <w:r w:rsidRPr="0003325F">
              <w:rPr>
                <w:rFonts w:eastAsia="Times New Roman"/>
                <w:sz w:val="24"/>
                <w:szCs w:val="24"/>
              </w:rPr>
              <w:t xml:space="preserve">Le </w:t>
            </w:r>
            <w:proofErr w:type="spellStart"/>
            <w:r w:rsidRPr="0003325F">
              <w:rPr>
                <w:rFonts w:eastAsia="Times New Roman"/>
                <w:sz w:val="24"/>
                <w:szCs w:val="24"/>
              </w:rPr>
              <w:t>fichier</w:t>
            </w:r>
            <w:proofErr w:type="spellEnd"/>
            <w:r w:rsidRPr="0003325F">
              <w:rPr>
                <w:rFonts w:eastAsia="Times New Roman"/>
                <w:sz w:val="24"/>
                <w:szCs w:val="24"/>
              </w:rPr>
              <w:t xml:space="preserve"> SIC</w:t>
            </w:r>
          </w:p>
        </w:tc>
      </w:tr>
      <w:tr w:rsidR="004A340E" w:rsidRPr="0003325F" w:rsidTr="00A46D3C">
        <w:tc>
          <w:tcPr>
            <w:tcW w:w="817" w:type="dxa"/>
            <w:gridSpan w:val="2"/>
          </w:tcPr>
          <w:p w:rsidR="004A340E" w:rsidRPr="0003325F" w:rsidRDefault="004A340E" w:rsidP="00A46D3C">
            <w:pPr>
              <w:jc w:val="center"/>
              <w:rPr>
                <w:rFonts w:eastAsia="Times New Roman"/>
                <w:sz w:val="24"/>
                <w:szCs w:val="24"/>
              </w:rPr>
            </w:pPr>
            <w:r w:rsidRPr="0003325F">
              <w:rPr>
                <w:rFonts w:eastAsia="Times New Roman"/>
                <w:sz w:val="24"/>
                <w:szCs w:val="24"/>
              </w:rPr>
              <w:t>3</w:t>
            </w:r>
          </w:p>
        </w:tc>
        <w:tc>
          <w:tcPr>
            <w:tcW w:w="9355" w:type="dxa"/>
          </w:tcPr>
          <w:p w:rsidR="004A340E" w:rsidRPr="0003325F" w:rsidRDefault="004A340E" w:rsidP="00A46D3C">
            <w:pPr>
              <w:rPr>
                <w:rFonts w:eastAsia="Times New Roman"/>
                <w:sz w:val="24"/>
                <w:szCs w:val="24"/>
                <w:lang w:val="fr-BE"/>
              </w:rPr>
            </w:pPr>
            <w:r w:rsidRPr="0003325F">
              <w:rPr>
                <w:rFonts w:eastAsia="Times New Roman"/>
                <w:sz w:val="24"/>
                <w:szCs w:val="24"/>
                <w:lang w:val="fr-BE"/>
              </w:rPr>
              <w:t>La version Word du budget</w:t>
            </w:r>
          </w:p>
        </w:tc>
      </w:tr>
      <w:tr w:rsidR="004A340E" w:rsidRPr="0003325F" w:rsidTr="00A46D3C">
        <w:tc>
          <w:tcPr>
            <w:tcW w:w="817" w:type="dxa"/>
            <w:gridSpan w:val="2"/>
          </w:tcPr>
          <w:p w:rsidR="004A340E" w:rsidRPr="0003325F" w:rsidRDefault="004A340E" w:rsidP="00A46D3C">
            <w:pPr>
              <w:jc w:val="center"/>
              <w:rPr>
                <w:rFonts w:eastAsia="Times New Roman"/>
                <w:sz w:val="24"/>
                <w:szCs w:val="24"/>
              </w:rPr>
            </w:pPr>
            <w:r w:rsidRPr="0003325F">
              <w:rPr>
                <w:rFonts w:eastAsia="Times New Roman"/>
                <w:sz w:val="24"/>
                <w:szCs w:val="24"/>
              </w:rPr>
              <w:t>4</w:t>
            </w:r>
          </w:p>
        </w:tc>
        <w:tc>
          <w:tcPr>
            <w:tcW w:w="9355" w:type="dxa"/>
          </w:tcPr>
          <w:p w:rsidR="004A340E" w:rsidRPr="0003325F" w:rsidRDefault="004A340E" w:rsidP="00A46D3C">
            <w:pPr>
              <w:rPr>
                <w:rFonts w:eastAsia="Times New Roman"/>
                <w:sz w:val="24"/>
                <w:szCs w:val="24"/>
                <w:lang w:val="fr-BE"/>
              </w:rPr>
            </w:pPr>
            <w:r w:rsidRPr="0003325F">
              <w:rPr>
                <w:rFonts w:eastAsia="Times New Roman"/>
                <w:sz w:val="24"/>
                <w:szCs w:val="24"/>
                <w:lang w:val="fr-BE"/>
              </w:rPr>
              <w:t>Le rapport tel que prévu par l’article L1122-23 du CDLD</w:t>
            </w:r>
          </w:p>
        </w:tc>
      </w:tr>
      <w:tr w:rsidR="004A340E" w:rsidRPr="0003325F" w:rsidTr="00A46D3C">
        <w:tc>
          <w:tcPr>
            <w:tcW w:w="817" w:type="dxa"/>
            <w:gridSpan w:val="2"/>
          </w:tcPr>
          <w:p w:rsidR="004A340E" w:rsidRPr="0003325F" w:rsidRDefault="004A340E" w:rsidP="00A46D3C">
            <w:pPr>
              <w:jc w:val="center"/>
              <w:rPr>
                <w:rFonts w:eastAsia="Times New Roman"/>
                <w:sz w:val="24"/>
                <w:szCs w:val="24"/>
              </w:rPr>
            </w:pPr>
            <w:r w:rsidRPr="0003325F">
              <w:rPr>
                <w:rFonts w:eastAsia="Times New Roman"/>
                <w:sz w:val="24"/>
                <w:szCs w:val="24"/>
              </w:rPr>
              <w:t>5</w:t>
            </w:r>
          </w:p>
        </w:tc>
        <w:tc>
          <w:tcPr>
            <w:tcW w:w="9355" w:type="dxa"/>
          </w:tcPr>
          <w:p w:rsidR="004A340E" w:rsidRPr="0003325F" w:rsidRDefault="004A340E" w:rsidP="00A46D3C">
            <w:pPr>
              <w:rPr>
                <w:rFonts w:eastAsia="Times New Roman"/>
                <w:sz w:val="24"/>
                <w:szCs w:val="24"/>
                <w:lang w:val="fr-BE"/>
              </w:rPr>
            </w:pPr>
            <w:r w:rsidRPr="0003325F">
              <w:rPr>
                <w:rFonts w:eastAsia="Times New Roman"/>
                <w:sz w:val="24"/>
                <w:szCs w:val="24"/>
                <w:lang w:val="fr-FR"/>
              </w:rPr>
              <w:t xml:space="preserve">L'avis de la commission article 12 du Règlement général de la comptabilité communale - </w:t>
            </w:r>
            <w:r w:rsidRPr="0003325F">
              <w:rPr>
                <w:rFonts w:eastAsia="Times New Roman"/>
                <w:sz w:val="24"/>
                <w:szCs w:val="24"/>
                <w:lang w:val="fr-BE"/>
              </w:rPr>
              <w:t xml:space="preserve">Modèles disponible </w:t>
            </w:r>
            <w:r w:rsidRPr="004A340E">
              <w:rPr>
                <w:rFonts w:eastAsia="Times New Roman"/>
                <w:sz w:val="24"/>
                <w:szCs w:val="24"/>
                <w:lang w:val="fr-BE"/>
              </w:rPr>
              <w:t>sur le portail des pouvoirs locaux ou sur eComptes</w:t>
            </w:r>
          </w:p>
        </w:tc>
      </w:tr>
      <w:tr w:rsidR="004A340E" w:rsidRPr="0003325F" w:rsidTr="00A46D3C">
        <w:tc>
          <w:tcPr>
            <w:tcW w:w="817" w:type="dxa"/>
            <w:gridSpan w:val="2"/>
          </w:tcPr>
          <w:p w:rsidR="004A340E" w:rsidRPr="0003325F" w:rsidRDefault="004A340E" w:rsidP="00A46D3C">
            <w:pPr>
              <w:jc w:val="center"/>
              <w:rPr>
                <w:rFonts w:eastAsia="Times New Roman"/>
                <w:sz w:val="24"/>
                <w:szCs w:val="24"/>
              </w:rPr>
            </w:pPr>
            <w:r w:rsidRPr="0003325F">
              <w:rPr>
                <w:rFonts w:eastAsia="Times New Roman"/>
                <w:sz w:val="24"/>
                <w:szCs w:val="24"/>
              </w:rPr>
              <w:t>6</w:t>
            </w:r>
          </w:p>
        </w:tc>
        <w:tc>
          <w:tcPr>
            <w:tcW w:w="9355" w:type="dxa"/>
          </w:tcPr>
          <w:p w:rsidR="004A340E" w:rsidRPr="0003325F" w:rsidRDefault="004A340E" w:rsidP="00A46D3C">
            <w:pPr>
              <w:rPr>
                <w:rFonts w:eastAsia="Times New Roman"/>
                <w:sz w:val="24"/>
                <w:szCs w:val="24"/>
                <w:lang w:val="fr-FR"/>
              </w:rPr>
            </w:pPr>
            <w:r w:rsidRPr="0003325F">
              <w:rPr>
                <w:rFonts w:eastAsia="Times New Roman"/>
                <w:sz w:val="24"/>
                <w:szCs w:val="24"/>
                <w:lang w:val="fr-FR"/>
              </w:rPr>
              <w:t>Les tableaux de synthèse ordinaire et extraordinaire et leurs adaptations dûment signées par le directeur financier</w:t>
            </w:r>
          </w:p>
        </w:tc>
      </w:tr>
      <w:tr w:rsidR="004A340E" w:rsidRPr="0003325F" w:rsidTr="00A46D3C">
        <w:tc>
          <w:tcPr>
            <w:tcW w:w="817" w:type="dxa"/>
            <w:gridSpan w:val="2"/>
          </w:tcPr>
          <w:p w:rsidR="004A340E" w:rsidRPr="0003325F" w:rsidRDefault="004A340E" w:rsidP="00A46D3C">
            <w:pPr>
              <w:jc w:val="center"/>
              <w:rPr>
                <w:rFonts w:eastAsia="Times New Roman"/>
                <w:sz w:val="24"/>
                <w:szCs w:val="24"/>
              </w:rPr>
            </w:pPr>
            <w:r w:rsidRPr="0003325F">
              <w:rPr>
                <w:rFonts w:eastAsia="Times New Roman"/>
                <w:sz w:val="24"/>
                <w:szCs w:val="24"/>
              </w:rPr>
              <w:t>7</w:t>
            </w:r>
          </w:p>
        </w:tc>
        <w:tc>
          <w:tcPr>
            <w:tcW w:w="9355" w:type="dxa"/>
          </w:tcPr>
          <w:p w:rsidR="004A340E" w:rsidRPr="0003325F" w:rsidRDefault="004A340E" w:rsidP="00A46D3C">
            <w:pPr>
              <w:rPr>
                <w:rFonts w:eastAsia="Times New Roman"/>
                <w:sz w:val="24"/>
                <w:szCs w:val="24"/>
                <w:lang w:val="fr-FR"/>
              </w:rPr>
            </w:pPr>
            <w:r w:rsidRPr="0003325F">
              <w:rPr>
                <w:rFonts w:eastAsia="Times New Roman"/>
                <w:sz w:val="24"/>
                <w:szCs w:val="24"/>
                <w:lang w:val="fr-FR"/>
              </w:rPr>
              <w:t>Le tableau des voies et moyens issu du système informatique trié par numéros de projets ventilés par articles budgétaires, tableau intitulé : « tableau budgétaire récapitulatif des projets extraordinaires et leur voies et moyens ».</w:t>
            </w:r>
          </w:p>
        </w:tc>
      </w:tr>
      <w:tr w:rsidR="004A340E" w:rsidRPr="0003325F" w:rsidTr="00A46D3C">
        <w:tc>
          <w:tcPr>
            <w:tcW w:w="817" w:type="dxa"/>
            <w:gridSpan w:val="2"/>
          </w:tcPr>
          <w:p w:rsidR="004A340E" w:rsidRPr="0003325F" w:rsidRDefault="004A340E" w:rsidP="00A46D3C">
            <w:pPr>
              <w:jc w:val="center"/>
              <w:rPr>
                <w:rFonts w:eastAsia="Times New Roman"/>
                <w:sz w:val="24"/>
                <w:szCs w:val="24"/>
              </w:rPr>
            </w:pPr>
            <w:r w:rsidRPr="0003325F">
              <w:rPr>
                <w:rFonts w:eastAsia="Times New Roman"/>
                <w:sz w:val="24"/>
                <w:szCs w:val="24"/>
              </w:rPr>
              <w:t>8</w:t>
            </w:r>
          </w:p>
        </w:tc>
        <w:tc>
          <w:tcPr>
            <w:tcW w:w="9355" w:type="dxa"/>
            <w:shd w:val="clear" w:color="auto" w:fill="auto"/>
          </w:tcPr>
          <w:p w:rsidR="004A340E" w:rsidRPr="0003325F" w:rsidRDefault="004A340E" w:rsidP="00A46D3C">
            <w:pPr>
              <w:rPr>
                <w:rFonts w:eastAsia="Times New Roman"/>
                <w:sz w:val="24"/>
                <w:szCs w:val="24"/>
                <w:lang w:val="fr-FR"/>
              </w:rPr>
            </w:pPr>
            <w:r w:rsidRPr="0003325F">
              <w:rPr>
                <w:rFonts w:eastAsia="Times New Roman"/>
                <w:sz w:val="24"/>
                <w:szCs w:val="24"/>
                <w:lang w:val="fr-FR"/>
              </w:rPr>
              <w:t>Le/Les tableau(x) des emprunts communaux contractés et à contracter présenté(s) par emprunt avec récapitulation</w:t>
            </w:r>
          </w:p>
        </w:tc>
      </w:tr>
      <w:tr w:rsidR="004A340E" w:rsidRPr="0003325F" w:rsidTr="00A46D3C">
        <w:tc>
          <w:tcPr>
            <w:tcW w:w="817" w:type="dxa"/>
            <w:gridSpan w:val="2"/>
          </w:tcPr>
          <w:p w:rsidR="004A340E" w:rsidRPr="0003325F" w:rsidRDefault="004A340E" w:rsidP="00A46D3C">
            <w:pPr>
              <w:jc w:val="center"/>
              <w:rPr>
                <w:rFonts w:eastAsia="Times New Roman"/>
                <w:sz w:val="24"/>
                <w:szCs w:val="24"/>
              </w:rPr>
            </w:pPr>
            <w:r w:rsidRPr="0003325F">
              <w:rPr>
                <w:rFonts w:eastAsia="Times New Roman"/>
                <w:sz w:val="24"/>
                <w:szCs w:val="24"/>
              </w:rPr>
              <w:t>9</w:t>
            </w:r>
          </w:p>
        </w:tc>
        <w:tc>
          <w:tcPr>
            <w:tcW w:w="9355" w:type="dxa"/>
          </w:tcPr>
          <w:p w:rsidR="004A340E" w:rsidRPr="0003325F" w:rsidRDefault="004A340E" w:rsidP="00A46D3C">
            <w:pPr>
              <w:rPr>
                <w:rFonts w:eastAsia="Times New Roman"/>
                <w:sz w:val="24"/>
                <w:szCs w:val="24"/>
                <w:lang w:val="fr-FR"/>
              </w:rPr>
            </w:pPr>
            <w:r w:rsidRPr="0003325F">
              <w:rPr>
                <w:rFonts w:eastAsia="Times New Roman"/>
                <w:sz w:val="24"/>
                <w:szCs w:val="24"/>
                <w:lang w:val="fr-FR"/>
              </w:rPr>
              <w:t xml:space="preserve">Stabilité de la charge de la dette : tableau justifiant la stabilité + tableau reprenant, par exercice, les montants qui ont servi à l'autofinancement du service extraordinaire ainsi que les montants affectés à des remboursements anticipés d'emprunts (soit sur boni extraordinaire, soit par transfert direct de service, soit par prélèvement via un fonds de réserve) </w:t>
            </w:r>
            <w:r w:rsidRPr="004A340E">
              <w:rPr>
                <w:rFonts w:eastAsia="Times New Roman"/>
                <w:sz w:val="24"/>
                <w:szCs w:val="24"/>
                <w:lang w:val="fr-FR"/>
              </w:rPr>
              <w:t xml:space="preserve">- </w:t>
            </w:r>
            <w:r w:rsidRPr="004A340E">
              <w:rPr>
                <w:rFonts w:eastAsia="Times New Roman"/>
                <w:sz w:val="24"/>
                <w:szCs w:val="24"/>
                <w:lang w:val="fr-BE"/>
              </w:rPr>
              <w:t>Modèle disponible sur le portail des pouvoirs locaux</w:t>
            </w:r>
            <w:r w:rsidRPr="0003325F">
              <w:rPr>
                <w:rFonts w:eastAsia="Times New Roman"/>
                <w:sz w:val="24"/>
                <w:szCs w:val="24"/>
                <w:lang w:val="fr-FR"/>
              </w:rPr>
              <w:t xml:space="preserve"> </w:t>
            </w:r>
          </w:p>
        </w:tc>
      </w:tr>
      <w:tr w:rsidR="004A340E" w:rsidRPr="0003325F" w:rsidTr="00A46D3C">
        <w:tc>
          <w:tcPr>
            <w:tcW w:w="817" w:type="dxa"/>
            <w:gridSpan w:val="2"/>
          </w:tcPr>
          <w:p w:rsidR="004A340E" w:rsidRPr="0003325F" w:rsidRDefault="004A340E" w:rsidP="00A46D3C">
            <w:pPr>
              <w:jc w:val="center"/>
              <w:rPr>
                <w:rFonts w:eastAsia="Times New Roman"/>
                <w:sz w:val="24"/>
                <w:szCs w:val="24"/>
              </w:rPr>
            </w:pPr>
            <w:r w:rsidRPr="0003325F">
              <w:rPr>
                <w:rFonts w:eastAsia="Times New Roman"/>
                <w:sz w:val="24"/>
                <w:szCs w:val="24"/>
              </w:rPr>
              <w:t>10</w:t>
            </w:r>
          </w:p>
        </w:tc>
        <w:tc>
          <w:tcPr>
            <w:tcW w:w="9355" w:type="dxa"/>
          </w:tcPr>
          <w:p w:rsidR="004A340E" w:rsidRPr="0003325F" w:rsidRDefault="004A340E" w:rsidP="004A340E">
            <w:pPr>
              <w:rPr>
                <w:rFonts w:eastAsia="Times New Roman"/>
                <w:sz w:val="24"/>
                <w:szCs w:val="24"/>
                <w:lang w:val="fr-FR"/>
              </w:rPr>
            </w:pPr>
            <w:r w:rsidRPr="0003325F">
              <w:rPr>
                <w:rFonts w:eastAsia="Times New Roman"/>
                <w:sz w:val="24"/>
                <w:szCs w:val="24"/>
                <w:lang w:val="fr-FR"/>
              </w:rPr>
              <w:t>La liste des participations à libérer au cours de l'année pour la SPGE/AIDE</w:t>
            </w:r>
            <w:r w:rsidRPr="0003325F">
              <w:rPr>
                <w:rFonts w:eastAsia="Times New Roman"/>
                <w:sz w:val="24"/>
                <w:szCs w:val="24"/>
                <w:lang w:val="fr-BE"/>
              </w:rPr>
              <w:t xml:space="preserve"> - Modèle disponible sur le portail des pouvoirs locaux</w:t>
            </w:r>
            <w:r w:rsidRPr="0003325F">
              <w:rPr>
                <w:rFonts w:eastAsia="Times New Roman"/>
                <w:sz w:val="24"/>
                <w:szCs w:val="24"/>
                <w:lang w:val="fr-FR"/>
              </w:rPr>
              <w:t xml:space="preserve"> </w:t>
            </w:r>
          </w:p>
        </w:tc>
      </w:tr>
      <w:tr w:rsidR="004A340E" w:rsidRPr="0003325F" w:rsidTr="00A46D3C">
        <w:tc>
          <w:tcPr>
            <w:tcW w:w="817" w:type="dxa"/>
            <w:gridSpan w:val="2"/>
          </w:tcPr>
          <w:p w:rsidR="004A340E" w:rsidRPr="0003325F" w:rsidRDefault="004A340E" w:rsidP="00A46D3C">
            <w:pPr>
              <w:jc w:val="center"/>
              <w:rPr>
                <w:rFonts w:eastAsia="Times New Roman"/>
                <w:sz w:val="24"/>
                <w:szCs w:val="24"/>
              </w:rPr>
            </w:pPr>
            <w:r w:rsidRPr="0003325F">
              <w:rPr>
                <w:rFonts w:eastAsia="Times New Roman"/>
                <w:sz w:val="24"/>
                <w:szCs w:val="24"/>
              </w:rPr>
              <w:t>11</w:t>
            </w:r>
          </w:p>
        </w:tc>
        <w:tc>
          <w:tcPr>
            <w:tcW w:w="9355" w:type="dxa"/>
          </w:tcPr>
          <w:p w:rsidR="004A340E" w:rsidRPr="0003325F" w:rsidRDefault="004A340E" w:rsidP="004A340E">
            <w:pPr>
              <w:rPr>
                <w:rFonts w:eastAsia="Times New Roman"/>
                <w:sz w:val="24"/>
                <w:szCs w:val="24"/>
                <w:lang w:val="fr-FR"/>
              </w:rPr>
            </w:pPr>
            <w:r w:rsidRPr="0003325F">
              <w:rPr>
                <w:rFonts w:eastAsia="Times New Roman"/>
                <w:sz w:val="24"/>
                <w:szCs w:val="24"/>
                <w:lang w:val="fr-FR"/>
              </w:rPr>
              <w:t xml:space="preserve">Les mouvements des réserves et provisions - </w:t>
            </w:r>
            <w:r w:rsidRPr="0003325F">
              <w:rPr>
                <w:rFonts w:eastAsia="Times New Roman"/>
                <w:sz w:val="24"/>
                <w:szCs w:val="24"/>
                <w:lang w:val="fr-BE"/>
              </w:rPr>
              <w:t>Modèle disponible sur le portail des pouvoirs locaux ou sur eComptes</w:t>
            </w:r>
          </w:p>
        </w:tc>
      </w:tr>
      <w:tr w:rsidR="004A340E" w:rsidRPr="0003325F" w:rsidTr="00A46D3C">
        <w:tc>
          <w:tcPr>
            <w:tcW w:w="817" w:type="dxa"/>
            <w:gridSpan w:val="2"/>
          </w:tcPr>
          <w:p w:rsidR="004A340E" w:rsidRPr="0003325F" w:rsidRDefault="004A340E" w:rsidP="00A46D3C">
            <w:pPr>
              <w:jc w:val="center"/>
              <w:rPr>
                <w:rFonts w:eastAsia="Times New Roman"/>
                <w:sz w:val="24"/>
                <w:szCs w:val="24"/>
              </w:rPr>
            </w:pPr>
            <w:r w:rsidRPr="0003325F">
              <w:rPr>
                <w:rFonts w:eastAsia="Times New Roman"/>
                <w:sz w:val="24"/>
                <w:szCs w:val="24"/>
              </w:rPr>
              <w:t>12</w:t>
            </w:r>
          </w:p>
        </w:tc>
        <w:tc>
          <w:tcPr>
            <w:tcW w:w="9355" w:type="dxa"/>
          </w:tcPr>
          <w:p w:rsidR="004A340E" w:rsidRPr="0003325F" w:rsidRDefault="004A340E" w:rsidP="004A340E">
            <w:pPr>
              <w:rPr>
                <w:rFonts w:eastAsia="Times New Roman"/>
                <w:sz w:val="24"/>
                <w:szCs w:val="24"/>
                <w:lang w:val="fr-FR"/>
              </w:rPr>
            </w:pPr>
            <w:r w:rsidRPr="0003325F">
              <w:rPr>
                <w:rFonts w:eastAsia="Times New Roman"/>
                <w:sz w:val="24"/>
                <w:szCs w:val="24"/>
                <w:lang w:val="fr-FR"/>
              </w:rPr>
              <w:t>La liste des garanties de bonne fin accordées par la commune à des tiers</w:t>
            </w:r>
            <w:r w:rsidRPr="0003325F">
              <w:rPr>
                <w:rFonts w:eastAsia="Times New Roman"/>
                <w:sz w:val="24"/>
                <w:szCs w:val="24"/>
                <w:lang w:val="fr-BE"/>
              </w:rPr>
              <w:t xml:space="preserve"> - Modèle disponible sur le portail des pouvoirs locaux</w:t>
            </w:r>
            <w:r w:rsidRPr="0003325F">
              <w:rPr>
                <w:rFonts w:eastAsia="Times New Roman"/>
                <w:sz w:val="24"/>
                <w:szCs w:val="24"/>
                <w:lang w:val="fr-FR"/>
              </w:rPr>
              <w:t xml:space="preserve"> </w:t>
            </w:r>
          </w:p>
        </w:tc>
      </w:tr>
      <w:tr w:rsidR="004A340E" w:rsidRPr="0003325F" w:rsidTr="00A46D3C">
        <w:tc>
          <w:tcPr>
            <w:tcW w:w="817" w:type="dxa"/>
            <w:gridSpan w:val="2"/>
          </w:tcPr>
          <w:p w:rsidR="004A340E" w:rsidRPr="0003325F" w:rsidRDefault="004A340E" w:rsidP="00A46D3C">
            <w:pPr>
              <w:jc w:val="center"/>
              <w:rPr>
                <w:rFonts w:eastAsia="Times New Roman"/>
                <w:sz w:val="24"/>
                <w:szCs w:val="24"/>
              </w:rPr>
            </w:pPr>
            <w:r w:rsidRPr="0003325F">
              <w:rPr>
                <w:rFonts w:eastAsia="Times New Roman"/>
                <w:sz w:val="24"/>
                <w:szCs w:val="24"/>
              </w:rPr>
              <w:t>13</w:t>
            </w:r>
          </w:p>
        </w:tc>
        <w:tc>
          <w:tcPr>
            <w:tcW w:w="9355" w:type="dxa"/>
          </w:tcPr>
          <w:p w:rsidR="004A340E" w:rsidRPr="0003325F" w:rsidRDefault="004A340E" w:rsidP="00A46D3C">
            <w:pPr>
              <w:rPr>
                <w:rFonts w:eastAsia="Times New Roman"/>
                <w:sz w:val="24"/>
                <w:szCs w:val="24"/>
                <w:lang w:val="fr-FR"/>
              </w:rPr>
            </w:pPr>
            <w:r w:rsidRPr="0003325F">
              <w:rPr>
                <w:rFonts w:eastAsia="Times New Roman"/>
                <w:sz w:val="24"/>
                <w:szCs w:val="24"/>
                <w:lang w:val="fr-FR"/>
              </w:rPr>
              <w:t>Le tableau du personnel communal comprenant tous les éléments chiffrés de la rémunération</w:t>
            </w:r>
          </w:p>
        </w:tc>
      </w:tr>
      <w:tr w:rsidR="004A340E" w:rsidRPr="0003325F" w:rsidTr="00A46D3C">
        <w:tc>
          <w:tcPr>
            <w:tcW w:w="817" w:type="dxa"/>
            <w:gridSpan w:val="2"/>
          </w:tcPr>
          <w:p w:rsidR="004A340E" w:rsidRPr="0003325F" w:rsidRDefault="004A340E" w:rsidP="00A46D3C">
            <w:pPr>
              <w:jc w:val="center"/>
              <w:rPr>
                <w:rFonts w:eastAsia="Times New Roman"/>
                <w:sz w:val="24"/>
                <w:szCs w:val="24"/>
              </w:rPr>
            </w:pPr>
            <w:r w:rsidRPr="0003325F">
              <w:rPr>
                <w:rFonts w:eastAsia="Times New Roman"/>
                <w:sz w:val="24"/>
                <w:szCs w:val="24"/>
              </w:rPr>
              <w:t>14</w:t>
            </w:r>
          </w:p>
        </w:tc>
        <w:tc>
          <w:tcPr>
            <w:tcW w:w="9355" w:type="dxa"/>
          </w:tcPr>
          <w:p w:rsidR="004A340E" w:rsidRPr="0003325F" w:rsidRDefault="004A340E" w:rsidP="004A340E">
            <w:pPr>
              <w:rPr>
                <w:rFonts w:eastAsia="Times New Roman"/>
                <w:sz w:val="24"/>
                <w:szCs w:val="24"/>
                <w:lang w:val="fr-FR"/>
              </w:rPr>
            </w:pPr>
            <w:r w:rsidRPr="0003325F">
              <w:rPr>
                <w:rFonts w:eastAsia="Times New Roman"/>
                <w:sz w:val="24"/>
                <w:szCs w:val="24"/>
                <w:lang w:val="fr-FR"/>
              </w:rPr>
              <w:t xml:space="preserve">La note concernant le plan de mouvement du personnel et d'embauche sur minimum 2 ans - </w:t>
            </w:r>
            <w:r w:rsidRPr="0003325F">
              <w:rPr>
                <w:rFonts w:eastAsia="Times New Roman"/>
                <w:sz w:val="24"/>
                <w:szCs w:val="24"/>
                <w:lang w:val="fr-BE"/>
              </w:rPr>
              <w:t>Modèle disponible sur le portail des pouvoirs locau</w:t>
            </w:r>
            <w:r>
              <w:rPr>
                <w:rFonts w:eastAsia="Times New Roman"/>
                <w:sz w:val="24"/>
                <w:szCs w:val="24"/>
                <w:lang w:val="fr-BE"/>
              </w:rPr>
              <w:t>x</w:t>
            </w:r>
          </w:p>
        </w:tc>
      </w:tr>
      <w:tr w:rsidR="004A340E" w:rsidRPr="0003325F" w:rsidTr="00A46D3C">
        <w:tc>
          <w:tcPr>
            <w:tcW w:w="817" w:type="dxa"/>
            <w:gridSpan w:val="2"/>
          </w:tcPr>
          <w:p w:rsidR="004A340E" w:rsidRPr="0003325F" w:rsidRDefault="004A340E" w:rsidP="00A46D3C">
            <w:pPr>
              <w:jc w:val="center"/>
              <w:rPr>
                <w:rFonts w:eastAsia="Times New Roman"/>
                <w:sz w:val="24"/>
                <w:szCs w:val="24"/>
              </w:rPr>
            </w:pPr>
            <w:r w:rsidRPr="0003325F">
              <w:rPr>
                <w:rFonts w:eastAsia="Times New Roman"/>
                <w:sz w:val="24"/>
                <w:szCs w:val="24"/>
              </w:rPr>
              <w:t>15</w:t>
            </w:r>
          </w:p>
        </w:tc>
        <w:tc>
          <w:tcPr>
            <w:tcW w:w="9355" w:type="dxa"/>
          </w:tcPr>
          <w:p w:rsidR="004A340E" w:rsidRPr="0003325F" w:rsidRDefault="004A340E" w:rsidP="004A340E">
            <w:pPr>
              <w:rPr>
                <w:rFonts w:eastAsia="Times New Roman"/>
                <w:sz w:val="24"/>
                <w:szCs w:val="24"/>
                <w:lang w:val="fr-FR"/>
              </w:rPr>
            </w:pPr>
            <w:r w:rsidRPr="0003325F">
              <w:rPr>
                <w:rFonts w:eastAsia="Times New Roman"/>
                <w:sz w:val="24"/>
                <w:szCs w:val="24"/>
                <w:lang w:val="fr-FR"/>
              </w:rPr>
              <w:t>Le tableau figurant normalement en tête du budget et portant les renseignements généraux sur la commune</w:t>
            </w:r>
            <w:r w:rsidRPr="0003325F">
              <w:rPr>
                <w:rFonts w:eastAsia="Times New Roman"/>
                <w:sz w:val="24"/>
                <w:szCs w:val="24"/>
                <w:lang w:val="fr-BE"/>
              </w:rPr>
              <w:t xml:space="preserve"> - Modèle disponible sur le portail des pouvoirs locaux</w:t>
            </w:r>
            <w:r>
              <w:rPr>
                <w:rFonts w:eastAsia="Times New Roman"/>
                <w:sz w:val="24"/>
                <w:szCs w:val="24"/>
                <w:lang w:val="fr-BE"/>
              </w:rPr>
              <w:t xml:space="preserve"> </w:t>
            </w:r>
          </w:p>
        </w:tc>
      </w:tr>
      <w:tr w:rsidR="004A340E" w:rsidRPr="0003325F" w:rsidTr="00A46D3C">
        <w:tc>
          <w:tcPr>
            <w:tcW w:w="817" w:type="dxa"/>
            <w:gridSpan w:val="2"/>
          </w:tcPr>
          <w:p w:rsidR="004A340E" w:rsidRPr="0003325F" w:rsidRDefault="004A340E" w:rsidP="00A46D3C">
            <w:pPr>
              <w:jc w:val="center"/>
              <w:rPr>
                <w:rFonts w:eastAsia="Times New Roman"/>
                <w:sz w:val="24"/>
                <w:szCs w:val="24"/>
              </w:rPr>
            </w:pPr>
            <w:r w:rsidRPr="0003325F">
              <w:rPr>
                <w:rFonts w:eastAsia="Times New Roman"/>
                <w:sz w:val="24"/>
                <w:szCs w:val="24"/>
              </w:rPr>
              <w:t>16</w:t>
            </w:r>
          </w:p>
        </w:tc>
        <w:tc>
          <w:tcPr>
            <w:tcW w:w="9355" w:type="dxa"/>
          </w:tcPr>
          <w:p w:rsidR="004A340E" w:rsidRPr="0003325F" w:rsidRDefault="004A340E" w:rsidP="00A46D3C">
            <w:pPr>
              <w:rPr>
                <w:rFonts w:eastAsia="Times New Roman"/>
                <w:sz w:val="24"/>
                <w:szCs w:val="24"/>
                <w:lang w:val="fr-FR"/>
              </w:rPr>
            </w:pPr>
            <w:r w:rsidRPr="0003325F">
              <w:rPr>
                <w:rFonts w:eastAsia="Times New Roman"/>
                <w:sz w:val="24"/>
                <w:szCs w:val="24"/>
                <w:lang w:val="fr-FR"/>
              </w:rPr>
              <w:t>Les informations pour l'inscription PI</w:t>
            </w:r>
          </w:p>
        </w:tc>
      </w:tr>
      <w:tr w:rsidR="004A340E" w:rsidRPr="0003325F" w:rsidTr="00A46D3C">
        <w:tc>
          <w:tcPr>
            <w:tcW w:w="817" w:type="dxa"/>
            <w:gridSpan w:val="2"/>
          </w:tcPr>
          <w:p w:rsidR="004A340E" w:rsidRPr="0003325F" w:rsidRDefault="004A340E" w:rsidP="00A46D3C">
            <w:pPr>
              <w:jc w:val="center"/>
              <w:rPr>
                <w:rFonts w:eastAsia="Times New Roman"/>
                <w:sz w:val="24"/>
                <w:szCs w:val="24"/>
              </w:rPr>
            </w:pPr>
            <w:r w:rsidRPr="0003325F">
              <w:rPr>
                <w:rFonts w:eastAsia="Times New Roman"/>
                <w:sz w:val="24"/>
                <w:szCs w:val="24"/>
              </w:rPr>
              <w:t>17</w:t>
            </w:r>
          </w:p>
        </w:tc>
        <w:tc>
          <w:tcPr>
            <w:tcW w:w="9355" w:type="dxa"/>
          </w:tcPr>
          <w:p w:rsidR="004A340E" w:rsidRPr="0003325F" w:rsidRDefault="004A340E" w:rsidP="00A46D3C">
            <w:pPr>
              <w:rPr>
                <w:rFonts w:eastAsia="Times New Roman"/>
                <w:sz w:val="24"/>
                <w:szCs w:val="24"/>
                <w:lang w:val="fr-FR"/>
              </w:rPr>
            </w:pPr>
            <w:r w:rsidRPr="0003325F">
              <w:rPr>
                <w:rFonts w:eastAsia="Times New Roman"/>
                <w:sz w:val="24"/>
                <w:szCs w:val="24"/>
                <w:lang w:val="fr-FR"/>
              </w:rPr>
              <w:t>Les informations pour l'inscription IPP</w:t>
            </w:r>
          </w:p>
        </w:tc>
      </w:tr>
      <w:tr w:rsidR="004A340E" w:rsidRPr="0003325F" w:rsidTr="00A46D3C">
        <w:tc>
          <w:tcPr>
            <w:tcW w:w="817" w:type="dxa"/>
            <w:gridSpan w:val="2"/>
          </w:tcPr>
          <w:p w:rsidR="004A340E" w:rsidRPr="0003325F" w:rsidRDefault="004A340E" w:rsidP="00A46D3C">
            <w:pPr>
              <w:jc w:val="center"/>
              <w:rPr>
                <w:rFonts w:eastAsia="Times New Roman"/>
                <w:sz w:val="24"/>
                <w:szCs w:val="24"/>
              </w:rPr>
            </w:pPr>
            <w:r w:rsidRPr="0003325F">
              <w:rPr>
                <w:rFonts w:eastAsia="Times New Roman"/>
                <w:sz w:val="24"/>
                <w:szCs w:val="24"/>
              </w:rPr>
              <w:t>18</w:t>
            </w:r>
          </w:p>
        </w:tc>
        <w:tc>
          <w:tcPr>
            <w:tcW w:w="9355" w:type="dxa"/>
          </w:tcPr>
          <w:p w:rsidR="004A340E" w:rsidRPr="0003325F" w:rsidRDefault="004A340E" w:rsidP="00A46D3C">
            <w:pPr>
              <w:rPr>
                <w:rFonts w:eastAsia="Times New Roman"/>
                <w:sz w:val="24"/>
                <w:szCs w:val="24"/>
                <w:lang w:val="fr-FR"/>
              </w:rPr>
            </w:pPr>
            <w:r w:rsidRPr="0003325F">
              <w:rPr>
                <w:rFonts w:eastAsia="Times New Roman"/>
                <w:sz w:val="24"/>
                <w:szCs w:val="24"/>
                <w:lang w:val="fr-FR"/>
              </w:rPr>
              <w:t>La copie des documents en provenance des intercommunales déterminant les dividendes et redevances (voirie - gaz) à inscrire au budget de l'exercice, dans toute la mesure décomposés par type de recette (dividende normal - redevance).</w:t>
            </w:r>
          </w:p>
        </w:tc>
      </w:tr>
      <w:tr w:rsidR="004A340E" w:rsidRPr="0003325F" w:rsidTr="00A46D3C">
        <w:tc>
          <w:tcPr>
            <w:tcW w:w="817" w:type="dxa"/>
            <w:gridSpan w:val="2"/>
          </w:tcPr>
          <w:p w:rsidR="004A340E" w:rsidRPr="0003325F" w:rsidRDefault="004A340E" w:rsidP="00A46D3C">
            <w:pPr>
              <w:jc w:val="center"/>
              <w:rPr>
                <w:rFonts w:eastAsia="Times New Roman"/>
                <w:sz w:val="24"/>
                <w:szCs w:val="24"/>
              </w:rPr>
            </w:pPr>
            <w:r w:rsidRPr="0003325F">
              <w:rPr>
                <w:rFonts w:eastAsia="Times New Roman"/>
                <w:sz w:val="24"/>
                <w:szCs w:val="24"/>
              </w:rPr>
              <w:t>19</w:t>
            </w:r>
          </w:p>
        </w:tc>
        <w:tc>
          <w:tcPr>
            <w:tcW w:w="9355" w:type="dxa"/>
          </w:tcPr>
          <w:p w:rsidR="004A340E" w:rsidRPr="0003325F" w:rsidRDefault="004A340E" w:rsidP="00A46D3C">
            <w:pPr>
              <w:rPr>
                <w:rFonts w:eastAsia="Times New Roman"/>
                <w:sz w:val="24"/>
                <w:szCs w:val="24"/>
                <w:lang w:val="fr-FR"/>
              </w:rPr>
            </w:pPr>
            <w:r w:rsidRPr="0003325F">
              <w:rPr>
                <w:rFonts w:eastAsia="Times New Roman"/>
                <w:sz w:val="24"/>
                <w:szCs w:val="24"/>
                <w:lang w:val="fr-FR"/>
              </w:rPr>
              <w:t>Quand il existe, l’avis du Directeur financier rendu en application de l’article L</w:t>
            </w:r>
            <w:r w:rsidRPr="0003325F">
              <w:rPr>
                <w:rFonts w:eastAsia="Times New Roman"/>
                <w:sz w:val="24"/>
                <w:szCs w:val="24"/>
                <w:lang w:val="fr-FR" w:eastAsia="fr-FR"/>
              </w:rPr>
              <w:t>1124-40 du CDLD</w:t>
            </w:r>
          </w:p>
        </w:tc>
      </w:tr>
      <w:tr w:rsidR="004A340E" w:rsidRPr="0003325F" w:rsidTr="00A46D3C">
        <w:tc>
          <w:tcPr>
            <w:tcW w:w="817" w:type="dxa"/>
            <w:gridSpan w:val="2"/>
          </w:tcPr>
          <w:p w:rsidR="004A340E" w:rsidRPr="0003325F" w:rsidRDefault="004A340E" w:rsidP="00A46D3C">
            <w:pPr>
              <w:jc w:val="center"/>
              <w:rPr>
                <w:rFonts w:eastAsia="Times New Roman"/>
                <w:sz w:val="24"/>
                <w:szCs w:val="24"/>
              </w:rPr>
            </w:pPr>
            <w:r w:rsidRPr="0003325F">
              <w:rPr>
                <w:rFonts w:eastAsia="Times New Roman"/>
                <w:sz w:val="24"/>
                <w:szCs w:val="24"/>
              </w:rPr>
              <w:t>20</w:t>
            </w:r>
          </w:p>
        </w:tc>
        <w:tc>
          <w:tcPr>
            <w:tcW w:w="9355" w:type="dxa"/>
          </w:tcPr>
          <w:p w:rsidR="004A340E" w:rsidRPr="0003325F" w:rsidRDefault="004A340E" w:rsidP="000F4EA6">
            <w:pPr>
              <w:rPr>
                <w:rFonts w:eastAsia="Times New Roman"/>
                <w:sz w:val="24"/>
                <w:szCs w:val="24"/>
                <w:lang w:val="fr-FR"/>
              </w:rPr>
            </w:pPr>
            <w:r w:rsidRPr="0003325F">
              <w:rPr>
                <w:rFonts w:eastAsia="Times New Roman"/>
                <w:sz w:val="24"/>
                <w:szCs w:val="24"/>
                <w:lang w:val="fr-FR"/>
              </w:rPr>
              <w:t xml:space="preserve">Le tableau permettant de vérifier le </w:t>
            </w:r>
            <w:r w:rsidR="000F4EA6">
              <w:rPr>
                <w:rFonts w:eastAsia="Times New Roman"/>
                <w:sz w:val="24"/>
                <w:szCs w:val="24"/>
                <w:lang w:val="fr-FR"/>
              </w:rPr>
              <w:t xml:space="preserve">respect de la balise d’emprunt </w:t>
            </w:r>
            <w:r w:rsidRPr="0003325F">
              <w:rPr>
                <w:rFonts w:eastAsia="Times New Roman"/>
                <w:sz w:val="24"/>
                <w:szCs w:val="24"/>
                <w:lang w:val="fr-FR"/>
              </w:rPr>
              <w:t xml:space="preserve">- </w:t>
            </w:r>
            <w:r w:rsidRPr="0003325F">
              <w:rPr>
                <w:rFonts w:eastAsia="Times New Roman"/>
                <w:sz w:val="24"/>
                <w:szCs w:val="24"/>
                <w:lang w:val="fr-BE"/>
              </w:rPr>
              <w:t xml:space="preserve">Modèle disponible sur le portail des pouvoirs locaux : </w:t>
            </w:r>
          </w:p>
        </w:tc>
      </w:tr>
      <w:tr w:rsidR="004A340E" w:rsidRPr="0003325F" w:rsidTr="00A46D3C">
        <w:tc>
          <w:tcPr>
            <w:tcW w:w="817" w:type="dxa"/>
            <w:gridSpan w:val="2"/>
          </w:tcPr>
          <w:p w:rsidR="004A340E" w:rsidRPr="0040699C" w:rsidRDefault="004A340E" w:rsidP="00A46D3C">
            <w:pPr>
              <w:jc w:val="center"/>
              <w:rPr>
                <w:rFonts w:eastAsia="Times New Roman"/>
                <w:sz w:val="24"/>
                <w:szCs w:val="24"/>
              </w:rPr>
            </w:pPr>
            <w:r w:rsidRPr="0040699C">
              <w:rPr>
                <w:rFonts w:eastAsia="Times New Roman"/>
                <w:sz w:val="24"/>
                <w:szCs w:val="24"/>
              </w:rPr>
              <w:t>21</w:t>
            </w:r>
          </w:p>
        </w:tc>
        <w:tc>
          <w:tcPr>
            <w:tcW w:w="9355" w:type="dxa"/>
          </w:tcPr>
          <w:p w:rsidR="004A340E" w:rsidRPr="0040699C" w:rsidRDefault="004A340E" w:rsidP="00A46D3C">
            <w:pPr>
              <w:rPr>
                <w:rFonts w:eastAsia="Times New Roman"/>
                <w:sz w:val="24"/>
                <w:szCs w:val="24"/>
                <w:lang w:val="fr-FR"/>
              </w:rPr>
            </w:pPr>
            <w:r w:rsidRPr="0040699C">
              <w:rPr>
                <w:rFonts w:eastAsia="Times New Roman"/>
                <w:sz w:val="24"/>
                <w:szCs w:val="24"/>
                <w:lang w:val="fr-FR"/>
              </w:rPr>
              <w:t>Le tableau de bord pluriannuel (TBP) – Modèle disponible sur eComptes</w:t>
            </w:r>
          </w:p>
        </w:tc>
      </w:tr>
      <w:tr w:rsidR="004A340E" w:rsidRPr="0003325F" w:rsidTr="00A46D3C">
        <w:trPr>
          <w:trHeight w:val="704"/>
        </w:trPr>
        <w:tc>
          <w:tcPr>
            <w:tcW w:w="10173" w:type="dxa"/>
            <w:gridSpan w:val="3"/>
          </w:tcPr>
          <w:p w:rsidR="004A340E" w:rsidRPr="0003325F" w:rsidRDefault="004A340E" w:rsidP="00A46D3C">
            <w:pPr>
              <w:spacing w:line="274" w:lineRule="exact"/>
              <w:jc w:val="both"/>
              <w:textAlignment w:val="baseline"/>
              <w:rPr>
                <w:rFonts w:eastAsia="Times New Roman"/>
                <w:spacing w:val="7"/>
                <w:sz w:val="24"/>
                <w:szCs w:val="24"/>
                <w:lang w:val="fr-FR"/>
              </w:rPr>
            </w:pPr>
          </w:p>
          <w:p w:rsidR="004A340E" w:rsidRPr="0003325F" w:rsidRDefault="004A340E" w:rsidP="00A46D3C">
            <w:pPr>
              <w:spacing w:line="274" w:lineRule="exact"/>
              <w:jc w:val="both"/>
              <w:textAlignment w:val="baseline"/>
              <w:rPr>
                <w:rFonts w:eastAsia="Times New Roman"/>
                <w:b/>
                <w:spacing w:val="7"/>
                <w:sz w:val="24"/>
                <w:szCs w:val="24"/>
                <w:lang w:val="fr-FR"/>
              </w:rPr>
            </w:pPr>
            <w:r w:rsidRPr="0003325F">
              <w:rPr>
                <w:rFonts w:eastAsia="Times New Roman"/>
                <w:b/>
                <w:spacing w:val="7"/>
                <w:sz w:val="24"/>
                <w:szCs w:val="24"/>
                <w:lang w:val="fr-FR"/>
              </w:rPr>
              <w:t xml:space="preserve">Si vous n'utilisez pas le modèle de délibération </w:t>
            </w:r>
            <w:r w:rsidRPr="0003325F">
              <w:rPr>
                <w:rFonts w:eastAsia="Times New Roman"/>
                <w:b/>
                <w:color w:val="000000"/>
                <w:sz w:val="24"/>
                <w:szCs w:val="24"/>
                <w:lang w:val="fr-BE"/>
              </w:rPr>
              <w:t>in extenso du Conseil communal</w:t>
            </w:r>
            <w:r w:rsidRPr="0003325F">
              <w:rPr>
                <w:rFonts w:eastAsia="Times New Roman"/>
                <w:color w:val="000000"/>
                <w:sz w:val="24"/>
                <w:szCs w:val="24"/>
                <w:lang w:val="fr-BE"/>
              </w:rPr>
              <w:t xml:space="preserve"> </w:t>
            </w:r>
            <w:r w:rsidRPr="0003325F">
              <w:rPr>
                <w:rFonts w:eastAsia="Times New Roman"/>
                <w:b/>
                <w:spacing w:val="7"/>
                <w:sz w:val="24"/>
                <w:szCs w:val="24"/>
                <w:lang w:val="fr-FR"/>
              </w:rPr>
              <w:t>vous êtes tenus d'envoyer à la tutelle les pièces justificatives complémentaires suivantes :</w:t>
            </w:r>
          </w:p>
          <w:p w:rsidR="004A340E" w:rsidRPr="0003325F" w:rsidRDefault="004A340E" w:rsidP="00A46D3C">
            <w:pPr>
              <w:tabs>
                <w:tab w:val="left" w:pos="864"/>
              </w:tabs>
              <w:spacing w:before="16" w:line="268" w:lineRule="exact"/>
              <w:jc w:val="both"/>
              <w:textAlignment w:val="baseline"/>
              <w:rPr>
                <w:rFonts w:eastAsia="Times New Roman"/>
                <w:b/>
                <w:sz w:val="24"/>
                <w:szCs w:val="24"/>
                <w:lang w:val="fr-FR"/>
              </w:rPr>
            </w:pPr>
          </w:p>
        </w:tc>
      </w:tr>
      <w:tr w:rsidR="004A340E" w:rsidRPr="0003325F" w:rsidTr="00A46D3C">
        <w:trPr>
          <w:trHeight w:val="391"/>
        </w:trPr>
        <w:tc>
          <w:tcPr>
            <w:tcW w:w="805" w:type="dxa"/>
          </w:tcPr>
          <w:p w:rsidR="004A340E" w:rsidRPr="0003325F" w:rsidRDefault="004A340E" w:rsidP="00A46D3C">
            <w:pPr>
              <w:spacing w:after="240" w:line="273" w:lineRule="exact"/>
              <w:jc w:val="center"/>
              <w:textAlignment w:val="baseline"/>
              <w:rPr>
                <w:rFonts w:eastAsia="Times New Roman"/>
                <w:sz w:val="24"/>
                <w:szCs w:val="24"/>
                <w:lang w:val="fr-FR"/>
              </w:rPr>
            </w:pPr>
            <w:r w:rsidRPr="0003325F">
              <w:rPr>
                <w:rFonts w:eastAsia="Times New Roman"/>
                <w:sz w:val="24"/>
                <w:szCs w:val="24"/>
                <w:lang w:val="fr-FR"/>
              </w:rPr>
              <w:t>1</w:t>
            </w:r>
          </w:p>
        </w:tc>
        <w:tc>
          <w:tcPr>
            <w:tcW w:w="9368" w:type="dxa"/>
            <w:gridSpan w:val="2"/>
            <w:vAlign w:val="center"/>
          </w:tcPr>
          <w:p w:rsidR="004A340E" w:rsidRPr="0003325F" w:rsidRDefault="004A340E" w:rsidP="00A46D3C">
            <w:pPr>
              <w:spacing w:after="240" w:line="273" w:lineRule="exact"/>
              <w:textAlignment w:val="baseline"/>
              <w:rPr>
                <w:rFonts w:eastAsia="Times New Roman"/>
                <w:sz w:val="24"/>
                <w:szCs w:val="24"/>
                <w:lang w:val="fr-FR"/>
              </w:rPr>
            </w:pPr>
            <w:r w:rsidRPr="0003325F">
              <w:rPr>
                <w:rFonts w:eastAsia="Times New Roman"/>
                <w:sz w:val="24"/>
                <w:szCs w:val="24"/>
                <w:lang w:val="fr-FR"/>
              </w:rPr>
              <w:t xml:space="preserve">L’avis de publication </w:t>
            </w:r>
          </w:p>
        </w:tc>
      </w:tr>
      <w:tr w:rsidR="004A340E" w:rsidRPr="0003325F" w:rsidTr="0040699C">
        <w:tc>
          <w:tcPr>
            <w:tcW w:w="805" w:type="dxa"/>
          </w:tcPr>
          <w:p w:rsidR="004A340E" w:rsidRPr="0003325F" w:rsidRDefault="004A340E" w:rsidP="00A46D3C">
            <w:pPr>
              <w:spacing w:after="240" w:line="273" w:lineRule="exact"/>
              <w:jc w:val="center"/>
              <w:textAlignment w:val="baseline"/>
              <w:rPr>
                <w:rFonts w:eastAsia="Times New Roman"/>
                <w:sz w:val="24"/>
                <w:szCs w:val="24"/>
                <w:lang w:val="fr-FR"/>
              </w:rPr>
            </w:pPr>
            <w:r w:rsidRPr="0003325F">
              <w:rPr>
                <w:rFonts w:eastAsia="Times New Roman"/>
                <w:sz w:val="24"/>
                <w:szCs w:val="24"/>
                <w:lang w:val="fr-FR"/>
              </w:rPr>
              <w:lastRenderedPageBreak/>
              <w:t>2</w:t>
            </w:r>
          </w:p>
        </w:tc>
        <w:tc>
          <w:tcPr>
            <w:tcW w:w="9368" w:type="dxa"/>
            <w:gridSpan w:val="2"/>
          </w:tcPr>
          <w:p w:rsidR="004A340E" w:rsidRPr="0003325F" w:rsidRDefault="004A340E" w:rsidP="0040699C">
            <w:pPr>
              <w:tabs>
                <w:tab w:val="left" w:pos="720"/>
                <w:tab w:val="left" w:pos="864"/>
              </w:tabs>
              <w:spacing w:line="293" w:lineRule="exact"/>
              <w:textAlignment w:val="baseline"/>
              <w:rPr>
                <w:rFonts w:eastAsia="Times New Roman"/>
                <w:strike/>
                <w:spacing w:val="4"/>
                <w:sz w:val="24"/>
                <w:szCs w:val="24"/>
                <w:lang w:val="fr-FR"/>
              </w:rPr>
            </w:pPr>
            <w:r w:rsidRPr="0003325F">
              <w:rPr>
                <w:rFonts w:eastAsia="Times New Roman"/>
                <w:spacing w:val="4"/>
                <w:sz w:val="24"/>
                <w:szCs w:val="24"/>
                <w:lang w:val="fr-FR"/>
              </w:rPr>
              <w:t>La preuve de la transmission des documents budgétaires au directeur financier</w:t>
            </w:r>
          </w:p>
        </w:tc>
      </w:tr>
      <w:tr w:rsidR="004A340E" w:rsidRPr="0003325F" w:rsidTr="0040699C">
        <w:tc>
          <w:tcPr>
            <w:tcW w:w="805" w:type="dxa"/>
          </w:tcPr>
          <w:p w:rsidR="004A340E" w:rsidRPr="0003325F" w:rsidRDefault="004A340E" w:rsidP="00A46D3C">
            <w:pPr>
              <w:spacing w:after="240" w:line="273" w:lineRule="exact"/>
              <w:jc w:val="center"/>
              <w:textAlignment w:val="baseline"/>
              <w:rPr>
                <w:rFonts w:eastAsia="Times New Roman"/>
                <w:sz w:val="24"/>
                <w:szCs w:val="24"/>
                <w:lang w:val="fr-FR"/>
              </w:rPr>
            </w:pPr>
            <w:r w:rsidRPr="0003325F">
              <w:rPr>
                <w:rFonts w:eastAsia="Times New Roman"/>
                <w:sz w:val="24"/>
                <w:szCs w:val="24"/>
                <w:lang w:val="fr-FR"/>
              </w:rPr>
              <w:t>3</w:t>
            </w:r>
          </w:p>
        </w:tc>
        <w:tc>
          <w:tcPr>
            <w:tcW w:w="9368" w:type="dxa"/>
            <w:gridSpan w:val="2"/>
          </w:tcPr>
          <w:p w:rsidR="004A340E" w:rsidRPr="0003325F" w:rsidRDefault="004A340E" w:rsidP="0040699C">
            <w:pPr>
              <w:tabs>
                <w:tab w:val="left" w:pos="720"/>
                <w:tab w:val="left" w:pos="864"/>
              </w:tabs>
              <w:spacing w:before="10" w:line="274" w:lineRule="exact"/>
              <w:textAlignment w:val="baseline"/>
              <w:rPr>
                <w:rFonts w:eastAsia="Times New Roman"/>
                <w:sz w:val="24"/>
                <w:szCs w:val="24"/>
                <w:lang w:val="fr-FR"/>
              </w:rPr>
            </w:pPr>
            <w:r w:rsidRPr="0003325F">
              <w:rPr>
                <w:rFonts w:eastAsia="Times New Roman"/>
                <w:sz w:val="24"/>
                <w:szCs w:val="24"/>
                <w:lang w:val="fr-FR"/>
              </w:rPr>
              <w:t>La preuve de la communication aux organisations syndicales des documents budgétaires et si ces organisations en ont fait la demande, la preuve de la tenue d'une réunion d'information.</w:t>
            </w:r>
          </w:p>
        </w:tc>
      </w:tr>
      <w:tr w:rsidR="004A340E" w:rsidRPr="0003325F" w:rsidTr="0040699C">
        <w:tc>
          <w:tcPr>
            <w:tcW w:w="805" w:type="dxa"/>
          </w:tcPr>
          <w:p w:rsidR="004A340E" w:rsidRPr="0003325F" w:rsidRDefault="004A340E" w:rsidP="00A46D3C">
            <w:pPr>
              <w:spacing w:after="240" w:line="273" w:lineRule="exact"/>
              <w:jc w:val="center"/>
              <w:textAlignment w:val="baseline"/>
              <w:rPr>
                <w:rFonts w:eastAsia="Times New Roman"/>
                <w:sz w:val="24"/>
                <w:szCs w:val="24"/>
                <w:lang w:val="fr-FR"/>
              </w:rPr>
            </w:pPr>
            <w:r w:rsidRPr="0003325F">
              <w:rPr>
                <w:rFonts w:eastAsia="Times New Roman"/>
                <w:sz w:val="24"/>
                <w:szCs w:val="24"/>
                <w:lang w:val="fr-FR"/>
              </w:rPr>
              <w:t>4</w:t>
            </w:r>
          </w:p>
        </w:tc>
        <w:tc>
          <w:tcPr>
            <w:tcW w:w="9368" w:type="dxa"/>
            <w:gridSpan w:val="2"/>
          </w:tcPr>
          <w:p w:rsidR="004A340E" w:rsidRPr="0003325F" w:rsidRDefault="004A340E" w:rsidP="0040699C">
            <w:pPr>
              <w:tabs>
                <w:tab w:val="left" w:pos="720"/>
                <w:tab w:val="left" w:pos="864"/>
              </w:tabs>
              <w:spacing w:before="16" w:line="268" w:lineRule="exact"/>
              <w:textAlignment w:val="baseline"/>
              <w:rPr>
                <w:rFonts w:eastAsia="Times New Roman"/>
                <w:sz w:val="24"/>
                <w:szCs w:val="24"/>
                <w:lang w:val="fr-FR"/>
              </w:rPr>
            </w:pPr>
            <w:r w:rsidRPr="0003325F">
              <w:rPr>
                <w:rFonts w:eastAsia="Times New Roman"/>
                <w:sz w:val="24"/>
                <w:szCs w:val="24"/>
                <w:lang w:val="fr-FR"/>
              </w:rPr>
              <w:t>La copie de la page du budget du CPAS ou la délibération du comité de concertation portant sur les montants de la dotation communale</w:t>
            </w:r>
          </w:p>
        </w:tc>
      </w:tr>
    </w:tbl>
    <w:p w:rsidR="004A340E" w:rsidRPr="0003325F" w:rsidRDefault="004A340E" w:rsidP="004A340E">
      <w:pPr>
        <w:spacing w:line="273" w:lineRule="exact"/>
        <w:jc w:val="both"/>
        <w:textAlignment w:val="baseline"/>
        <w:rPr>
          <w:strike/>
          <w:sz w:val="24"/>
          <w:szCs w:val="24"/>
          <w:lang w:val="fr-BE"/>
        </w:rPr>
      </w:pPr>
    </w:p>
    <w:p w:rsidR="004A340E" w:rsidRPr="0003325F" w:rsidRDefault="004A340E" w:rsidP="004A340E">
      <w:pPr>
        <w:spacing w:line="273" w:lineRule="exact"/>
        <w:jc w:val="both"/>
        <w:textAlignment w:val="baseline"/>
        <w:rPr>
          <w:rFonts w:eastAsia="Times New Roman"/>
          <w:sz w:val="24"/>
          <w:szCs w:val="24"/>
          <w:lang w:val="fr-FR"/>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5"/>
        <w:gridCol w:w="9368"/>
      </w:tblGrid>
      <w:tr w:rsidR="004A340E" w:rsidRPr="0003325F" w:rsidTr="00A46D3C">
        <w:trPr>
          <w:trHeight w:val="704"/>
        </w:trPr>
        <w:tc>
          <w:tcPr>
            <w:tcW w:w="10173" w:type="dxa"/>
            <w:gridSpan w:val="2"/>
          </w:tcPr>
          <w:p w:rsidR="004A340E" w:rsidRPr="0003325F" w:rsidRDefault="004A340E" w:rsidP="00A46D3C">
            <w:pPr>
              <w:jc w:val="center"/>
              <w:rPr>
                <w:rFonts w:eastAsia="Times New Roman"/>
                <w:b/>
                <w:sz w:val="24"/>
                <w:szCs w:val="24"/>
                <w:lang w:val="fr-BE"/>
              </w:rPr>
            </w:pPr>
            <w:r w:rsidRPr="0003325F">
              <w:rPr>
                <w:rFonts w:eastAsia="Times New Roman"/>
                <w:b/>
                <w:sz w:val="24"/>
                <w:szCs w:val="24"/>
                <w:lang w:val="fr-BE"/>
              </w:rPr>
              <w:t>MODIFICATIONS BUDGETAIRES COMMUNALES</w:t>
            </w:r>
          </w:p>
          <w:p w:rsidR="004A340E" w:rsidRPr="0003325F" w:rsidRDefault="004A340E" w:rsidP="00A46D3C">
            <w:pPr>
              <w:jc w:val="center"/>
              <w:rPr>
                <w:rFonts w:eastAsia="Times New Roman"/>
                <w:b/>
                <w:sz w:val="24"/>
                <w:szCs w:val="24"/>
                <w:lang w:val="fr-BE"/>
              </w:rPr>
            </w:pPr>
            <w:r w:rsidRPr="0003325F">
              <w:rPr>
                <w:rFonts w:eastAsia="Times New Roman"/>
                <w:b/>
                <w:sz w:val="24"/>
                <w:szCs w:val="24"/>
                <w:lang w:val="fr-BE"/>
              </w:rPr>
              <w:t>LISTE DES PIÈCES JUSTIFICATIVES OBLIGATOIRES</w:t>
            </w:r>
          </w:p>
        </w:tc>
      </w:tr>
      <w:tr w:rsidR="004A340E" w:rsidRPr="0003325F" w:rsidTr="00A46D3C">
        <w:trPr>
          <w:trHeight w:val="562"/>
        </w:trPr>
        <w:tc>
          <w:tcPr>
            <w:tcW w:w="805" w:type="dxa"/>
          </w:tcPr>
          <w:p w:rsidR="004A340E" w:rsidRPr="0003325F" w:rsidRDefault="004A340E" w:rsidP="00A46D3C">
            <w:pPr>
              <w:spacing w:after="240" w:line="273" w:lineRule="exact"/>
              <w:jc w:val="center"/>
              <w:textAlignment w:val="baseline"/>
              <w:rPr>
                <w:rFonts w:eastAsia="Times New Roman"/>
                <w:sz w:val="24"/>
                <w:szCs w:val="24"/>
                <w:lang w:val="fr-FR"/>
              </w:rPr>
            </w:pPr>
            <w:r w:rsidRPr="0003325F">
              <w:rPr>
                <w:rFonts w:eastAsia="Times New Roman"/>
                <w:sz w:val="24"/>
                <w:szCs w:val="24"/>
                <w:lang w:val="fr-FR"/>
              </w:rPr>
              <w:t>1</w:t>
            </w:r>
          </w:p>
        </w:tc>
        <w:tc>
          <w:tcPr>
            <w:tcW w:w="9368" w:type="dxa"/>
            <w:vAlign w:val="center"/>
          </w:tcPr>
          <w:p w:rsidR="004A340E" w:rsidRPr="0003325F" w:rsidRDefault="004A340E" w:rsidP="0040699C">
            <w:pPr>
              <w:spacing w:after="240" w:line="273" w:lineRule="exact"/>
              <w:textAlignment w:val="baseline"/>
              <w:rPr>
                <w:rFonts w:eastAsia="Times New Roman"/>
                <w:sz w:val="24"/>
                <w:szCs w:val="24"/>
                <w:lang w:val="fr-FR"/>
              </w:rPr>
            </w:pPr>
            <w:r w:rsidRPr="0003325F">
              <w:rPr>
                <w:rFonts w:eastAsia="Times New Roman"/>
                <w:sz w:val="24"/>
                <w:szCs w:val="24"/>
                <w:lang w:val="fr-FR"/>
              </w:rPr>
              <w:t xml:space="preserve">La délibération in extenso du Conseil communal – </w:t>
            </w:r>
            <w:r w:rsidRPr="0003325F">
              <w:rPr>
                <w:rFonts w:eastAsia="Times New Roman"/>
                <w:sz w:val="24"/>
                <w:szCs w:val="24"/>
                <w:lang w:val="fr-BE"/>
              </w:rPr>
              <w:t>Modèle disponible sur</w:t>
            </w:r>
            <w:r w:rsidR="0040699C">
              <w:rPr>
                <w:rFonts w:eastAsia="Times New Roman"/>
                <w:sz w:val="24"/>
                <w:szCs w:val="24"/>
                <w:lang w:val="fr-BE"/>
              </w:rPr>
              <w:t xml:space="preserve"> le portail des pouvoirs locaux</w:t>
            </w:r>
            <w:r w:rsidRPr="0003325F">
              <w:rPr>
                <w:rFonts w:eastAsia="Times New Roman"/>
                <w:sz w:val="24"/>
                <w:szCs w:val="24"/>
                <w:lang w:val="fr-FR"/>
              </w:rPr>
              <w:t xml:space="preserve"> ou sur eComptes</w:t>
            </w:r>
          </w:p>
        </w:tc>
      </w:tr>
      <w:tr w:rsidR="004A340E" w:rsidRPr="0003325F" w:rsidTr="00A46D3C">
        <w:trPr>
          <w:trHeight w:val="333"/>
        </w:trPr>
        <w:tc>
          <w:tcPr>
            <w:tcW w:w="805" w:type="dxa"/>
          </w:tcPr>
          <w:p w:rsidR="004A340E" w:rsidRPr="0003325F" w:rsidRDefault="004A340E" w:rsidP="00A46D3C">
            <w:pPr>
              <w:spacing w:after="240" w:line="273" w:lineRule="exact"/>
              <w:jc w:val="center"/>
              <w:textAlignment w:val="baseline"/>
              <w:rPr>
                <w:rFonts w:eastAsia="Times New Roman"/>
                <w:sz w:val="24"/>
                <w:szCs w:val="24"/>
                <w:lang w:val="fr-FR"/>
              </w:rPr>
            </w:pPr>
            <w:r w:rsidRPr="0003325F">
              <w:rPr>
                <w:rFonts w:eastAsia="Times New Roman"/>
                <w:sz w:val="24"/>
                <w:szCs w:val="24"/>
                <w:lang w:val="fr-FR"/>
              </w:rPr>
              <w:t>2</w:t>
            </w:r>
          </w:p>
        </w:tc>
        <w:tc>
          <w:tcPr>
            <w:tcW w:w="9368" w:type="dxa"/>
            <w:vAlign w:val="center"/>
          </w:tcPr>
          <w:p w:rsidR="004A340E" w:rsidRPr="0003325F" w:rsidRDefault="004A340E" w:rsidP="00A46D3C">
            <w:pPr>
              <w:spacing w:after="240" w:line="273" w:lineRule="exact"/>
              <w:textAlignment w:val="baseline"/>
              <w:rPr>
                <w:rFonts w:eastAsia="Times New Roman"/>
                <w:sz w:val="24"/>
                <w:szCs w:val="24"/>
                <w:lang w:val="fr-FR"/>
              </w:rPr>
            </w:pPr>
            <w:r w:rsidRPr="0003325F">
              <w:rPr>
                <w:rFonts w:eastAsia="Times New Roman"/>
                <w:sz w:val="24"/>
                <w:szCs w:val="24"/>
              </w:rPr>
              <w:t xml:space="preserve">Le </w:t>
            </w:r>
            <w:proofErr w:type="spellStart"/>
            <w:r w:rsidRPr="0003325F">
              <w:rPr>
                <w:rFonts w:eastAsia="Times New Roman"/>
                <w:sz w:val="24"/>
                <w:szCs w:val="24"/>
              </w:rPr>
              <w:t>fichier</w:t>
            </w:r>
            <w:proofErr w:type="spellEnd"/>
            <w:r w:rsidRPr="0003325F">
              <w:rPr>
                <w:rFonts w:eastAsia="Times New Roman"/>
                <w:sz w:val="24"/>
                <w:szCs w:val="24"/>
              </w:rPr>
              <w:t xml:space="preserve"> SIC</w:t>
            </w:r>
          </w:p>
        </w:tc>
      </w:tr>
      <w:tr w:rsidR="004A340E" w:rsidRPr="0003325F" w:rsidTr="00A46D3C">
        <w:tc>
          <w:tcPr>
            <w:tcW w:w="805" w:type="dxa"/>
          </w:tcPr>
          <w:p w:rsidR="004A340E" w:rsidRPr="0003325F" w:rsidRDefault="004A340E" w:rsidP="00A46D3C">
            <w:pPr>
              <w:spacing w:after="240" w:line="273" w:lineRule="exact"/>
              <w:jc w:val="center"/>
              <w:textAlignment w:val="baseline"/>
              <w:rPr>
                <w:rFonts w:eastAsia="Times New Roman"/>
                <w:sz w:val="24"/>
                <w:szCs w:val="24"/>
                <w:lang w:val="fr-FR"/>
              </w:rPr>
            </w:pPr>
            <w:r w:rsidRPr="0003325F">
              <w:rPr>
                <w:rFonts w:eastAsia="Times New Roman"/>
                <w:sz w:val="24"/>
                <w:szCs w:val="24"/>
                <w:lang w:val="fr-FR"/>
              </w:rPr>
              <w:t>3</w:t>
            </w:r>
          </w:p>
        </w:tc>
        <w:tc>
          <w:tcPr>
            <w:tcW w:w="9368" w:type="dxa"/>
            <w:vAlign w:val="center"/>
          </w:tcPr>
          <w:p w:rsidR="004A340E" w:rsidRPr="0003325F" w:rsidRDefault="004A340E" w:rsidP="00A46D3C">
            <w:pPr>
              <w:spacing w:after="240" w:line="273" w:lineRule="exact"/>
              <w:textAlignment w:val="baseline"/>
              <w:rPr>
                <w:rFonts w:eastAsia="Times New Roman"/>
                <w:sz w:val="24"/>
                <w:szCs w:val="24"/>
                <w:lang w:val="fr-FR"/>
              </w:rPr>
            </w:pPr>
            <w:r w:rsidRPr="0003325F">
              <w:rPr>
                <w:rFonts w:eastAsia="Times New Roman"/>
                <w:sz w:val="24"/>
                <w:szCs w:val="24"/>
                <w:lang w:val="fr-FR"/>
              </w:rPr>
              <w:t xml:space="preserve">La version « </w:t>
            </w:r>
            <w:proofErr w:type="spellStart"/>
            <w:r w:rsidRPr="0003325F">
              <w:rPr>
                <w:rFonts w:eastAsia="Times New Roman"/>
                <w:sz w:val="24"/>
                <w:szCs w:val="24"/>
                <w:lang w:val="fr-FR"/>
              </w:rPr>
              <w:t>word</w:t>
            </w:r>
            <w:proofErr w:type="spellEnd"/>
            <w:r w:rsidRPr="0003325F">
              <w:rPr>
                <w:rFonts w:eastAsia="Times New Roman"/>
                <w:sz w:val="24"/>
                <w:szCs w:val="24"/>
                <w:lang w:val="fr-FR"/>
              </w:rPr>
              <w:t xml:space="preserve"> » de la/des modification(s) budgétaire(s)</w:t>
            </w:r>
          </w:p>
        </w:tc>
      </w:tr>
      <w:tr w:rsidR="004A340E" w:rsidRPr="0003325F" w:rsidTr="00A46D3C">
        <w:tc>
          <w:tcPr>
            <w:tcW w:w="805" w:type="dxa"/>
          </w:tcPr>
          <w:p w:rsidR="004A340E" w:rsidRPr="0003325F" w:rsidRDefault="004A340E" w:rsidP="00A46D3C">
            <w:pPr>
              <w:spacing w:after="240" w:line="273" w:lineRule="exact"/>
              <w:jc w:val="center"/>
              <w:textAlignment w:val="baseline"/>
              <w:rPr>
                <w:rFonts w:eastAsia="Times New Roman"/>
                <w:sz w:val="24"/>
                <w:szCs w:val="24"/>
                <w:lang w:val="fr-FR"/>
              </w:rPr>
            </w:pPr>
            <w:r w:rsidRPr="0003325F">
              <w:rPr>
                <w:rFonts w:eastAsia="Times New Roman"/>
                <w:sz w:val="24"/>
                <w:szCs w:val="24"/>
                <w:lang w:val="fr-FR"/>
              </w:rPr>
              <w:t>4</w:t>
            </w:r>
          </w:p>
        </w:tc>
        <w:tc>
          <w:tcPr>
            <w:tcW w:w="9368" w:type="dxa"/>
            <w:vAlign w:val="center"/>
          </w:tcPr>
          <w:p w:rsidR="004A340E" w:rsidRPr="0003325F" w:rsidRDefault="004A340E" w:rsidP="00A46D3C">
            <w:pPr>
              <w:spacing w:after="240" w:line="273" w:lineRule="exact"/>
              <w:textAlignment w:val="baseline"/>
              <w:rPr>
                <w:rFonts w:eastAsia="Times New Roman"/>
                <w:sz w:val="24"/>
                <w:szCs w:val="24"/>
                <w:lang w:val="fr-FR"/>
              </w:rPr>
            </w:pPr>
            <w:r w:rsidRPr="0003325F">
              <w:rPr>
                <w:rFonts w:eastAsia="Times New Roman"/>
                <w:sz w:val="24"/>
                <w:szCs w:val="24"/>
                <w:lang w:val="fr-FR"/>
              </w:rPr>
              <w:t xml:space="preserve">L'avis de la commission article 12 du Règlement général de la comptabilité communale - </w:t>
            </w:r>
            <w:r w:rsidRPr="0003325F">
              <w:rPr>
                <w:rFonts w:eastAsia="Times New Roman"/>
                <w:sz w:val="24"/>
                <w:szCs w:val="24"/>
                <w:lang w:val="fr-BE"/>
              </w:rPr>
              <w:t xml:space="preserve">Modèles disponible </w:t>
            </w:r>
            <w:r w:rsidRPr="0040699C">
              <w:rPr>
                <w:rFonts w:eastAsia="Times New Roman"/>
                <w:sz w:val="24"/>
                <w:szCs w:val="24"/>
                <w:lang w:val="fr-BE"/>
              </w:rPr>
              <w:t xml:space="preserve">sur le portail des pouvoirs locaux </w:t>
            </w:r>
            <w:proofErr w:type="spellStart"/>
            <w:r w:rsidRPr="0040699C">
              <w:rPr>
                <w:rFonts w:eastAsia="Times New Roman"/>
                <w:sz w:val="24"/>
                <w:szCs w:val="24"/>
              </w:rPr>
              <w:t>ou</w:t>
            </w:r>
            <w:proofErr w:type="spellEnd"/>
            <w:r w:rsidRPr="0003325F">
              <w:rPr>
                <w:rFonts w:eastAsia="Times New Roman"/>
                <w:sz w:val="24"/>
                <w:szCs w:val="24"/>
              </w:rPr>
              <w:t xml:space="preserve"> </w:t>
            </w:r>
            <w:r w:rsidRPr="0003325F">
              <w:rPr>
                <w:rFonts w:eastAsia="Times New Roman"/>
                <w:sz w:val="24"/>
                <w:szCs w:val="24"/>
                <w:lang w:val="fr-BE"/>
              </w:rPr>
              <w:t xml:space="preserve">sur eComptes </w:t>
            </w:r>
          </w:p>
        </w:tc>
      </w:tr>
      <w:tr w:rsidR="004A340E" w:rsidRPr="0003325F" w:rsidTr="00A46D3C">
        <w:tc>
          <w:tcPr>
            <w:tcW w:w="805" w:type="dxa"/>
          </w:tcPr>
          <w:p w:rsidR="004A340E" w:rsidRPr="0003325F" w:rsidRDefault="004A340E" w:rsidP="00A46D3C">
            <w:pPr>
              <w:spacing w:after="240" w:line="273" w:lineRule="exact"/>
              <w:jc w:val="center"/>
              <w:textAlignment w:val="baseline"/>
              <w:rPr>
                <w:rFonts w:eastAsia="Times New Roman"/>
                <w:sz w:val="24"/>
                <w:szCs w:val="24"/>
                <w:lang w:val="fr-FR"/>
              </w:rPr>
            </w:pPr>
            <w:r w:rsidRPr="0003325F">
              <w:rPr>
                <w:rFonts w:eastAsia="Times New Roman"/>
                <w:sz w:val="24"/>
                <w:szCs w:val="24"/>
                <w:lang w:val="fr-FR"/>
              </w:rPr>
              <w:t>5</w:t>
            </w:r>
          </w:p>
        </w:tc>
        <w:tc>
          <w:tcPr>
            <w:tcW w:w="9368" w:type="dxa"/>
            <w:vAlign w:val="center"/>
          </w:tcPr>
          <w:p w:rsidR="004A340E" w:rsidRPr="0003325F" w:rsidRDefault="004A340E" w:rsidP="00A46D3C">
            <w:pPr>
              <w:spacing w:after="240" w:line="273" w:lineRule="exact"/>
              <w:textAlignment w:val="baseline"/>
              <w:rPr>
                <w:rFonts w:eastAsia="Times New Roman"/>
                <w:sz w:val="24"/>
                <w:szCs w:val="24"/>
                <w:lang w:val="fr-FR"/>
              </w:rPr>
            </w:pPr>
            <w:r w:rsidRPr="0003325F">
              <w:rPr>
                <w:rFonts w:eastAsia="Times New Roman"/>
                <w:sz w:val="24"/>
                <w:szCs w:val="24"/>
                <w:lang w:val="fr-FR"/>
              </w:rPr>
              <w:t>Le tableau récapitulatif de la modification budgétaire figurant normalement au début de la modification et synthétisant les données de ladite modification (ce tableau n'est pas le tableau de récapitulation générale reprenant le budget après modification budgétaire et est classiquement intitulé « tableau I - balance des recettes et des dépenses »)</w:t>
            </w:r>
          </w:p>
        </w:tc>
      </w:tr>
      <w:tr w:rsidR="004A340E" w:rsidRPr="0003325F" w:rsidTr="00A46D3C">
        <w:tc>
          <w:tcPr>
            <w:tcW w:w="805" w:type="dxa"/>
          </w:tcPr>
          <w:p w:rsidR="004A340E" w:rsidRPr="0003325F" w:rsidRDefault="004A340E" w:rsidP="00A46D3C">
            <w:pPr>
              <w:spacing w:after="240" w:line="273" w:lineRule="exact"/>
              <w:jc w:val="center"/>
              <w:textAlignment w:val="baseline"/>
              <w:rPr>
                <w:rFonts w:eastAsia="Times New Roman"/>
                <w:sz w:val="24"/>
                <w:szCs w:val="24"/>
                <w:lang w:val="fr-FR"/>
              </w:rPr>
            </w:pPr>
            <w:r w:rsidRPr="0003325F">
              <w:rPr>
                <w:rFonts w:eastAsia="Times New Roman"/>
                <w:sz w:val="24"/>
                <w:szCs w:val="24"/>
                <w:lang w:val="fr-FR"/>
              </w:rPr>
              <w:t>6</w:t>
            </w:r>
          </w:p>
        </w:tc>
        <w:tc>
          <w:tcPr>
            <w:tcW w:w="9368" w:type="dxa"/>
            <w:vAlign w:val="center"/>
          </w:tcPr>
          <w:p w:rsidR="004A340E" w:rsidRPr="0003325F" w:rsidRDefault="004A340E" w:rsidP="00A46D3C">
            <w:pPr>
              <w:spacing w:after="240" w:line="273" w:lineRule="exact"/>
              <w:textAlignment w:val="baseline"/>
              <w:rPr>
                <w:rFonts w:eastAsia="Times New Roman"/>
                <w:strike/>
                <w:sz w:val="24"/>
                <w:szCs w:val="24"/>
                <w:lang w:val="fr-FR"/>
              </w:rPr>
            </w:pPr>
            <w:r w:rsidRPr="0003325F">
              <w:rPr>
                <w:rFonts w:eastAsia="Times New Roman"/>
                <w:sz w:val="24"/>
                <w:szCs w:val="24"/>
                <w:lang w:val="fr-FR"/>
              </w:rPr>
              <w:t>Le tableau des voies et moyens issu du système informatique trié par numéros de projets ventilés par articles budgétaires, tableau intitulé : « tableau budgétaire récapitulatif des projets extraordinaires et leur voies et moyens ».</w:t>
            </w:r>
          </w:p>
        </w:tc>
      </w:tr>
      <w:tr w:rsidR="004A340E" w:rsidRPr="0003325F" w:rsidTr="00A46D3C">
        <w:tc>
          <w:tcPr>
            <w:tcW w:w="805" w:type="dxa"/>
          </w:tcPr>
          <w:p w:rsidR="004A340E" w:rsidRPr="0003325F" w:rsidRDefault="004A340E" w:rsidP="00A46D3C">
            <w:pPr>
              <w:spacing w:after="240" w:line="273" w:lineRule="exact"/>
              <w:jc w:val="center"/>
              <w:textAlignment w:val="baseline"/>
              <w:rPr>
                <w:rFonts w:eastAsia="Times New Roman"/>
                <w:sz w:val="24"/>
                <w:szCs w:val="24"/>
                <w:lang w:val="fr-FR"/>
              </w:rPr>
            </w:pPr>
            <w:r w:rsidRPr="0003325F">
              <w:rPr>
                <w:rFonts w:eastAsia="Times New Roman"/>
                <w:sz w:val="24"/>
                <w:szCs w:val="24"/>
                <w:lang w:val="fr-FR"/>
              </w:rPr>
              <w:t>7</w:t>
            </w:r>
          </w:p>
        </w:tc>
        <w:tc>
          <w:tcPr>
            <w:tcW w:w="9368" w:type="dxa"/>
            <w:vAlign w:val="center"/>
          </w:tcPr>
          <w:p w:rsidR="004A340E" w:rsidRPr="0003325F" w:rsidRDefault="004A340E" w:rsidP="0040699C">
            <w:pPr>
              <w:spacing w:after="240" w:line="273" w:lineRule="exact"/>
              <w:textAlignment w:val="baseline"/>
              <w:rPr>
                <w:rFonts w:eastAsia="Times New Roman"/>
                <w:sz w:val="24"/>
                <w:szCs w:val="24"/>
                <w:lang w:val="fr-FR"/>
              </w:rPr>
            </w:pPr>
            <w:r w:rsidRPr="0003325F">
              <w:rPr>
                <w:rFonts w:eastAsia="Times New Roman"/>
                <w:sz w:val="24"/>
                <w:szCs w:val="24"/>
                <w:lang w:val="fr-FR"/>
              </w:rPr>
              <w:t xml:space="preserve">Les mouvements des réserves et provisions selon le </w:t>
            </w:r>
            <w:r w:rsidRPr="0003325F">
              <w:rPr>
                <w:rFonts w:eastAsia="Times New Roman"/>
                <w:sz w:val="24"/>
                <w:szCs w:val="24"/>
                <w:lang w:val="fr-BE"/>
              </w:rPr>
              <w:t>modèle disponible sur le portail des pouvoirs locaux  ou sur eComptes</w:t>
            </w:r>
          </w:p>
        </w:tc>
      </w:tr>
      <w:tr w:rsidR="004A340E" w:rsidRPr="0003325F" w:rsidTr="00A46D3C">
        <w:tc>
          <w:tcPr>
            <w:tcW w:w="805" w:type="dxa"/>
          </w:tcPr>
          <w:p w:rsidR="004A340E" w:rsidRPr="0003325F" w:rsidRDefault="004A340E" w:rsidP="00A46D3C">
            <w:pPr>
              <w:spacing w:after="240" w:line="273" w:lineRule="exact"/>
              <w:jc w:val="center"/>
              <w:textAlignment w:val="baseline"/>
              <w:rPr>
                <w:rFonts w:eastAsia="Times New Roman"/>
                <w:sz w:val="24"/>
                <w:szCs w:val="24"/>
                <w:lang w:val="fr-FR"/>
              </w:rPr>
            </w:pPr>
            <w:r w:rsidRPr="0003325F">
              <w:rPr>
                <w:rFonts w:eastAsia="Times New Roman"/>
                <w:sz w:val="24"/>
                <w:szCs w:val="24"/>
                <w:lang w:val="fr-FR"/>
              </w:rPr>
              <w:t>8</w:t>
            </w:r>
          </w:p>
        </w:tc>
        <w:tc>
          <w:tcPr>
            <w:tcW w:w="9368" w:type="dxa"/>
            <w:vAlign w:val="center"/>
          </w:tcPr>
          <w:p w:rsidR="004A340E" w:rsidRPr="0003325F" w:rsidRDefault="004A340E" w:rsidP="00A46D3C">
            <w:pPr>
              <w:spacing w:after="240" w:line="273" w:lineRule="exact"/>
              <w:textAlignment w:val="baseline"/>
              <w:rPr>
                <w:rFonts w:eastAsia="Times New Roman"/>
                <w:sz w:val="24"/>
                <w:szCs w:val="24"/>
                <w:lang w:val="fr-FR"/>
              </w:rPr>
            </w:pPr>
            <w:r w:rsidRPr="0003325F">
              <w:rPr>
                <w:rFonts w:eastAsia="Times New Roman"/>
                <w:sz w:val="24"/>
                <w:szCs w:val="24"/>
                <w:lang w:val="fr-FR"/>
              </w:rPr>
              <w:t>Quand il existe, l’avis du Directeur financier rendu en application de l’article L</w:t>
            </w:r>
            <w:r w:rsidRPr="0003325F">
              <w:rPr>
                <w:rFonts w:eastAsia="Times New Roman"/>
                <w:sz w:val="24"/>
                <w:szCs w:val="24"/>
                <w:lang w:val="fr-FR" w:eastAsia="fr-FR"/>
              </w:rPr>
              <w:t>1124-40 du CDLD</w:t>
            </w:r>
          </w:p>
        </w:tc>
      </w:tr>
      <w:tr w:rsidR="004A340E" w:rsidRPr="0003325F" w:rsidTr="00A46D3C">
        <w:tc>
          <w:tcPr>
            <w:tcW w:w="805" w:type="dxa"/>
          </w:tcPr>
          <w:p w:rsidR="004A340E" w:rsidRPr="0003325F" w:rsidRDefault="004A340E" w:rsidP="00A46D3C">
            <w:pPr>
              <w:spacing w:after="240" w:line="273" w:lineRule="exact"/>
              <w:jc w:val="center"/>
              <w:textAlignment w:val="baseline"/>
              <w:rPr>
                <w:rFonts w:eastAsia="Times New Roman"/>
                <w:sz w:val="24"/>
                <w:szCs w:val="24"/>
                <w:lang w:val="fr-FR"/>
              </w:rPr>
            </w:pPr>
            <w:r w:rsidRPr="0003325F">
              <w:rPr>
                <w:rFonts w:eastAsia="Times New Roman"/>
                <w:sz w:val="24"/>
                <w:szCs w:val="24"/>
                <w:lang w:val="fr-FR"/>
              </w:rPr>
              <w:t>9</w:t>
            </w:r>
          </w:p>
        </w:tc>
        <w:tc>
          <w:tcPr>
            <w:tcW w:w="9368" w:type="dxa"/>
            <w:vAlign w:val="center"/>
          </w:tcPr>
          <w:p w:rsidR="004A340E" w:rsidRPr="0003325F" w:rsidRDefault="004A340E" w:rsidP="000F4EA6">
            <w:pPr>
              <w:spacing w:after="240" w:line="273" w:lineRule="exact"/>
              <w:textAlignment w:val="baseline"/>
              <w:rPr>
                <w:rFonts w:eastAsia="Times New Roman"/>
                <w:sz w:val="24"/>
                <w:szCs w:val="24"/>
                <w:lang w:val="fr-FR"/>
              </w:rPr>
            </w:pPr>
            <w:r w:rsidRPr="0003325F">
              <w:rPr>
                <w:rFonts w:eastAsia="Times New Roman"/>
                <w:sz w:val="24"/>
                <w:szCs w:val="24"/>
                <w:lang w:val="fr-FR"/>
              </w:rPr>
              <w:t xml:space="preserve">Le tableau permettant de vérifier le </w:t>
            </w:r>
            <w:r w:rsidR="000F4EA6">
              <w:rPr>
                <w:rFonts w:eastAsia="Times New Roman"/>
                <w:sz w:val="24"/>
                <w:szCs w:val="24"/>
                <w:lang w:val="fr-FR"/>
              </w:rPr>
              <w:t xml:space="preserve">respect de la balise d’emprunt - </w:t>
            </w:r>
            <w:r w:rsidRPr="0003325F">
              <w:rPr>
                <w:rFonts w:eastAsia="Times New Roman"/>
                <w:sz w:val="24"/>
                <w:szCs w:val="24"/>
                <w:lang w:val="fr-BE"/>
              </w:rPr>
              <w:t>Modèle disponible sur le por</w:t>
            </w:r>
            <w:r w:rsidR="0040699C">
              <w:rPr>
                <w:rFonts w:eastAsia="Times New Roman"/>
                <w:sz w:val="24"/>
                <w:szCs w:val="24"/>
                <w:lang w:val="fr-BE"/>
              </w:rPr>
              <w:t>tail des pouvoirs locaux</w:t>
            </w:r>
            <w:r w:rsidR="0040699C" w:rsidRPr="0003325F">
              <w:rPr>
                <w:rFonts w:eastAsia="Times New Roman"/>
                <w:sz w:val="24"/>
                <w:szCs w:val="24"/>
                <w:lang w:val="fr-FR"/>
              </w:rPr>
              <w:t xml:space="preserve"> </w:t>
            </w:r>
          </w:p>
        </w:tc>
      </w:tr>
      <w:tr w:rsidR="004A340E" w:rsidRPr="0003325F" w:rsidTr="00A46D3C">
        <w:tc>
          <w:tcPr>
            <w:tcW w:w="805" w:type="dxa"/>
          </w:tcPr>
          <w:p w:rsidR="004A340E" w:rsidRPr="0003325F" w:rsidRDefault="004A340E" w:rsidP="00A46D3C">
            <w:pPr>
              <w:spacing w:after="240" w:line="273" w:lineRule="exact"/>
              <w:jc w:val="center"/>
              <w:textAlignment w:val="baseline"/>
              <w:rPr>
                <w:rFonts w:eastAsia="Times New Roman"/>
                <w:sz w:val="24"/>
                <w:szCs w:val="24"/>
                <w:lang w:val="fr-FR"/>
              </w:rPr>
            </w:pPr>
            <w:r>
              <w:rPr>
                <w:rFonts w:eastAsia="Times New Roman"/>
                <w:sz w:val="24"/>
                <w:szCs w:val="24"/>
                <w:lang w:val="fr-FR"/>
              </w:rPr>
              <w:t>10</w:t>
            </w:r>
          </w:p>
        </w:tc>
        <w:tc>
          <w:tcPr>
            <w:tcW w:w="9368" w:type="dxa"/>
            <w:vAlign w:val="center"/>
          </w:tcPr>
          <w:p w:rsidR="004A340E" w:rsidRPr="0003325F" w:rsidRDefault="004A340E" w:rsidP="00A46D3C">
            <w:pPr>
              <w:spacing w:after="240" w:line="273" w:lineRule="exact"/>
              <w:textAlignment w:val="baseline"/>
              <w:rPr>
                <w:rFonts w:eastAsia="Times New Roman"/>
                <w:sz w:val="24"/>
                <w:szCs w:val="24"/>
                <w:lang w:val="fr-FR"/>
              </w:rPr>
            </w:pPr>
            <w:r w:rsidRPr="0040699C">
              <w:rPr>
                <w:rFonts w:eastAsia="Times New Roman"/>
                <w:sz w:val="24"/>
                <w:szCs w:val="24"/>
                <w:lang w:val="fr-FR"/>
              </w:rPr>
              <w:t>Le tab</w:t>
            </w:r>
            <w:r w:rsidR="000F4EA6">
              <w:rPr>
                <w:rFonts w:eastAsia="Times New Roman"/>
                <w:sz w:val="24"/>
                <w:szCs w:val="24"/>
                <w:lang w:val="fr-FR"/>
              </w:rPr>
              <w:t>leau de bord pluriannuel (TBP) -</w:t>
            </w:r>
            <w:r w:rsidRPr="0040699C">
              <w:rPr>
                <w:rFonts w:eastAsia="Times New Roman"/>
                <w:sz w:val="24"/>
                <w:szCs w:val="24"/>
                <w:lang w:val="fr-FR"/>
              </w:rPr>
              <w:t xml:space="preserve"> Modèle disponible sur eComptes</w:t>
            </w:r>
          </w:p>
        </w:tc>
      </w:tr>
      <w:tr w:rsidR="004A340E" w:rsidRPr="0003325F" w:rsidTr="00A46D3C">
        <w:trPr>
          <w:trHeight w:val="704"/>
        </w:trPr>
        <w:tc>
          <w:tcPr>
            <w:tcW w:w="10173" w:type="dxa"/>
            <w:gridSpan w:val="2"/>
          </w:tcPr>
          <w:p w:rsidR="004A340E" w:rsidRPr="0003325F" w:rsidRDefault="004A340E" w:rsidP="00A46D3C">
            <w:pPr>
              <w:spacing w:line="274" w:lineRule="exact"/>
              <w:jc w:val="both"/>
              <w:textAlignment w:val="baseline"/>
              <w:rPr>
                <w:rFonts w:eastAsia="Times New Roman"/>
                <w:spacing w:val="7"/>
                <w:sz w:val="24"/>
                <w:szCs w:val="24"/>
                <w:lang w:val="fr-FR"/>
              </w:rPr>
            </w:pPr>
          </w:p>
          <w:p w:rsidR="004A340E" w:rsidRPr="0003325F" w:rsidRDefault="004A340E" w:rsidP="00A46D3C">
            <w:pPr>
              <w:spacing w:line="274" w:lineRule="exact"/>
              <w:jc w:val="both"/>
              <w:textAlignment w:val="baseline"/>
              <w:rPr>
                <w:rFonts w:eastAsia="Times New Roman"/>
                <w:b/>
                <w:spacing w:val="7"/>
                <w:sz w:val="24"/>
                <w:szCs w:val="24"/>
                <w:lang w:val="fr-FR"/>
              </w:rPr>
            </w:pPr>
            <w:r w:rsidRPr="0003325F">
              <w:rPr>
                <w:rFonts w:eastAsia="Times New Roman"/>
                <w:b/>
                <w:spacing w:val="7"/>
                <w:sz w:val="24"/>
                <w:szCs w:val="24"/>
                <w:lang w:val="fr-FR"/>
              </w:rPr>
              <w:t xml:space="preserve">Si vous n'utilisez pas le modèle de délibération </w:t>
            </w:r>
            <w:r w:rsidRPr="0003325F">
              <w:rPr>
                <w:rFonts w:eastAsia="Times New Roman"/>
                <w:b/>
                <w:color w:val="000000"/>
                <w:sz w:val="24"/>
                <w:szCs w:val="24"/>
                <w:lang w:val="fr-BE"/>
              </w:rPr>
              <w:t>in extenso du Conseil communal,</w:t>
            </w:r>
            <w:r w:rsidRPr="0003325F">
              <w:rPr>
                <w:rFonts w:eastAsia="Times New Roman"/>
                <w:color w:val="000000"/>
                <w:sz w:val="24"/>
                <w:szCs w:val="24"/>
                <w:lang w:val="fr-BE"/>
              </w:rPr>
              <w:t xml:space="preserve"> </w:t>
            </w:r>
            <w:r w:rsidRPr="0003325F">
              <w:rPr>
                <w:rFonts w:eastAsia="Times New Roman"/>
                <w:b/>
                <w:spacing w:val="7"/>
                <w:sz w:val="24"/>
                <w:szCs w:val="24"/>
                <w:lang w:val="fr-FR"/>
              </w:rPr>
              <w:t>vous êtes tenus d'envoyer à la tutelle les pièces justificatives complémentaires suivantes :</w:t>
            </w:r>
          </w:p>
          <w:p w:rsidR="004A340E" w:rsidRPr="0003325F" w:rsidRDefault="004A340E" w:rsidP="00A46D3C">
            <w:pPr>
              <w:tabs>
                <w:tab w:val="left" w:pos="864"/>
              </w:tabs>
              <w:spacing w:before="16" w:line="268" w:lineRule="exact"/>
              <w:jc w:val="both"/>
              <w:textAlignment w:val="baseline"/>
              <w:rPr>
                <w:rFonts w:eastAsia="Times New Roman"/>
                <w:b/>
                <w:sz w:val="24"/>
                <w:szCs w:val="24"/>
                <w:lang w:val="fr-FR"/>
              </w:rPr>
            </w:pPr>
          </w:p>
        </w:tc>
      </w:tr>
      <w:tr w:rsidR="004A340E" w:rsidRPr="0003325F" w:rsidTr="00A46D3C">
        <w:tc>
          <w:tcPr>
            <w:tcW w:w="805" w:type="dxa"/>
          </w:tcPr>
          <w:p w:rsidR="004A340E" w:rsidRPr="0003325F" w:rsidRDefault="004A340E" w:rsidP="00A46D3C">
            <w:pPr>
              <w:spacing w:after="240" w:line="273" w:lineRule="exact"/>
              <w:jc w:val="center"/>
              <w:textAlignment w:val="baseline"/>
              <w:rPr>
                <w:rFonts w:eastAsia="Times New Roman"/>
                <w:sz w:val="24"/>
                <w:szCs w:val="24"/>
                <w:lang w:val="fr-FR"/>
              </w:rPr>
            </w:pPr>
            <w:r w:rsidRPr="0003325F">
              <w:rPr>
                <w:rFonts w:eastAsia="Times New Roman"/>
                <w:sz w:val="24"/>
                <w:szCs w:val="24"/>
                <w:lang w:val="fr-FR"/>
              </w:rPr>
              <w:t>1</w:t>
            </w:r>
          </w:p>
        </w:tc>
        <w:tc>
          <w:tcPr>
            <w:tcW w:w="9368" w:type="dxa"/>
            <w:vAlign w:val="center"/>
          </w:tcPr>
          <w:p w:rsidR="004A340E" w:rsidRPr="0003325F" w:rsidRDefault="004A340E" w:rsidP="00A46D3C">
            <w:pPr>
              <w:spacing w:after="240" w:line="273" w:lineRule="exact"/>
              <w:textAlignment w:val="baseline"/>
              <w:rPr>
                <w:rFonts w:eastAsia="Times New Roman"/>
                <w:sz w:val="24"/>
                <w:szCs w:val="24"/>
                <w:lang w:val="fr-FR"/>
              </w:rPr>
            </w:pPr>
            <w:r w:rsidRPr="0003325F">
              <w:rPr>
                <w:rFonts w:eastAsia="Times New Roman"/>
                <w:sz w:val="24"/>
                <w:szCs w:val="24"/>
                <w:lang w:val="fr-FR"/>
              </w:rPr>
              <w:t xml:space="preserve">L’avis de publication </w:t>
            </w:r>
          </w:p>
        </w:tc>
      </w:tr>
      <w:tr w:rsidR="004A340E" w:rsidRPr="0003325F" w:rsidTr="0040699C">
        <w:tc>
          <w:tcPr>
            <w:tcW w:w="805" w:type="dxa"/>
          </w:tcPr>
          <w:p w:rsidR="004A340E" w:rsidRPr="0003325F" w:rsidRDefault="004A340E" w:rsidP="00A46D3C">
            <w:pPr>
              <w:spacing w:after="240" w:line="273" w:lineRule="exact"/>
              <w:jc w:val="center"/>
              <w:textAlignment w:val="baseline"/>
              <w:rPr>
                <w:rFonts w:eastAsia="Times New Roman"/>
                <w:sz w:val="24"/>
                <w:szCs w:val="24"/>
                <w:lang w:val="fr-FR"/>
              </w:rPr>
            </w:pPr>
            <w:r w:rsidRPr="0003325F">
              <w:rPr>
                <w:rFonts w:eastAsia="Times New Roman"/>
                <w:sz w:val="24"/>
                <w:szCs w:val="24"/>
                <w:lang w:val="fr-FR"/>
              </w:rPr>
              <w:t>2</w:t>
            </w:r>
          </w:p>
        </w:tc>
        <w:tc>
          <w:tcPr>
            <w:tcW w:w="9368" w:type="dxa"/>
          </w:tcPr>
          <w:p w:rsidR="004A340E" w:rsidRPr="0003325F" w:rsidRDefault="004A340E" w:rsidP="0040699C">
            <w:pPr>
              <w:tabs>
                <w:tab w:val="left" w:pos="720"/>
                <w:tab w:val="left" w:pos="864"/>
              </w:tabs>
              <w:spacing w:line="293" w:lineRule="exact"/>
              <w:textAlignment w:val="baseline"/>
              <w:rPr>
                <w:rFonts w:eastAsia="Times New Roman"/>
                <w:strike/>
                <w:spacing w:val="4"/>
                <w:sz w:val="24"/>
                <w:szCs w:val="24"/>
                <w:lang w:val="fr-FR"/>
              </w:rPr>
            </w:pPr>
            <w:r w:rsidRPr="0003325F">
              <w:rPr>
                <w:rFonts w:eastAsia="Times New Roman"/>
                <w:spacing w:val="4"/>
                <w:sz w:val="24"/>
                <w:szCs w:val="24"/>
                <w:lang w:val="fr-FR"/>
              </w:rPr>
              <w:t>La preuve de la transmission des documents budgétaires au directeur financier</w:t>
            </w:r>
          </w:p>
        </w:tc>
      </w:tr>
      <w:tr w:rsidR="004A340E" w:rsidRPr="0003325F" w:rsidTr="00A46D3C">
        <w:tc>
          <w:tcPr>
            <w:tcW w:w="805" w:type="dxa"/>
          </w:tcPr>
          <w:p w:rsidR="004A340E" w:rsidRPr="0003325F" w:rsidRDefault="004A340E" w:rsidP="00A46D3C">
            <w:pPr>
              <w:spacing w:after="240" w:line="273" w:lineRule="exact"/>
              <w:jc w:val="center"/>
              <w:textAlignment w:val="baseline"/>
              <w:rPr>
                <w:rFonts w:eastAsia="Times New Roman"/>
                <w:sz w:val="24"/>
                <w:szCs w:val="24"/>
                <w:lang w:val="fr-FR"/>
              </w:rPr>
            </w:pPr>
            <w:r w:rsidRPr="0003325F">
              <w:rPr>
                <w:rFonts w:eastAsia="Times New Roman"/>
                <w:sz w:val="24"/>
                <w:szCs w:val="24"/>
                <w:lang w:val="fr-FR"/>
              </w:rPr>
              <w:t>3</w:t>
            </w:r>
          </w:p>
        </w:tc>
        <w:tc>
          <w:tcPr>
            <w:tcW w:w="9368" w:type="dxa"/>
            <w:vAlign w:val="center"/>
          </w:tcPr>
          <w:p w:rsidR="004A340E" w:rsidRPr="0003325F" w:rsidRDefault="004A340E" w:rsidP="00A46D3C">
            <w:pPr>
              <w:tabs>
                <w:tab w:val="left" w:pos="720"/>
                <w:tab w:val="left" w:pos="864"/>
              </w:tabs>
              <w:spacing w:before="10" w:line="274" w:lineRule="exact"/>
              <w:jc w:val="both"/>
              <w:textAlignment w:val="baseline"/>
              <w:rPr>
                <w:rFonts w:eastAsia="Times New Roman"/>
                <w:sz w:val="24"/>
                <w:szCs w:val="24"/>
                <w:lang w:val="fr-FR"/>
              </w:rPr>
            </w:pPr>
            <w:r w:rsidRPr="0003325F">
              <w:rPr>
                <w:rFonts w:eastAsia="Times New Roman"/>
                <w:sz w:val="24"/>
                <w:szCs w:val="24"/>
                <w:lang w:val="fr-FR"/>
              </w:rPr>
              <w:t>La preuve de la communication aux organisations syndicales des documents budgétaires et si ces organisations en ont fait la demande, la preuve de la tenue d'une réunion d'information.</w:t>
            </w:r>
          </w:p>
        </w:tc>
      </w:tr>
      <w:tr w:rsidR="004A340E" w:rsidRPr="0003325F" w:rsidTr="00A46D3C">
        <w:tc>
          <w:tcPr>
            <w:tcW w:w="805" w:type="dxa"/>
          </w:tcPr>
          <w:p w:rsidR="004A340E" w:rsidRPr="0003325F" w:rsidRDefault="004A340E" w:rsidP="00A46D3C">
            <w:pPr>
              <w:spacing w:after="240" w:line="273" w:lineRule="exact"/>
              <w:jc w:val="center"/>
              <w:textAlignment w:val="baseline"/>
              <w:rPr>
                <w:rFonts w:eastAsia="Times New Roman"/>
                <w:sz w:val="24"/>
                <w:szCs w:val="24"/>
                <w:lang w:val="fr-FR"/>
              </w:rPr>
            </w:pPr>
            <w:r w:rsidRPr="0003325F">
              <w:rPr>
                <w:rFonts w:eastAsia="Times New Roman"/>
                <w:sz w:val="24"/>
                <w:szCs w:val="24"/>
                <w:lang w:val="fr-FR"/>
              </w:rPr>
              <w:lastRenderedPageBreak/>
              <w:t>4</w:t>
            </w:r>
          </w:p>
        </w:tc>
        <w:tc>
          <w:tcPr>
            <w:tcW w:w="9368" w:type="dxa"/>
            <w:vAlign w:val="center"/>
          </w:tcPr>
          <w:p w:rsidR="004A340E" w:rsidRPr="0003325F" w:rsidRDefault="004A340E" w:rsidP="00A46D3C">
            <w:pPr>
              <w:tabs>
                <w:tab w:val="left" w:pos="720"/>
                <w:tab w:val="left" w:pos="864"/>
              </w:tabs>
              <w:spacing w:before="16" w:line="268" w:lineRule="exact"/>
              <w:jc w:val="both"/>
              <w:textAlignment w:val="baseline"/>
              <w:rPr>
                <w:rFonts w:eastAsia="Times New Roman"/>
                <w:sz w:val="24"/>
                <w:szCs w:val="24"/>
                <w:lang w:val="fr-FR"/>
              </w:rPr>
            </w:pPr>
            <w:r w:rsidRPr="0003325F">
              <w:rPr>
                <w:rFonts w:eastAsia="Times New Roman"/>
                <w:sz w:val="24"/>
                <w:szCs w:val="24"/>
                <w:lang w:val="fr-FR"/>
              </w:rPr>
              <w:t>La copie de la page du budget du CPAS ou la délibération du comité de concertation portant sur les montants de la dotation communale si celle-ci est modifiée</w:t>
            </w:r>
          </w:p>
        </w:tc>
      </w:tr>
    </w:tbl>
    <w:p w:rsidR="004A340E" w:rsidRPr="0003325F" w:rsidRDefault="004A340E" w:rsidP="004A340E">
      <w:pPr>
        <w:spacing w:line="273" w:lineRule="exact"/>
        <w:jc w:val="both"/>
        <w:textAlignment w:val="baseline"/>
        <w:rPr>
          <w:rFonts w:eastAsia="Times New Roman"/>
          <w:sz w:val="24"/>
          <w:szCs w:val="24"/>
          <w:lang w:val="fr-FR"/>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5"/>
        <w:gridCol w:w="9368"/>
      </w:tblGrid>
      <w:tr w:rsidR="004A340E" w:rsidRPr="0003325F" w:rsidTr="00A46D3C">
        <w:tc>
          <w:tcPr>
            <w:tcW w:w="10173" w:type="dxa"/>
            <w:gridSpan w:val="2"/>
          </w:tcPr>
          <w:p w:rsidR="004A340E" w:rsidRPr="0003325F" w:rsidRDefault="004A340E" w:rsidP="00A46D3C">
            <w:pPr>
              <w:jc w:val="center"/>
              <w:rPr>
                <w:rFonts w:eastAsia="Times New Roman"/>
                <w:b/>
                <w:sz w:val="24"/>
                <w:szCs w:val="24"/>
                <w:lang w:val="fr-BE"/>
              </w:rPr>
            </w:pPr>
            <w:r w:rsidRPr="0003325F">
              <w:rPr>
                <w:rFonts w:eastAsia="Times New Roman"/>
                <w:b/>
                <w:sz w:val="24"/>
                <w:szCs w:val="24"/>
                <w:lang w:val="fr-BE"/>
              </w:rPr>
              <w:t>UNIQUEMENT POUR LA MODIFICATION BUDGÉTAIRE COMMUNALE QUI INTRODUIT LES RÉSULTATS DES COMPTES ET UNIQUEMENT SI LES COMPTES NE SONT PAS PRESENTÉS EN MÊME TEMPS A LA TUTELLE Liste des pièces justificatives obligatoires à fournir en plus</w:t>
            </w:r>
          </w:p>
        </w:tc>
      </w:tr>
      <w:tr w:rsidR="004A340E" w:rsidRPr="0003325F" w:rsidTr="00A46D3C">
        <w:tc>
          <w:tcPr>
            <w:tcW w:w="805" w:type="dxa"/>
            <w:vAlign w:val="center"/>
          </w:tcPr>
          <w:p w:rsidR="004A340E" w:rsidRPr="0003325F" w:rsidRDefault="004A340E" w:rsidP="00A46D3C">
            <w:pPr>
              <w:spacing w:after="240" w:line="273" w:lineRule="exact"/>
              <w:jc w:val="center"/>
              <w:textAlignment w:val="baseline"/>
              <w:rPr>
                <w:rFonts w:eastAsia="Times New Roman"/>
                <w:sz w:val="24"/>
                <w:szCs w:val="24"/>
                <w:lang w:val="fr-FR"/>
              </w:rPr>
            </w:pPr>
            <w:r w:rsidRPr="0003325F">
              <w:rPr>
                <w:rFonts w:eastAsia="Times New Roman"/>
                <w:sz w:val="24"/>
                <w:szCs w:val="24"/>
                <w:lang w:val="fr-FR"/>
              </w:rPr>
              <w:t>1</w:t>
            </w:r>
          </w:p>
        </w:tc>
        <w:tc>
          <w:tcPr>
            <w:tcW w:w="9368" w:type="dxa"/>
          </w:tcPr>
          <w:p w:rsidR="004A340E" w:rsidRPr="0003325F" w:rsidRDefault="004A340E" w:rsidP="00A46D3C">
            <w:pPr>
              <w:spacing w:after="240" w:line="273" w:lineRule="exact"/>
              <w:jc w:val="both"/>
              <w:textAlignment w:val="baseline"/>
              <w:rPr>
                <w:rFonts w:eastAsia="Times New Roman"/>
                <w:sz w:val="24"/>
                <w:szCs w:val="24"/>
                <w:lang w:val="fr-FR"/>
              </w:rPr>
            </w:pPr>
            <w:r w:rsidRPr="0003325F">
              <w:rPr>
                <w:rFonts w:eastAsia="Times New Roman"/>
                <w:sz w:val="24"/>
                <w:szCs w:val="24"/>
                <w:lang w:val="fr-FR"/>
              </w:rPr>
              <w:t>Le tableau de synthèse du compte</w:t>
            </w:r>
          </w:p>
        </w:tc>
      </w:tr>
      <w:tr w:rsidR="004A340E" w:rsidRPr="0003325F" w:rsidTr="00A46D3C">
        <w:tc>
          <w:tcPr>
            <w:tcW w:w="805" w:type="dxa"/>
            <w:vAlign w:val="center"/>
          </w:tcPr>
          <w:p w:rsidR="004A340E" w:rsidRPr="0003325F" w:rsidRDefault="004A340E" w:rsidP="00A46D3C">
            <w:pPr>
              <w:spacing w:after="240" w:line="273" w:lineRule="exact"/>
              <w:jc w:val="center"/>
              <w:textAlignment w:val="baseline"/>
              <w:rPr>
                <w:rFonts w:eastAsia="Times New Roman"/>
                <w:sz w:val="24"/>
                <w:szCs w:val="24"/>
                <w:lang w:val="fr-FR"/>
              </w:rPr>
            </w:pPr>
            <w:r w:rsidRPr="0003325F">
              <w:rPr>
                <w:rFonts w:eastAsia="Times New Roman"/>
                <w:sz w:val="24"/>
                <w:szCs w:val="24"/>
                <w:lang w:val="fr-FR"/>
              </w:rPr>
              <w:t>2</w:t>
            </w:r>
          </w:p>
        </w:tc>
        <w:tc>
          <w:tcPr>
            <w:tcW w:w="9368" w:type="dxa"/>
          </w:tcPr>
          <w:p w:rsidR="004A340E" w:rsidRPr="0003325F" w:rsidRDefault="004A340E" w:rsidP="00A46D3C">
            <w:pPr>
              <w:spacing w:after="240" w:line="273" w:lineRule="exact"/>
              <w:jc w:val="both"/>
              <w:textAlignment w:val="baseline"/>
              <w:rPr>
                <w:rFonts w:eastAsia="Times New Roman"/>
                <w:sz w:val="24"/>
                <w:szCs w:val="24"/>
                <w:lang w:val="fr-FR"/>
              </w:rPr>
            </w:pPr>
            <w:r w:rsidRPr="0003325F">
              <w:rPr>
                <w:rFonts w:eastAsia="Times New Roman"/>
                <w:sz w:val="24"/>
                <w:szCs w:val="24"/>
                <w:lang w:val="fr-FR"/>
              </w:rPr>
              <w:t>La délibération du</w:t>
            </w:r>
            <w:r w:rsidRPr="0003325F">
              <w:rPr>
                <w:rFonts w:eastAsia="Times New Roman"/>
                <w:color w:val="1F497D"/>
                <w:sz w:val="24"/>
                <w:szCs w:val="24"/>
                <w:lang w:val="fr-BE"/>
              </w:rPr>
              <w:t xml:space="preserve"> </w:t>
            </w:r>
            <w:r w:rsidRPr="0003325F">
              <w:rPr>
                <w:rFonts w:eastAsia="Times New Roman"/>
                <w:sz w:val="24"/>
                <w:szCs w:val="24"/>
                <w:lang w:val="fr-FR"/>
              </w:rPr>
              <w:t>Conseil arrêtant ledit compte conforme au modèle disponible sur le portail des pouvoirs locaux sinon, joindre à la délibération la copie du bilan.</w:t>
            </w:r>
          </w:p>
        </w:tc>
      </w:tr>
      <w:tr w:rsidR="004A340E" w:rsidRPr="0003325F" w:rsidTr="00A46D3C">
        <w:tc>
          <w:tcPr>
            <w:tcW w:w="805" w:type="dxa"/>
            <w:vAlign w:val="center"/>
          </w:tcPr>
          <w:p w:rsidR="004A340E" w:rsidRPr="0003325F" w:rsidRDefault="004A340E" w:rsidP="00A46D3C">
            <w:pPr>
              <w:spacing w:after="240" w:line="273" w:lineRule="exact"/>
              <w:jc w:val="center"/>
              <w:textAlignment w:val="baseline"/>
              <w:rPr>
                <w:rFonts w:eastAsia="Times New Roman"/>
                <w:sz w:val="24"/>
                <w:szCs w:val="24"/>
                <w:lang w:val="fr-FR"/>
              </w:rPr>
            </w:pPr>
            <w:r w:rsidRPr="0003325F">
              <w:rPr>
                <w:rFonts w:eastAsia="Times New Roman"/>
                <w:sz w:val="24"/>
                <w:szCs w:val="24"/>
                <w:lang w:val="fr-FR"/>
              </w:rPr>
              <w:t>3</w:t>
            </w:r>
          </w:p>
        </w:tc>
        <w:tc>
          <w:tcPr>
            <w:tcW w:w="9368" w:type="dxa"/>
          </w:tcPr>
          <w:p w:rsidR="004A340E" w:rsidRPr="0003325F" w:rsidRDefault="004A340E" w:rsidP="00A46D3C">
            <w:pPr>
              <w:spacing w:after="240" w:line="273" w:lineRule="exact"/>
              <w:jc w:val="both"/>
              <w:textAlignment w:val="baseline"/>
              <w:rPr>
                <w:rFonts w:eastAsia="Times New Roman"/>
                <w:strike/>
                <w:sz w:val="24"/>
                <w:szCs w:val="24"/>
                <w:lang w:val="fr-FR"/>
              </w:rPr>
            </w:pPr>
            <w:r w:rsidRPr="0003325F">
              <w:rPr>
                <w:rFonts w:eastAsia="Times New Roman"/>
                <w:sz w:val="24"/>
                <w:szCs w:val="24"/>
                <w:lang w:val="fr-FR"/>
              </w:rPr>
              <w:t>Le tableau des voies et moyens issu du système informatique trié par numéros de projets ventilés par articles budgétaires, tableau intitulé : « tableau budgétaire récapitulatif des projets extraordinaires et leur voies et moyens » (il s'agit ici de la même pièce que celle reprise au point 12 des comptes annuels dans la circulaire du 27 mai 2013 sur les pièces justificatives)</w:t>
            </w:r>
          </w:p>
        </w:tc>
      </w:tr>
    </w:tbl>
    <w:p w:rsidR="004A340E" w:rsidRPr="0003325F" w:rsidRDefault="004A340E" w:rsidP="004A340E">
      <w:pPr>
        <w:jc w:val="both"/>
        <w:rPr>
          <w:sz w:val="24"/>
          <w:szCs w:val="24"/>
          <w:lang w:val="fr-BE"/>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5"/>
        <w:gridCol w:w="9368"/>
      </w:tblGrid>
      <w:tr w:rsidR="004A340E" w:rsidRPr="0003325F" w:rsidTr="00A46D3C">
        <w:trPr>
          <w:trHeight w:val="770"/>
        </w:trPr>
        <w:tc>
          <w:tcPr>
            <w:tcW w:w="10173" w:type="dxa"/>
            <w:gridSpan w:val="2"/>
          </w:tcPr>
          <w:p w:rsidR="004A340E" w:rsidRPr="0003325F" w:rsidRDefault="004A340E" w:rsidP="00A46D3C">
            <w:pPr>
              <w:jc w:val="center"/>
              <w:rPr>
                <w:rFonts w:eastAsia="Times New Roman"/>
                <w:b/>
                <w:sz w:val="24"/>
                <w:szCs w:val="24"/>
                <w:lang w:val="fr-BE"/>
              </w:rPr>
            </w:pPr>
            <w:r w:rsidRPr="0003325F">
              <w:rPr>
                <w:rFonts w:eastAsia="Times New Roman"/>
                <w:b/>
                <w:sz w:val="24"/>
                <w:szCs w:val="24"/>
                <w:lang w:val="fr-BE"/>
              </w:rPr>
              <w:t>BUDGET et MODIFICATIONS BUDGETAIRES DE REGIE</w:t>
            </w:r>
          </w:p>
          <w:p w:rsidR="004A340E" w:rsidRPr="0003325F" w:rsidRDefault="004A340E" w:rsidP="00A46D3C">
            <w:pPr>
              <w:jc w:val="center"/>
              <w:rPr>
                <w:rFonts w:eastAsia="Times New Roman"/>
                <w:b/>
                <w:sz w:val="24"/>
                <w:szCs w:val="24"/>
                <w:lang w:val="fr-BE"/>
              </w:rPr>
            </w:pPr>
            <w:r w:rsidRPr="0003325F">
              <w:rPr>
                <w:rFonts w:eastAsia="Times New Roman"/>
                <w:b/>
                <w:sz w:val="24"/>
                <w:szCs w:val="24"/>
                <w:lang w:val="fr-BE"/>
              </w:rPr>
              <w:t>Listing des pièces justificatives obligatoires</w:t>
            </w:r>
          </w:p>
        </w:tc>
      </w:tr>
      <w:tr w:rsidR="004A340E" w:rsidRPr="0003325F" w:rsidTr="00A46D3C">
        <w:trPr>
          <w:trHeight w:val="412"/>
        </w:trPr>
        <w:tc>
          <w:tcPr>
            <w:tcW w:w="805" w:type="dxa"/>
            <w:vAlign w:val="center"/>
          </w:tcPr>
          <w:p w:rsidR="004A340E" w:rsidRPr="0003325F" w:rsidRDefault="004A340E" w:rsidP="00A46D3C">
            <w:pPr>
              <w:jc w:val="center"/>
              <w:rPr>
                <w:rFonts w:eastAsia="Times New Roman"/>
                <w:sz w:val="24"/>
                <w:szCs w:val="24"/>
              </w:rPr>
            </w:pPr>
            <w:r w:rsidRPr="0003325F">
              <w:rPr>
                <w:rFonts w:eastAsia="Times New Roman"/>
                <w:sz w:val="24"/>
                <w:szCs w:val="24"/>
              </w:rPr>
              <w:t>1</w:t>
            </w:r>
          </w:p>
        </w:tc>
        <w:tc>
          <w:tcPr>
            <w:tcW w:w="9368" w:type="dxa"/>
            <w:vAlign w:val="center"/>
          </w:tcPr>
          <w:p w:rsidR="004A340E" w:rsidRPr="0003325F" w:rsidRDefault="004A340E" w:rsidP="0040699C">
            <w:pPr>
              <w:rPr>
                <w:rFonts w:eastAsia="Times New Roman"/>
                <w:sz w:val="24"/>
                <w:szCs w:val="24"/>
                <w:lang w:val="fr-BE"/>
              </w:rPr>
            </w:pPr>
            <w:r w:rsidRPr="0003325F">
              <w:rPr>
                <w:rFonts w:eastAsia="Times New Roman"/>
                <w:sz w:val="24"/>
                <w:szCs w:val="24"/>
                <w:lang w:val="fr-FR"/>
              </w:rPr>
              <w:t xml:space="preserve">La délibération in extenso du Conseil communal - </w:t>
            </w:r>
            <w:r w:rsidRPr="0003325F">
              <w:rPr>
                <w:rFonts w:eastAsia="Times New Roman"/>
                <w:sz w:val="24"/>
                <w:szCs w:val="24"/>
                <w:lang w:val="fr-BE"/>
              </w:rPr>
              <w:t>Modèle sur le portail des pouvoirs locaux</w:t>
            </w:r>
          </w:p>
        </w:tc>
      </w:tr>
      <w:tr w:rsidR="004A340E" w:rsidRPr="0003325F" w:rsidTr="00A46D3C">
        <w:trPr>
          <w:trHeight w:val="418"/>
        </w:trPr>
        <w:tc>
          <w:tcPr>
            <w:tcW w:w="805" w:type="dxa"/>
            <w:vAlign w:val="center"/>
          </w:tcPr>
          <w:p w:rsidR="004A340E" w:rsidRPr="0003325F" w:rsidRDefault="004A340E" w:rsidP="00A46D3C">
            <w:pPr>
              <w:jc w:val="center"/>
              <w:rPr>
                <w:rFonts w:eastAsia="Times New Roman"/>
                <w:sz w:val="24"/>
                <w:szCs w:val="24"/>
              </w:rPr>
            </w:pPr>
            <w:r w:rsidRPr="0003325F">
              <w:rPr>
                <w:rFonts w:eastAsia="Times New Roman"/>
                <w:sz w:val="24"/>
                <w:szCs w:val="24"/>
              </w:rPr>
              <w:t>2</w:t>
            </w:r>
          </w:p>
        </w:tc>
        <w:tc>
          <w:tcPr>
            <w:tcW w:w="9368" w:type="dxa"/>
            <w:vAlign w:val="center"/>
          </w:tcPr>
          <w:p w:rsidR="004A340E" w:rsidRPr="0003325F" w:rsidRDefault="004A340E" w:rsidP="00A46D3C">
            <w:pPr>
              <w:rPr>
                <w:rFonts w:eastAsia="Times New Roman"/>
                <w:sz w:val="24"/>
                <w:szCs w:val="24"/>
                <w:lang w:val="fr-FR"/>
              </w:rPr>
            </w:pPr>
            <w:r w:rsidRPr="0003325F">
              <w:rPr>
                <w:rFonts w:eastAsia="Times New Roman"/>
                <w:sz w:val="24"/>
                <w:szCs w:val="24"/>
                <w:lang w:val="fr-BE"/>
              </w:rPr>
              <w:t>L</w:t>
            </w:r>
            <w:r w:rsidRPr="0003325F">
              <w:rPr>
                <w:rFonts w:eastAsia="Times New Roman"/>
                <w:sz w:val="24"/>
                <w:szCs w:val="24"/>
                <w:lang w:val="fr-FR"/>
              </w:rPr>
              <w:t xml:space="preserve">a version « </w:t>
            </w:r>
            <w:proofErr w:type="spellStart"/>
            <w:r w:rsidRPr="0003325F">
              <w:rPr>
                <w:rFonts w:eastAsia="Times New Roman"/>
                <w:sz w:val="24"/>
                <w:szCs w:val="24"/>
                <w:lang w:val="fr-FR"/>
              </w:rPr>
              <w:t>word</w:t>
            </w:r>
            <w:proofErr w:type="spellEnd"/>
            <w:r w:rsidRPr="0003325F">
              <w:rPr>
                <w:rFonts w:eastAsia="Times New Roman"/>
                <w:sz w:val="24"/>
                <w:szCs w:val="24"/>
                <w:lang w:val="fr-FR"/>
              </w:rPr>
              <w:t xml:space="preserve"> » ou « </w:t>
            </w:r>
            <w:proofErr w:type="spellStart"/>
            <w:r w:rsidRPr="0003325F">
              <w:rPr>
                <w:rFonts w:eastAsia="Times New Roman"/>
                <w:sz w:val="24"/>
                <w:szCs w:val="24"/>
                <w:lang w:val="fr-FR"/>
              </w:rPr>
              <w:t>excel</w:t>
            </w:r>
            <w:proofErr w:type="spellEnd"/>
            <w:r w:rsidRPr="0003325F">
              <w:rPr>
                <w:rFonts w:eastAsia="Times New Roman"/>
                <w:sz w:val="24"/>
                <w:szCs w:val="24"/>
                <w:lang w:val="fr-FR"/>
              </w:rPr>
              <w:t xml:space="preserve"> » du budget ou de la modification budgétaire</w:t>
            </w:r>
          </w:p>
        </w:tc>
      </w:tr>
      <w:tr w:rsidR="004A340E" w:rsidRPr="0003325F" w:rsidTr="00A46D3C">
        <w:trPr>
          <w:trHeight w:val="418"/>
        </w:trPr>
        <w:tc>
          <w:tcPr>
            <w:tcW w:w="805" w:type="dxa"/>
            <w:vAlign w:val="center"/>
          </w:tcPr>
          <w:p w:rsidR="004A340E" w:rsidRPr="0003325F" w:rsidRDefault="004A340E" w:rsidP="00A46D3C">
            <w:pPr>
              <w:jc w:val="center"/>
              <w:rPr>
                <w:rFonts w:eastAsia="Times New Roman"/>
                <w:sz w:val="24"/>
                <w:szCs w:val="24"/>
              </w:rPr>
            </w:pPr>
            <w:r w:rsidRPr="0003325F">
              <w:rPr>
                <w:rFonts w:eastAsia="Times New Roman"/>
                <w:sz w:val="24"/>
                <w:szCs w:val="24"/>
              </w:rPr>
              <w:t>3</w:t>
            </w:r>
          </w:p>
        </w:tc>
        <w:tc>
          <w:tcPr>
            <w:tcW w:w="9368" w:type="dxa"/>
            <w:vAlign w:val="center"/>
          </w:tcPr>
          <w:p w:rsidR="004A340E" w:rsidRPr="0003325F" w:rsidRDefault="004A340E" w:rsidP="00A46D3C">
            <w:pPr>
              <w:rPr>
                <w:rFonts w:eastAsia="Times New Roman"/>
                <w:sz w:val="24"/>
                <w:szCs w:val="24"/>
                <w:lang w:val="fr-BE"/>
              </w:rPr>
            </w:pPr>
            <w:r w:rsidRPr="0003325F">
              <w:rPr>
                <w:rFonts w:eastAsia="Times New Roman"/>
                <w:sz w:val="24"/>
                <w:szCs w:val="24"/>
                <w:lang w:val="fr-FR"/>
              </w:rPr>
              <w:t>Les états de recettes et dépenses (budget de trésorerie)</w:t>
            </w:r>
          </w:p>
        </w:tc>
      </w:tr>
      <w:tr w:rsidR="004A340E" w:rsidRPr="0003325F" w:rsidTr="00A46D3C">
        <w:trPr>
          <w:trHeight w:val="411"/>
        </w:trPr>
        <w:tc>
          <w:tcPr>
            <w:tcW w:w="805" w:type="dxa"/>
            <w:vAlign w:val="center"/>
          </w:tcPr>
          <w:p w:rsidR="004A340E" w:rsidRPr="0003325F" w:rsidRDefault="004A340E" w:rsidP="00A46D3C">
            <w:pPr>
              <w:jc w:val="center"/>
              <w:rPr>
                <w:rFonts w:eastAsia="Times New Roman"/>
                <w:sz w:val="24"/>
                <w:szCs w:val="24"/>
              </w:rPr>
            </w:pPr>
            <w:r w:rsidRPr="0003325F">
              <w:rPr>
                <w:rFonts w:eastAsia="Times New Roman"/>
                <w:sz w:val="24"/>
                <w:szCs w:val="24"/>
              </w:rPr>
              <w:t>4</w:t>
            </w:r>
          </w:p>
        </w:tc>
        <w:tc>
          <w:tcPr>
            <w:tcW w:w="9368" w:type="dxa"/>
            <w:vAlign w:val="center"/>
          </w:tcPr>
          <w:p w:rsidR="004A340E" w:rsidRPr="0003325F" w:rsidRDefault="004A340E" w:rsidP="00A46D3C">
            <w:pPr>
              <w:rPr>
                <w:rFonts w:eastAsia="Times New Roman"/>
                <w:sz w:val="24"/>
                <w:szCs w:val="24"/>
                <w:lang w:val="fr-BE"/>
              </w:rPr>
            </w:pPr>
            <w:r w:rsidRPr="0003325F">
              <w:rPr>
                <w:rFonts w:eastAsia="Times New Roman"/>
                <w:sz w:val="24"/>
                <w:szCs w:val="24"/>
                <w:lang w:val="fr-FR"/>
              </w:rPr>
              <w:t>Le tableau du personnel de la régie comprenant tous les éléments chiffrés de la rémunération</w:t>
            </w:r>
          </w:p>
        </w:tc>
      </w:tr>
      <w:tr w:rsidR="004A340E" w:rsidRPr="0003325F" w:rsidTr="00A46D3C">
        <w:trPr>
          <w:trHeight w:val="618"/>
        </w:trPr>
        <w:tc>
          <w:tcPr>
            <w:tcW w:w="805" w:type="dxa"/>
            <w:vAlign w:val="center"/>
          </w:tcPr>
          <w:p w:rsidR="004A340E" w:rsidRPr="0003325F" w:rsidRDefault="004A340E" w:rsidP="00A46D3C">
            <w:pPr>
              <w:jc w:val="center"/>
              <w:rPr>
                <w:rFonts w:eastAsia="Times New Roman"/>
                <w:sz w:val="24"/>
                <w:szCs w:val="24"/>
              </w:rPr>
            </w:pPr>
            <w:r w:rsidRPr="0003325F">
              <w:rPr>
                <w:rFonts w:eastAsia="Times New Roman"/>
                <w:sz w:val="24"/>
                <w:szCs w:val="24"/>
              </w:rPr>
              <w:t>5</w:t>
            </w:r>
          </w:p>
        </w:tc>
        <w:tc>
          <w:tcPr>
            <w:tcW w:w="9368" w:type="dxa"/>
            <w:vAlign w:val="center"/>
          </w:tcPr>
          <w:p w:rsidR="004A340E" w:rsidRPr="0003325F" w:rsidRDefault="004A340E" w:rsidP="00A46D3C">
            <w:pPr>
              <w:rPr>
                <w:rFonts w:eastAsia="Times New Roman"/>
                <w:sz w:val="24"/>
                <w:szCs w:val="24"/>
                <w:lang w:val="fr-BE"/>
              </w:rPr>
            </w:pPr>
            <w:r w:rsidRPr="0003325F">
              <w:rPr>
                <w:rFonts w:eastAsia="Times New Roman"/>
                <w:sz w:val="24"/>
                <w:szCs w:val="24"/>
                <w:lang w:val="fr-FR"/>
              </w:rPr>
              <w:t>Le tableau des emprunts de la régie contractés et à contracter présenté par emprunt avec récapitulation</w:t>
            </w:r>
          </w:p>
        </w:tc>
      </w:tr>
      <w:tr w:rsidR="004A340E" w:rsidRPr="0003325F" w:rsidTr="00A46D3C">
        <w:trPr>
          <w:trHeight w:val="618"/>
        </w:trPr>
        <w:tc>
          <w:tcPr>
            <w:tcW w:w="805" w:type="dxa"/>
            <w:vAlign w:val="center"/>
          </w:tcPr>
          <w:p w:rsidR="004A340E" w:rsidRPr="0003325F" w:rsidRDefault="004A340E" w:rsidP="00A46D3C">
            <w:pPr>
              <w:jc w:val="center"/>
              <w:rPr>
                <w:rFonts w:eastAsia="Times New Roman"/>
                <w:sz w:val="24"/>
                <w:szCs w:val="24"/>
              </w:rPr>
            </w:pPr>
            <w:r w:rsidRPr="0003325F">
              <w:rPr>
                <w:rFonts w:eastAsia="Times New Roman"/>
                <w:sz w:val="24"/>
                <w:szCs w:val="24"/>
              </w:rPr>
              <w:t>6</w:t>
            </w:r>
          </w:p>
        </w:tc>
        <w:tc>
          <w:tcPr>
            <w:tcW w:w="9368" w:type="dxa"/>
            <w:vAlign w:val="center"/>
          </w:tcPr>
          <w:p w:rsidR="004A340E" w:rsidRPr="0003325F" w:rsidRDefault="004A340E" w:rsidP="00A46D3C">
            <w:pPr>
              <w:rPr>
                <w:rFonts w:eastAsia="Times New Roman"/>
                <w:sz w:val="24"/>
                <w:szCs w:val="24"/>
                <w:lang w:val="fr-FR"/>
              </w:rPr>
            </w:pPr>
            <w:r w:rsidRPr="0003325F">
              <w:rPr>
                <w:rFonts w:eastAsia="Times New Roman"/>
                <w:sz w:val="24"/>
                <w:szCs w:val="24"/>
                <w:lang w:val="fr-FR"/>
              </w:rPr>
              <w:t>Quand il existe, l’avis du Directeur financier rendu en application de l’article L</w:t>
            </w:r>
            <w:r w:rsidRPr="0003325F">
              <w:rPr>
                <w:rFonts w:eastAsia="Times New Roman"/>
                <w:sz w:val="24"/>
                <w:szCs w:val="24"/>
                <w:lang w:val="fr-FR" w:eastAsia="fr-FR"/>
              </w:rPr>
              <w:t>1124-40 du CDLD</w:t>
            </w:r>
          </w:p>
        </w:tc>
      </w:tr>
    </w:tbl>
    <w:p w:rsidR="00EF24F2" w:rsidRDefault="00EF24F2"/>
    <w:sectPr w:rsidR="00EF24F2" w:rsidSect="00EF24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4A340E"/>
    <w:rsid w:val="00080E16"/>
    <w:rsid w:val="000F4EA6"/>
    <w:rsid w:val="00133B8B"/>
    <w:rsid w:val="0040699C"/>
    <w:rsid w:val="004407A3"/>
    <w:rsid w:val="004A340E"/>
    <w:rsid w:val="00634883"/>
    <w:rsid w:val="00937B3E"/>
    <w:rsid w:val="00982B73"/>
    <w:rsid w:val="00985EDB"/>
    <w:rsid w:val="00A20D6B"/>
    <w:rsid w:val="00B30B47"/>
    <w:rsid w:val="00E12448"/>
    <w:rsid w:val="00EF24F2"/>
    <w:rsid w:val="00F5042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40E"/>
    <w:pPr>
      <w:spacing w:after="0" w:line="240" w:lineRule="auto"/>
    </w:pPr>
    <w:rPr>
      <w:rFonts w:ascii="Times New Roman" w:eastAsia="PMingLiU" w:hAnsi="Times New Roman"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1065</Words>
  <Characters>5859</Characters>
  <Application>Microsoft Office Word</Application>
  <DocSecurity>4</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DGO5-TABURIAUX Nathalie</dc:creator>
  <cp:lastModifiedBy>DGO5-DOUMONT Emeline</cp:lastModifiedBy>
  <cp:revision>2</cp:revision>
  <cp:lastPrinted>2018-03-29T10:05:00Z</cp:lastPrinted>
  <dcterms:created xsi:type="dcterms:W3CDTF">2018-09-24T12:47:00Z</dcterms:created>
  <dcterms:modified xsi:type="dcterms:W3CDTF">2018-09-24T12:47:00Z</dcterms:modified>
</cp:coreProperties>
</file>