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F94" w:rsidRPr="00BF0F94" w:rsidRDefault="00BF0F94" w:rsidP="00BF0F94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jc w:val="center"/>
        <w:rPr>
          <w:b/>
          <w:color w:val="FF0000"/>
          <w:sz w:val="36"/>
          <w:szCs w:val="36"/>
        </w:rPr>
      </w:pPr>
      <w:r w:rsidRPr="00BF0F94">
        <w:rPr>
          <w:b/>
          <w:color w:val="FF0000"/>
          <w:sz w:val="36"/>
          <w:szCs w:val="36"/>
        </w:rPr>
        <w:t>FAQ</w:t>
      </w:r>
    </w:p>
    <w:p w:rsidR="00BF0F94" w:rsidRDefault="00BF0F94" w:rsidP="00BF0F94">
      <w:pPr>
        <w:pStyle w:val="Titre2"/>
        <w:rPr>
          <w:color w:val="FF0000"/>
          <w:lang w:val="fr-FR"/>
        </w:rPr>
      </w:pPr>
    </w:p>
    <w:sdt>
      <w:sdtPr>
        <w:id w:val="182964190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val="fr-BE" w:eastAsia="en-US"/>
        </w:rPr>
      </w:sdtEndPr>
      <w:sdtContent>
        <w:p w:rsidR="00BF0F94" w:rsidRDefault="00BF0F94">
          <w:pPr>
            <w:pStyle w:val="En-ttedetabledesmatires"/>
          </w:pPr>
        </w:p>
        <w:p w:rsidR="00BF0F94" w:rsidRDefault="00BF0F94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30500044" w:history="1">
            <w:r w:rsidRPr="00073815">
              <w:rPr>
                <w:rStyle w:val="Lienhypertexte"/>
                <w:noProof/>
                <w:lang w:val="fr-FR"/>
              </w:rPr>
              <w:t>1.</w:t>
            </w:r>
            <w:r>
              <w:rPr>
                <w:noProof/>
              </w:rPr>
              <w:tab/>
            </w:r>
            <w:r w:rsidRPr="00073815">
              <w:rPr>
                <w:rStyle w:val="Lienhypertexte"/>
                <w:noProof/>
                <w:lang w:val="fr-FR"/>
              </w:rPr>
              <w:t>Qu’est-ce qu’un bien relevant du domaine public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_Toc30500044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0F94" w:rsidRDefault="00BF0F94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0500045" w:history="1">
            <w:r w:rsidRPr="00073815">
              <w:rPr>
                <w:rStyle w:val="Lienhypertexte"/>
                <w:noProof/>
              </w:rPr>
              <w:t>2.</w:t>
            </w:r>
            <w:r>
              <w:rPr>
                <w:noProof/>
              </w:rPr>
              <w:tab/>
            </w:r>
            <w:r w:rsidRPr="00073815">
              <w:rPr>
                <w:rStyle w:val="Lienhypertexte"/>
                <w:noProof/>
              </w:rPr>
              <w:t>Qui peut demander une aide à la réparation de ce type de biens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_Toc30500045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0F94" w:rsidRDefault="00BF0F94">
          <w:pPr>
            <w:pStyle w:val="TM2"/>
            <w:tabs>
              <w:tab w:val="left" w:pos="660"/>
              <w:tab w:val="right" w:leader="dot" w:pos="9062"/>
            </w:tabs>
            <w:rPr>
              <w:noProof/>
            </w:rPr>
          </w:pPr>
          <w:hyperlink w:anchor="_Toc30500046" w:history="1">
            <w:r w:rsidRPr="00073815">
              <w:rPr>
                <w:rStyle w:val="Lienhypertexte"/>
                <w:noProof/>
              </w:rPr>
              <w:t>1.</w:t>
            </w:r>
            <w:r>
              <w:rPr>
                <w:noProof/>
              </w:rPr>
              <w:tab/>
            </w:r>
            <w:r w:rsidRPr="00073815">
              <w:rPr>
                <w:rStyle w:val="Lienhypertexte"/>
                <w:noProof/>
              </w:rPr>
              <w:t>Comment introduire une demande d’aide à la réparation pour ces biens 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_Toc30500046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0F94" w:rsidRDefault="00BF0F94">
          <w:r>
            <w:rPr>
              <w:b/>
              <w:bCs/>
            </w:rPr>
            <w:fldChar w:fldCharType="end"/>
          </w:r>
        </w:p>
      </w:sdtContent>
    </w:sdt>
    <w:p w:rsidR="00BF0F94" w:rsidRPr="00BF0F94" w:rsidRDefault="00BF0F94" w:rsidP="00BF0F94">
      <w:pPr>
        <w:rPr>
          <w:lang w:val="fr-FR"/>
        </w:rPr>
      </w:pPr>
    </w:p>
    <w:p w:rsidR="00BF0F94" w:rsidRPr="00BF0F94" w:rsidRDefault="00BF0F94" w:rsidP="00BF0F94">
      <w:pPr>
        <w:pStyle w:val="Titre2"/>
        <w:numPr>
          <w:ilvl w:val="0"/>
          <w:numId w:val="3"/>
        </w:numPr>
        <w:rPr>
          <w:color w:val="FF0000"/>
          <w:lang w:val="fr-FR"/>
        </w:rPr>
      </w:pPr>
      <w:bookmarkStart w:id="0" w:name="_Toc30500044"/>
      <w:r w:rsidRPr="00BF0F94">
        <w:rPr>
          <w:color w:val="FF0000"/>
          <w:lang w:val="fr-FR"/>
        </w:rPr>
        <w:t>Qu’est-ce qu’un bien relevant du domaine public ?</w:t>
      </w:r>
      <w:bookmarkEnd w:id="0"/>
    </w:p>
    <w:p w:rsidR="00BF0F94" w:rsidRDefault="00BF0F94" w:rsidP="00BF0F94">
      <w:pPr>
        <w:jc w:val="both"/>
        <w:rPr>
          <w:lang w:val="fr-FR"/>
        </w:rPr>
      </w:pPr>
    </w:p>
    <w:p w:rsidR="00BF0F94" w:rsidRDefault="00BF0F94" w:rsidP="00BF0F94">
      <w:pPr>
        <w:jc w:val="both"/>
      </w:pPr>
      <w:r>
        <w:rPr>
          <w:lang w:val="fr-FR"/>
        </w:rPr>
        <w:t>Le domaine public est composé des biens dont les personnes morales de droit public sont propriétaires et qui sont affectés à l’usage de tous (affectation matérielle).</w:t>
      </w:r>
    </w:p>
    <w:p w:rsidR="00BF0F94" w:rsidRDefault="00BF0F94" w:rsidP="00BF0F94">
      <w:pPr>
        <w:jc w:val="both"/>
      </w:pPr>
      <w:r>
        <w:t xml:space="preserve">Exemples de biens relevant du domaine public : </w:t>
      </w:r>
    </w:p>
    <w:p w:rsidR="00BF0F94" w:rsidRDefault="00BF0F94" w:rsidP="00BF0F94">
      <w:pPr>
        <w:pStyle w:val="Paragraphedeliste"/>
        <w:numPr>
          <w:ilvl w:val="0"/>
          <w:numId w:val="1"/>
        </w:numPr>
        <w:jc w:val="both"/>
      </w:pPr>
      <w:r>
        <w:t>Voiries (routes et autres voies de circulation) ;</w:t>
      </w:r>
    </w:p>
    <w:p w:rsidR="00BF0F94" w:rsidRDefault="00BF0F94" w:rsidP="00BF0F94">
      <w:pPr>
        <w:pStyle w:val="Paragraphedeliste"/>
        <w:numPr>
          <w:ilvl w:val="0"/>
          <w:numId w:val="1"/>
        </w:numPr>
        <w:jc w:val="both"/>
      </w:pPr>
      <w:r>
        <w:t>Parcs publics ;</w:t>
      </w:r>
    </w:p>
    <w:p w:rsidR="00BF0F94" w:rsidRDefault="00BF0F94" w:rsidP="00BF0F94">
      <w:pPr>
        <w:pStyle w:val="Paragraphedeliste"/>
        <w:numPr>
          <w:ilvl w:val="0"/>
          <w:numId w:val="1"/>
        </w:numPr>
        <w:jc w:val="both"/>
      </w:pPr>
      <w:r>
        <w:t>Eglises gérées par les fabriques d’église ;</w:t>
      </w:r>
    </w:p>
    <w:p w:rsidR="00BF0F94" w:rsidRDefault="00BF0F94" w:rsidP="00BF0F94">
      <w:pPr>
        <w:pStyle w:val="Paragraphedeliste"/>
        <w:numPr>
          <w:ilvl w:val="0"/>
          <w:numId w:val="1"/>
        </w:numPr>
        <w:jc w:val="both"/>
      </w:pPr>
      <w:r>
        <w:t>Centres sportifs communaux ;</w:t>
      </w:r>
    </w:p>
    <w:p w:rsidR="00BF0F94" w:rsidRDefault="00BF0F94" w:rsidP="00BF0F94">
      <w:pPr>
        <w:pStyle w:val="Paragraphedeliste"/>
        <w:numPr>
          <w:ilvl w:val="0"/>
          <w:numId w:val="1"/>
        </w:numPr>
        <w:jc w:val="both"/>
      </w:pPr>
      <w:r>
        <w:t>Etc.</w:t>
      </w:r>
    </w:p>
    <w:p w:rsidR="00BF0F94" w:rsidRDefault="00BF0F94" w:rsidP="00BF0F94">
      <w:pPr>
        <w:ind w:left="360"/>
        <w:jc w:val="both"/>
      </w:pPr>
    </w:p>
    <w:p w:rsidR="00BF0F94" w:rsidRPr="00BF0F94" w:rsidRDefault="00BF0F94" w:rsidP="00BF0F94">
      <w:pPr>
        <w:pStyle w:val="Titre2"/>
        <w:numPr>
          <w:ilvl w:val="0"/>
          <w:numId w:val="3"/>
        </w:numPr>
        <w:rPr>
          <w:color w:val="FF0000"/>
        </w:rPr>
      </w:pPr>
      <w:bookmarkStart w:id="1" w:name="_Toc30500045"/>
      <w:r w:rsidRPr="00BF0F94">
        <w:rPr>
          <w:color w:val="FF0000"/>
        </w:rPr>
        <w:t>Qui peut demander une aide à la réparation de ce type de biens ?</w:t>
      </w:r>
      <w:bookmarkEnd w:id="1"/>
    </w:p>
    <w:p w:rsidR="00BF0F94" w:rsidRDefault="00BF0F94" w:rsidP="00BF0F94">
      <w:pPr>
        <w:ind w:left="360"/>
        <w:jc w:val="both"/>
        <w:rPr>
          <w:u w:val="single"/>
        </w:rPr>
      </w:pPr>
    </w:p>
    <w:p w:rsidR="00BF0F94" w:rsidRDefault="00BF0F94" w:rsidP="00BF0F94">
      <w:pPr>
        <w:ind w:left="360"/>
        <w:jc w:val="both"/>
      </w:pPr>
      <w:r w:rsidRPr="00C04B71">
        <w:rPr>
          <w:u w:val="single"/>
        </w:rPr>
        <w:t>Uniquement</w:t>
      </w:r>
      <w:r>
        <w:t xml:space="preserve"> les personnes morales de droit public énumérées dans la section « Public cible ».</w:t>
      </w:r>
    </w:p>
    <w:p w:rsidR="00BF0F94" w:rsidRDefault="00BF0F94" w:rsidP="00BF0F94">
      <w:pPr>
        <w:ind w:left="360"/>
        <w:jc w:val="both"/>
      </w:pPr>
    </w:p>
    <w:p w:rsidR="00BF0F94" w:rsidRPr="00BF0F94" w:rsidRDefault="00BF0F94" w:rsidP="00BF0F94">
      <w:pPr>
        <w:pStyle w:val="Titre2"/>
        <w:numPr>
          <w:ilvl w:val="0"/>
          <w:numId w:val="3"/>
        </w:numPr>
        <w:rPr>
          <w:color w:val="FF0000"/>
        </w:rPr>
      </w:pPr>
      <w:bookmarkStart w:id="2" w:name="_Toc30500046"/>
      <w:r w:rsidRPr="00BF0F94">
        <w:rPr>
          <w:color w:val="FF0000"/>
        </w:rPr>
        <w:t>Comment introduire une demande d’aide à la réparation pour ces biens ?</w:t>
      </w:r>
      <w:bookmarkEnd w:id="2"/>
    </w:p>
    <w:p w:rsidR="00BF0F94" w:rsidRDefault="00BF0F94" w:rsidP="00BF0F94">
      <w:pPr>
        <w:jc w:val="both"/>
      </w:pPr>
    </w:p>
    <w:p w:rsidR="00BF0F94" w:rsidRDefault="00BF0F94" w:rsidP="00BF0F94">
      <w:pPr>
        <w:jc w:val="both"/>
      </w:pPr>
      <w:r w:rsidRPr="00C6387F">
        <w:t xml:space="preserve">La demande d’aide à la réparation doit être introduite </w:t>
      </w:r>
      <w:r>
        <w:t xml:space="preserve">par le biais d’un formulaire spécifique </w:t>
      </w:r>
      <w:r w:rsidRPr="00BF0F94">
        <w:t>(</w:t>
      </w:r>
      <w:r w:rsidRPr="00BF0F94">
        <w:t>voir la section « Formulaire »</w:t>
      </w:r>
      <w:r>
        <w:t xml:space="preserve">) </w:t>
      </w:r>
      <w:r w:rsidRPr="00C6387F">
        <w:t>avant l’expiration du sixième mois qui suit celui au cours duquel a été publié au Moniteur belge l’arrêté du Gouvernement wallon portant reconnaissance de la calamité publique.</w:t>
      </w:r>
    </w:p>
    <w:p w:rsidR="007A786C" w:rsidRDefault="00BF0F94"/>
    <w:p w:rsidR="00BF0F94" w:rsidRDefault="00BF0F94">
      <w:bookmarkStart w:id="3" w:name="_GoBack"/>
      <w:bookmarkEnd w:id="3"/>
    </w:p>
    <w:p w:rsidR="00BF0F94" w:rsidRPr="00BF0F94" w:rsidRDefault="00BF0F94" w:rsidP="00BF0F94">
      <w:pPr>
        <w:pStyle w:val="Paragraphedeliste"/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FF0000"/>
          <w:sz w:val="26"/>
          <w:szCs w:val="26"/>
        </w:rPr>
      </w:pPr>
      <w:bookmarkStart w:id="4" w:name="_Toc30500194"/>
      <w:r w:rsidRPr="00BF0F94">
        <w:rPr>
          <w:rFonts w:asciiTheme="majorHAnsi" w:eastAsiaTheme="majorEastAsia" w:hAnsiTheme="majorHAnsi" w:cstheme="majorBidi"/>
          <w:color w:val="FF0000"/>
          <w:sz w:val="26"/>
          <w:szCs w:val="26"/>
        </w:rPr>
        <w:t>Comment l’aide à la réparation est-elle calculée ?</w:t>
      </w:r>
      <w:bookmarkEnd w:id="4"/>
    </w:p>
    <w:p w:rsidR="00BF0F94" w:rsidRPr="00BF0F94" w:rsidRDefault="00BF0F94" w:rsidP="00BF0F94">
      <w:pPr>
        <w:jc w:val="both"/>
      </w:pPr>
    </w:p>
    <w:p w:rsidR="00BF0F94" w:rsidRPr="00BF0F94" w:rsidRDefault="00BF0F94" w:rsidP="00BF0F94">
      <w:pPr>
        <w:jc w:val="both"/>
      </w:pPr>
      <w:r w:rsidRPr="00BF0F94">
        <w:t>L’explication du calcul de l’aide à la réparation est reprise dans la section « Procédure ».</w:t>
      </w:r>
    </w:p>
    <w:p w:rsidR="00BF0F94" w:rsidRPr="00BF0F94" w:rsidRDefault="00BF0F94" w:rsidP="00BF0F94">
      <w:pPr>
        <w:jc w:val="both"/>
        <w:rPr>
          <w:u w:val="single"/>
        </w:rPr>
      </w:pPr>
      <w:r w:rsidRPr="00BF0F94">
        <w:rPr>
          <w:u w:val="single"/>
        </w:rPr>
        <w:t xml:space="preserve">Exemple de calcul : </w:t>
      </w:r>
    </w:p>
    <w:p w:rsidR="00BF0F94" w:rsidRDefault="00BF0F94" w:rsidP="00BF0F94">
      <w:pPr>
        <w:jc w:val="both"/>
        <w:rPr>
          <w:i/>
        </w:rPr>
      </w:pPr>
      <w:r>
        <w:rPr>
          <w:i/>
        </w:rPr>
        <w:t>Les inondations ont endommagé diverses voiries de la commune. Elle estime ses dommages à 522.525,00€.</w:t>
      </w:r>
    </w:p>
    <w:p w:rsidR="00BF0F94" w:rsidRDefault="00BF0F94" w:rsidP="00BF0F94">
      <w:pPr>
        <w:jc w:val="both"/>
        <w:rPr>
          <w:i/>
        </w:rPr>
      </w:pPr>
      <w:r w:rsidRPr="0094145E">
        <w:rPr>
          <w:i/>
        </w:rPr>
        <w:t>L’expert immobilier</w:t>
      </w:r>
      <w:r>
        <w:rPr>
          <w:i/>
        </w:rPr>
        <w:t>, quant à lui, estime les dommages éligibles à 349.047,45€.</w:t>
      </w:r>
    </w:p>
    <w:p w:rsidR="00BF0F94" w:rsidRPr="0094145E" w:rsidRDefault="00BF0F94" w:rsidP="00BF0F94">
      <w:pPr>
        <w:jc w:val="both"/>
        <w:rPr>
          <w:i/>
        </w:rPr>
      </w:pPr>
      <w:r w:rsidRPr="0094145E">
        <w:rPr>
          <w:i/>
        </w:rPr>
        <w:t xml:space="preserve">Le montant total des dommages pour lesquels </w:t>
      </w:r>
      <w:r>
        <w:rPr>
          <w:i/>
        </w:rPr>
        <w:t>la commune peut</w:t>
      </w:r>
      <w:r w:rsidRPr="0094145E">
        <w:rPr>
          <w:i/>
        </w:rPr>
        <w:t xml:space="preserve"> obtenir une aide à la réparation s’élève </w:t>
      </w:r>
      <w:r>
        <w:rPr>
          <w:i/>
        </w:rPr>
        <w:t xml:space="preserve">donc </w:t>
      </w:r>
      <w:r w:rsidRPr="0094145E">
        <w:rPr>
          <w:i/>
        </w:rPr>
        <w:t xml:space="preserve">à </w:t>
      </w:r>
      <w:r>
        <w:rPr>
          <w:i/>
        </w:rPr>
        <w:t>349.047,45</w:t>
      </w:r>
      <w:r w:rsidRPr="0094145E">
        <w:rPr>
          <w:i/>
        </w:rPr>
        <w:t>€.</w:t>
      </w:r>
    </w:p>
    <w:p w:rsidR="00BF0F94" w:rsidRPr="0094145E" w:rsidRDefault="00BF0F94" w:rsidP="00BF0F94">
      <w:pPr>
        <w:jc w:val="both"/>
        <w:rPr>
          <w:i/>
        </w:rPr>
      </w:pPr>
      <w:r>
        <w:rPr>
          <w:i/>
        </w:rPr>
        <w:t>Le calcul est le suivant</w:t>
      </w:r>
      <w:r w:rsidRPr="0094145E">
        <w:rPr>
          <w:i/>
        </w:rPr>
        <w:t xml:space="preserve"> : </w:t>
      </w:r>
    </w:p>
    <w:tbl>
      <w:tblPr>
        <w:tblStyle w:val="Listeclaire-Accent2"/>
        <w:tblpPr w:leftFromText="141" w:rightFromText="141" w:vertAnchor="text" w:horzAnchor="margin" w:tblpX="-67" w:tblpY="383"/>
        <w:tblW w:w="9039" w:type="dxa"/>
        <w:tblLook w:val="04A0" w:firstRow="1" w:lastRow="0" w:firstColumn="1" w:lastColumn="0" w:noHBand="0" w:noVBand="1"/>
      </w:tblPr>
      <w:tblGrid>
        <w:gridCol w:w="3305"/>
        <w:gridCol w:w="1682"/>
        <w:gridCol w:w="1849"/>
        <w:gridCol w:w="2203"/>
      </w:tblGrid>
      <w:tr w:rsidR="00BF0F94" w:rsidTr="001257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</w:tcPr>
          <w:p w:rsidR="00BF0F94" w:rsidRDefault="00BF0F94" w:rsidP="00125742">
            <w:r>
              <w:t>Tranche</w:t>
            </w:r>
          </w:p>
        </w:tc>
        <w:tc>
          <w:tcPr>
            <w:tcW w:w="1682" w:type="dxa"/>
          </w:tcPr>
          <w:p w:rsidR="00BF0F94" w:rsidRDefault="00BF0F94" w:rsidP="00125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Brut</w:t>
            </w:r>
          </w:p>
        </w:tc>
        <w:tc>
          <w:tcPr>
            <w:tcW w:w="1849" w:type="dxa"/>
          </w:tcPr>
          <w:p w:rsidR="00BF0F94" w:rsidRDefault="00BF0F94" w:rsidP="00125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% intervention</w:t>
            </w:r>
          </w:p>
        </w:tc>
        <w:tc>
          <w:tcPr>
            <w:tcW w:w="2203" w:type="dxa"/>
          </w:tcPr>
          <w:p w:rsidR="00BF0F94" w:rsidRDefault="00BF0F94" w:rsidP="00125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Indemnité</w:t>
            </w:r>
          </w:p>
        </w:tc>
      </w:tr>
      <w:tr w:rsidR="00BF0F94" w:rsidTr="0012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</w:tcPr>
          <w:p w:rsidR="00BF0F94" w:rsidRDefault="00BF0F94" w:rsidP="00125742">
            <w:r>
              <w:t>Application Art. 21 AGW (70%)</w:t>
            </w:r>
          </w:p>
          <w:p w:rsidR="00BF0F94" w:rsidRDefault="00BF0F94" w:rsidP="00125742"/>
        </w:tc>
        <w:tc>
          <w:tcPr>
            <w:tcW w:w="1682" w:type="dxa"/>
          </w:tcPr>
          <w:p w:rsidR="00BF0F94" w:rsidRDefault="00BF0F94" w:rsidP="0012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349.047,45 €</w:t>
            </w:r>
          </w:p>
        </w:tc>
        <w:tc>
          <w:tcPr>
            <w:tcW w:w="1849" w:type="dxa"/>
          </w:tcPr>
          <w:p w:rsidR="00BF0F94" w:rsidRDefault="00BF0F94" w:rsidP="0012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70%</w:t>
            </w:r>
          </w:p>
        </w:tc>
        <w:tc>
          <w:tcPr>
            <w:tcW w:w="2203" w:type="dxa"/>
          </w:tcPr>
          <w:p w:rsidR="00BF0F94" w:rsidRDefault="00BF0F94" w:rsidP="0012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244.333,21 €</w:t>
            </w:r>
          </w:p>
        </w:tc>
      </w:tr>
      <w:tr w:rsidR="00BF0F94" w:rsidTr="001257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</w:tcPr>
          <w:p w:rsidR="00BF0F94" w:rsidRDefault="00BF0F94" w:rsidP="00125742">
            <w:r>
              <w:t>Application Art. 20 AGW (Abattement)</w:t>
            </w:r>
          </w:p>
        </w:tc>
        <w:tc>
          <w:tcPr>
            <w:tcW w:w="1682" w:type="dxa"/>
          </w:tcPr>
          <w:p w:rsidR="00BF0F94" w:rsidRDefault="00BF0F94" w:rsidP="00125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BF0F94" w:rsidRDefault="00BF0F94" w:rsidP="00125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:rsidR="00BF0F94" w:rsidRDefault="00BF0F94" w:rsidP="00125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-12.499,99 €</w:t>
            </w:r>
          </w:p>
        </w:tc>
      </w:tr>
      <w:tr w:rsidR="00BF0F94" w:rsidTr="001257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05" w:type="dxa"/>
          </w:tcPr>
          <w:p w:rsidR="00BF0F94" w:rsidRDefault="00BF0F94" w:rsidP="00125742">
            <w:r>
              <w:t>Total</w:t>
            </w:r>
          </w:p>
        </w:tc>
        <w:tc>
          <w:tcPr>
            <w:tcW w:w="1682" w:type="dxa"/>
          </w:tcPr>
          <w:p w:rsidR="00BF0F94" w:rsidRDefault="00BF0F94" w:rsidP="0012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9" w:type="dxa"/>
          </w:tcPr>
          <w:p w:rsidR="00BF0F94" w:rsidRDefault="00BF0F94" w:rsidP="0012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03" w:type="dxa"/>
          </w:tcPr>
          <w:p w:rsidR="00BF0F94" w:rsidRDefault="00BF0F94" w:rsidP="00125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231.833,23 €</w:t>
            </w:r>
          </w:p>
        </w:tc>
      </w:tr>
    </w:tbl>
    <w:p w:rsidR="00BF0F94" w:rsidRPr="0094145E" w:rsidRDefault="00BF0F94" w:rsidP="00BF0F94">
      <w:pPr>
        <w:jc w:val="both"/>
        <w:rPr>
          <w:i/>
        </w:rPr>
      </w:pPr>
    </w:p>
    <w:p w:rsidR="00BF0F94" w:rsidRPr="0094145E" w:rsidRDefault="00BF0F94" w:rsidP="00BF0F94">
      <w:pPr>
        <w:jc w:val="both"/>
        <w:rPr>
          <w:i/>
        </w:rPr>
      </w:pPr>
      <w:r w:rsidRPr="0094145E">
        <w:rPr>
          <w:i/>
        </w:rPr>
        <w:t xml:space="preserve">Comme le coût des mesures que </w:t>
      </w:r>
      <w:r>
        <w:rPr>
          <w:i/>
        </w:rPr>
        <w:t>la commune a</w:t>
      </w:r>
      <w:r w:rsidRPr="0094145E">
        <w:rPr>
          <w:i/>
        </w:rPr>
        <w:t xml:space="preserve"> prises pour limiter les dégâts acceptées par l’expert s’élève à </w:t>
      </w:r>
      <w:r>
        <w:rPr>
          <w:i/>
        </w:rPr>
        <w:t>1.000,00€, il faut en tenir compte.</w:t>
      </w:r>
    </w:p>
    <w:p w:rsidR="00BF0F94" w:rsidRDefault="00BF0F94" w:rsidP="00BF0F94">
      <w:pPr>
        <w:jc w:val="both"/>
        <w:rPr>
          <w:i/>
        </w:rPr>
      </w:pPr>
      <w:r w:rsidRPr="0094145E">
        <w:rPr>
          <w:i/>
        </w:rPr>
        <w:t xml:space="preserve">Ainsi, on va ajouter 70% du coût des mesures conservatoires acceptées par l’expert: </w:t>
      </w:r>
    </w:p>
    <w:tbl>
      <w:tblPr>
        <w:tblW w:w="5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400"/>
        <w:gridCol w:w="1685"/>
      </w:tblGrid>
      <w:tr w:rsidR="00BF0F94" w:rsidRPr="0094145E" w:rsidTr="001257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Montant calculé de l'aide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 xml:space="preserve"> 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231.833,23</w:t>
            </w:r>
            <w:r w:rsidRPr="0094145E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 xml:space="preserve"> € </w:t>
            </w:r>
          </w:p>
        </w:tc>
      </w:tr>
      <w:tr w:rsidR="00BF0F94" w:rsidRPr="0094145E" w:rsidTr="00125742">
        <w:trPr>
          <w:trHeight w:val="300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 xml:space="preserve">70% des mesures conservatoires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BE"/>
              </w:rPr>
              <w:t xml:space="preserve"> +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 xml:space="preserve">       </w:t>
            </w:r>
            <w:r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>700,00</w:t>
            </w:r>
            <w:r w:rsidRPr="0094145E"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  <w:t xml:space="preserve"> € </w:t>
            </w:r>
          </w:p>
        </w:tc>
      </w:tr>
      <w:tr w:rsidR="00BF0F94" w:rsidRPr="0094145E" w:rsidTr="00125742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b/>
                <w:i/>
                <w:color w:val="000000"/>
                <w:lang w:eastAsia="fr-BE"/>
              </w:rPr>
              <w:t>TOTAL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BE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F94" w:rsidRPr="0094145E" w:rsidRDefault="00BF0F94" w:rsidP="001257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BE"/>
              </w:rPr>
            </w:pPr>
            <w:r w:rsidRPr="0094145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BE"/>
              </w:rPr>
              <w:t xml:space="preserve">    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BE"/>
              </w:rPr>
              <w:t>232.533,23</w:t>
            </w:r>
            <w:r w:rsidRPr="0094145E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fr-BE"/>
              </w:rPr>
              <w:t xml:space="preserve"> € </w:t>
            </w:r>
          </w:p>
        </w:tc>
      </w:tr>
    </w:tbl>
    <w:p w:rsidR="00BF0F94" w:rsidRPr="0094145E" w:rsidRDefault="00BF0F94" w:rsidP="00BF0F94">
      <w:pPr>
        <w:jc w:val="both"/>
        <w:rPr>
          <w:i/>
        </w:rPr>
      </w:pPr>
    </w:p>
    <w:p w:rsidR="00BF0F94" w:rsidRPr="0094145E" w:rsidRDefault="00BF0F94" w:rsidP="00BF0F94">
      <w:pPr>
        <w:jc w:val="center"/>
        <w:rPr>
          <w:b/>
          <w:i/>
        </w:rPr>
      </w:pPr>
      <w:r w:rsidRPr="0094145E">
        <w:rPr>
          <w:b/>
          <w:i/>
        </w:rPr>
        <w:t xml:space="preserve">L’aide à la réparation finalement octroyée s’élève donc à </w:t>
      </w:r>
      <w:r>
        <w:rPr>
          <w:b/>
          <w:i/>
        </w:rPr>
        <w:t>232.533,23</w:t>
      </w:r>
      <w:r w:rsidRPr="0094145E">
        <w:rPr>
          <w:b/>
          <w:i/>
        </w:rPr>
        <w:t>€.</w:t>
      </w:r>
    </w:p>
    <w:p w:rsidR="00BF0F94" w:rsidRDefault="00BF0F94" w:rsidP="00BF0F94"/>
    <w:sectPr w:rsidR="00BF0F94" w:rsidSect="00855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F94" w:rsidRDefault="00BF0F94" w:rsidP="00BF0F94">
      <w:pPr>
        <w:spacing w:after="0" w:line="240" w:lineRule="auto"/>
      </w:pPr>
      <w:r>
        <w:separator/>
      </w:r>
    </w:p>
  </w:endnote>
  <w:endnote w:type="continuationSeparator" w:id="0">
    <w:p w:rsidR="00BF0F94" w:rsidRDefault="00BF0F94" w:rsidP="00BF0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DA" w:rsidRDefault="00BF0F9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9982"/>
      <w:docPartObj>
        <w:docPartGallery w:val="Page Numbers (Bottom of Page)"/>
        <w:docPartUnique/>
      </w:docPartObj>
    </w:sdtPr>
    <w:sdtEndPr/>
    <w:sdtContent>
      <w:p w:rsidR="00891EDA" w:rsidRDefault="00BF0F94">
        <w:pPr>
          <w:pStyle w:val="Pieddepag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891EDA" w:rsidRDefault="00BF0F9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DA" w:rsidRDefault="00BF0F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F94" w:rsidRDefault="00BF0F94" w:rsidP="00BF0F94">
      <w:pPr>
        <w:spacing w:after="0" w:line="240" w:lineRule="auto"/>
      </w:pPr>
      <w:r>
        <w:separator/>
      </w:r>
    </w:p>
  </w:footnote>
  <w:footnote w:type="continuationSeparator" w:id="0">
    <w:p w:rsidR="00BF0F94" w:rsidRDefault="00BF0F94" w:rsidP="00BF0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DA" w:rsidRDefault="00BF0F9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DA" w:rsidRDefault="00BF0F9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EDA" w:rsidRDefault="00BF0F9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FAE"/>
    <w:multiLevelType w:val="hybridMultilevel"/>
    <w:tmpl w:val="1D42C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B0E5C"/>
    <w:multiLevelType w:val="hybridMultilevel"/>
    <w:tmpl w:val="49745CDA"/>
    <w:lvl w:ilvl="0" w:tplc="BEEE5BF6">
      <w:start w:val="5100"/>
      <w:numFmt w:val="bullet"/>
      <w:lvlText w:val="-"/>
      <w:lvlJc w:val="left"/>
      <w:pPr>
        <w:ind w:left="720" w:hanging="360"/>
      </w:pPr>
      <w:rPr>
        <w:rFonts w:ascii="Verdana" w:eastAsia="Arial Unicode MS" w:hAnsi="Verdana" w:cs="Tahoma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44D45"/>
    <w:multiLevelType w:val="hybridMultilevel"/>
    <w:tmpl w:val="152A49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E0CC3"/>
    <w:multiLevelType w:val="hybridMultilevel"/>
    <w:tmpl w:val="B02042E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6381B"/>
    <w:multiLevelType w:val="hybridMultilevel"/>
    <w:tmpl w:val="44DAD0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F1951"/>
    <w:multiLevelType w:val="hybridMultilevel"/>
    <w:tmpl w:val="4A2E33E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94"/>
    <w:rsid w:val="00003C02"/>
    <w:rsid w:val="001847C0"/>
    <w:rsid w:val="001B4954"/>
    <w:rsid w:val="003D3476"/>
    <w:rsid w:val="004C3394"/>
    <w:rsid w:val="005B06C9"/>
    <w:rsid w:val="00622866"/>
    <w:rsid w:val="0068323D"/>
    <w:rsid w:val="007A46BC"/>
    <w:rsid w:val="007F2A95"/>
    <w:rsid w:val="00855845"/>
    <w:rsid w:val="00874FA1"/>
    <w:rsid w:val="00AF11F8"/>
    <w:rsid w:val="00BB428C"/>
    <w:rsid w:val="00BF0F94"/>
    <w:rsid w:val="00BF56D8"/>
    <w:rsid w:val="00C03FFE"/>
    <w:rsid w:val="00C33440"/>
    <w:rsid w:val="00E24718"/>
    <w:rsid w:val="00E55462"/>
    <w:rsid w:val="00ED1801"/>
    <w:rsid w:val="00FE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9313AE"/>
  <w15:chartTrackingRefBased/>
  <w15:docId w15:val="{B7D0CCD4-59C0-4748-97FB-EC98EFB7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F94"/>
  </w:style>
  <w:style w:type="paragraph" w:styleId="Titre1">
    <w:name w:val="heading 1"/>
    <w:basedOn w:val="Normal"/>
    <w:next w:val="Normal"/>
    <w:link w:val="Titre1Car"/>
    <w:uiPriority w:val="9"/>
    <w:qFormat/>
    <w:rsid w:val="00BF0F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F0F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0F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F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F94"/>
  </w:style>
  <w:style w:type="paragraph" w:styleId="Pieddepage">
    <w:name w:val="footer"/>
    <w:basedOn w:val="Normal"/>
    <w:link w:val="PieddepageCar"/>
    <w:uiPriority w:val="99"/>
    <w:unhideWhenUsed/>
    <w:rsid w:val="00BF0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F94"/>
  </w:style>
  <w:style w:type="character" w:customStyle="1" w:styleId="Titre2Car">
    <w:name w:val="Titre 2 Car"/>
    <w:basedOn w:val="Policepardfaut"/>
    <w:link w:val="Titre2"/>
    <w:uiPriority w:val="9"/>
    <w:rsid w:val="00BF0F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BF0F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F0F94"/>
    <w:pPr>
      <w:spacing w:line="259" w:lineRule="auto"/>
      <w:outlineLvl w:val="9"/>
    </w:pPr>
    <w:rPr>
      <w:lang w:val="fr-FR"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BF0F94"/>
    <w:pPr>
      <w:spacing w:after="100"/>
      <w:ind w:left="220"/>
    </w:pPr>
  </w:style>
  <w:style w:type="character" w:styleId="Lienhypertexte">
    <w:name w:val="Hyperlink"/>
    <w:basedOn w:val="Policepardfaut"/>
    <w:uiPriority w:val="99"/>
    <w:unhideWhenUsed/>
    <w:rsid w:val="00BF0F94"/>
    <w:rPr>
      <w:color w:val="0000FF" w:themeColor="hyperlink"/>
      <w:u w:val="single"/>
    </w:rPr>
  </w:style>
  <w:style w:type="table" w:styleId="Listeclaire-Accent2">
    <w:name w:val="Light List Accent 2"/>
    <w:basedOn w:val="TableauNormal"/>
    <w:uiPriority w:val="61"/>
    <w:rsid w:val="00BF0F9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88180-CE75-413E-8127-767490F9E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Sylvie</dc:creator>
  <cp:keywords/>
  <dc:description/>
  <cp:lastModifiedBy>DENIS Sylvie</cp:lastModifiedBy>
  <cp:revision>1</cp:revision>
  <dcterms:created xsi:type="dcterms:W3CDTF">2020-01-21T10:52:00Z</dcterms:created>
  <dcterms:modified xsi:type="dcterms:W3CDTF">2020-01-21T10:57:00Z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sylvie.denis@spw.wallonie.be</vt:lpwstr>
  </property>
  <property fmtid="{D5CDD505-2E9C-101B-9397-08002B2CF9AE}" pid="5" name="MSIP_Label_e72a09c5-6e26-4737-a926-47ef1ab198ae_SetDate">
    <vt:lpwstr>2020-01-21T10:57:32.5394482Z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f50c60bd-426d-4428-bd11-080925ab3f90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