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AFD66" w14:textId="77777777" w:rsidR="00C741D7" w:rsidRDefault="006F6828" w:rsidP="002F737F">
      <w:pPr>
        <w:spacing w:before="120" w:after="120"/>
      </w:pPr>
      <w:r>
        <w:rPr>
          <w:noProof/>
        </w:rPr>
        <mc:AlternateContent>
          <mc:Choice Requires="wps">
            <w:drawing>
              <wp:anchor distT="0" distB="0" distL="114300" distR="114300" simplePos="0" relativeHeight="251658240" behindDoc="0" locked="0" layoutInCell="1" allowOverlap="1" wp14:anchorId="7F3141B5" wp14:editId="1FB2BB3C">
                <wp:simplePos x="0" y="0"/>
                <wp:positionH relativeFrom="column">
                  <wp:posOffset>78105</wp:posOffset>
                </wp:positionH>
                <wp:positionV relativeFrom="paragraph">
                  <wp:posOffset>-6350</wp:posOffset>
                </wp:positionV>
                <wp:extent cx="5678170" cy="861060"/>
                <wp:effectExtent l="6350" t="7620" r="20955" b="266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170" cy="86106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cmpd="sng">
                          <a:solidFill>
                            <a:schemeClr val="accent1">
                              <a:lumMod val="60000"/>
                              <a:lumOff val="40000"/>
                            </a:schemeClr>
                          </a:solidFill>
                          <a:prstDash val="solid"/>
                          <a:round/>
                          <a:headEnd/>
                          <a:tailEnd/>
                        </a:ln>
                        <a:effectLst>
                          <a:outerShdw dist="28398" dir="3806097" algn="ctr" rotWithShape="0">
                            <a:schemeClr val="accent1">
                              <a:lumMod val="50000"/>
                              <a:lumOff val="0"/>
                              <a:alpha val="50000"/>
                            </a:schemeClr>
                          </a:outerShdw>
                        </a:effectLst>
                      </wps:spPr>
                      <wps:txbx>
                        <w:txbxContent>
                          <w:p w14:paraId="48942256" w14:textId="77777777" w:rsidR="002F737F" w:rsidRPr="005C1C59" w:rsidRDefault="009E7755" w:rsidP="009E7755">
                            <w:pPr>
                              <w:jc w:val="center"/>
                              <w:rPr>
                                <w:rFonts w:ascii="Century Gothic" w:hAnsi="Century Gothic"/>
                                <w:b/>
                                <w:color w:val="244061" w:themeColor="accent1" w:themeShade="80"/>
                                <w:sz w:val="24"/>
                                <w:szCs w:val="24"/>
                              </w:rPr>
                            </w:pPr>
                            <w:r w:rsidRPr="005C1C59">
                              <w:rPr>
                                <w:rFonts w:ascii="Century Gothic" w:hAnsi="Century Gothic"/>
                                <w:b/>
                                <w:color w:val="244061" w:themeColor="accent1" w:themeShade="80"/>
                                <w:sz w:val="24"/>
                                <w:szCs w:val="24"/>
                              </w:rPr>
                              <w:t>Compte tenu des mesures sanitaires adoptées par le Conseil national de sécurité</w:t>
                            </w:r>
                            <w:r w:rsidR="002F737F" w:rsidRPr="005C1C59">
                              <w:rPr>
                                <w:rFonts w:ascii="Century Gothic" w:hAnsi="Century Gothic"/>
                                <w:b/>
                                <w:color w:val="244061" w:themeColor="accent1" w:themeShade="80"/>
                                <w:sz w:val="24"/>
                                <w:szCs w:val="24"/>
                              </w:rPr>
                              <w:t>, la modification d’une concession de services ou de travaux peut-elle être envisagée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141B5" id="AutoShape 2" o:spid="_x0000_s1026" style="position:absolute;margin-left:6.15pt;margin-top:-.5pt;width:447.1pt;height:6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" fillcolor="#95b3d7 [1940]" strokecolor="#95b3d7 [1940]" strokeweight="1pt">
                <v:fill color2="#dbe5f1 [660]" angle="135" focus="50%" type="gradient"/>
                <v:shadow on="t" color="#243f60 [1604]" opacity=".5" offset="1pt"/>
                <v:textbox>
                  <w:txbxContent>
                    <w:p w14:paraId="48942256" w14:textId="77777777" w:rsidR="002F737F" w:rsidRPr="005C1C59" w:rsidRDefault="009E7755" w:rsidP="009E7755">
                      <w:pPr>
                        <w:jc w:val="center"/>
                        <w:rPr>
                          <w:rFonts w:ascii="Century Gothic" w:hAnsi="Century Gothic"/>
                          <w:b/>
                          <w:color w:val="244061" w:themeColor="accent1" w:themeShade="80"/>
                          <w:sz w:val="24"/>
                          <w:szCs w:val="24"/>
                        </w:rPr>
                      </w:pPr>
                      <w:r w:rsidRPr="005C1C59">
                        <w:rPr>
                          <w:rFonts w:ascii="Century Gothic" w:hAnsi="Century Gothic"/>
                          <w:b/>
                          <w:color w:val="244061" w:themeColor="accent1" w:themeShade="80"/>
                          <w:sz w:val="24"/>
                          <w:szCs w:val="24"/>
                        </w:rPr>
                        <w:t>Compte tenu des mesures sanitaires adoptées par le Conseil national de sécurité</w:t>
                      </w:r>
                      <w:r w:rsidR="002F737F" w:rsidRPr="005C1C59">
                        <w:rPr>
                          <w:rFonts w:ascii="Century Gothic" w:hAnsi="Century Gothic"/>
                          <w:b/>
                          <w:color w:val="244061" w:themeColor="accent1" w:themeShade="80"/>
                          <w:sz w:val="24"/>
                          <w:szCs w:val="24"/>
                        </w:rPr>
                        <w:t>, la modification d’une concession de services ou de travaux peut-elle être envisagée ?</w:t>
                      </w:r>
                    </w:p>
                  </w:txbxContent>
                </v:textbox>
              </v:roundrect>
            </w:pict>
          </mc:Fallback>
        </mc:AlternateContent>
      </w:r>
    </w:p>
    <w:p w14:paraId="191805D4" w14:textId="77777777" w:rsidR="002F737F" w:rsidRDefault="002F737F" w:rsidP="002F737F">
      <w:pPr>
        <w:spacing w:before="120" w:after="120"/>
      </w:pPr>
    </w:p>
    <w:p w14:paraId="49A44C57" w14:textId="77777777" w:rsidR="002F737F" w:rsidRDefault="002F737F" w:rsidP="002F737F">
      <w:pPr>
        <w:spacing w:before="120" w:after="120"/>
      </w:pPr>
    </w:p>
    <w:p w14:paraId="3F117388" w14:textId="77777777" w:rsidR="002F737F" w:rsidRDefault="006F6828" w:rsidP="002F737F">
      <w:pPr>
        <w:spacing w:before="120" w:after="1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6C5B7A7" wp14:editId="0A2346C1">
                <wp:simplePos x="0" y="0"/>
                <wp:positionH relativeFrom="column">
                  <wp:posOffset>2587625</wp:posOffset>
                </wp:positionH>
                <wp:positionV relativeFrom="paragraph">
                  <wp:posOffset>259080</wp:posOffset>
                </wp:positionV>
                <wp:extent cx="3157855" cy="988695"/>
                <wp:effectExtent l="10795" t="13970" r="12700" b="2603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855" cy="98869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cmpd="sng">
                          <a:solidFill>
                            <a:schemeClr val="accent1">
                              <a:lumMod val="60000"/>
                              <a:lumOff val="40000"/>
                            </a:schemeClr>
                          </a:solidFill>
                          <a:prstDash val="solid"/>
                          <a:round/>
                          <a:headEnd/>
                          <a:tailEnd/>
                        </a:ln>
                        <a:effectLst>
                          <a:outerShdw dist="28398" dir="3806097" algn="ctr" rotWithShape="0">
                            <a:schemeClr val="accent1">
                              <a:lumMod val="50000"/>
                              <a:lumOff val="0"/>
                              <a:alpha val="50000"/>
                            </a:schemeClr>
                          </a:outerShdw>
                        </a:effectLst>
                      </wps:spPr>
                      <wps:txbx>
                        <w:txbxContent>
                          <w:p w14:paraId="7E953EA4" w14:textId="77777777" w:rsidR="002F737F" w:rsidRDefault="002F737F" w:rsidP="002F737F">
                            <w:pPr>
                              <w:jc w:val="both"/>
                            </w:pPr>
                            <w:r>
                              <w:rPr>
                                <w:rFonts w:ascii="Century Gothic" w:hAnsi="Century Gothic" w:cstheme="minorHAnsi"/>
                              </w:rPr>
                              <w:t>Art.</w:t>
                            </w:r>
                            <w:r w:rsidRPr="002F737F">
                              <w:rPr>
                                <w:rFonts w:ascii="Century Gothic" w:hAnsi="Century Gothic" w:cstheme="minorHAnsi"/>
                              </w:rPr>
                              <w:t xml:space="preserve"> 62 à 68 de l’arrêté royal du 25 juin 2017 relatif à la passation et aux règles générales d'exécution des contrats de concession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C5B7A7" id="AutoShape 5" o:spid="_x0000_s1027" style="position:absolute;margin-left:203.75pt;margin-top:20.4pt;width:248.65pt;height: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" fillcolor="#95b3d7 [1940]" strokecolor="#95b3d7 [1940]" strokeweight="1pt">
                <v:fill color2="#dbe5f1 [660]" angle="135" focus="50%" type="gradient"/>
                <v:shadow on="t" color="#243f60 [1604]" opacity=".5" offset="1pt"/>
                <v:textbox>
                  <w:txbxContent>
                    <w:p w14:paraId="7E953EA4" w14:textId="77777777" w:rsidR="002F737F" w:rsidRDefault="002F737F" w:rsidP="002F737F">
                      <w:pPr>
                        <w:jc w:val="both"/>
                      </w:pPr>
                      <w:r>
                        <w:rPr>
                          <w:rFonts w:ascii="Century Gothic" w:hAnsi="Century Gothic" w:cstheme="minorHAnsi"/>
                        </w:rPr>
                        <w:t>Art.</w:t>
                      </w:r>
                      <w:r w:rsidRPr="002F737F">
                        <w:rPr>
                          <w:rFonts w:ascii="Century Gothic" w:hAnsi="Century Gothic" w:cstheme="minorHAnsi"/>
                        </w:rPr>
                        <w:t xml:space="preserve"> 62 à 68 de l’arrêté royal du 25 juin 2017 relatif à la passation et aux règles générales d'exécution des contrats de concession</w:t>
                      </w:r>
                    </w:p>
                  </w:txbxContent>
                </v:textbox>
              </v:roundrect>
            </w:pict>
          </mc:Fallback>
        </mc:AlternateContent>
      </w:r>
    </w:p>
    <w:p w14:paraId="1B89FEA7" w14:textId="77777777" w:rsidR="002F737F" w:rsidRDefault="002F737F" w:rsidP="002F737F">
      <w:pPr>
        <w:spacing w:before="120" w:after="120"/>
        <w:rPr>
          <w:rFonts w:ascii="Arial" w:hAnsi="Arial" w:cs="Arial"/>
        </w:rPr>
      </w:pPr>
    </w:p>
    <w:p w14:paraId="17FB02C5" w14:textId="77777777" w:rsidR="002F737F" w:rsidRDefault="002F737F" w:rsidP="002F737F">
      <w:pPr>
        <w:spacing w:before="120" w:after="120"/>
        <w:jc w:val="both"/>
        <w:rPr>
          <w:rFonts w:ascii="Century Gothic" w:hAnsi="Century Gothic" w:cstheme="minorHAnsi"/>
        </w:rPr>
      </w:pPr>
    </w:p>
    <w:p w14:paraId="13A5F897" w14:textId="77777777" w:rsidR="002F737F" w:rsidRDefault="002F737F" w:rsidP="002F737F">
      <w:pPr>
        <w:spacing w:before="120" w:after="120"/>
        <w:jc w:val="both"/>
        <w:rPr>
          <w:rFonts w:ascii="Century Gothic" w:hAnsi="Century Gothic" w:cstheme="minorHAnsi"/>
        </w:rPr>
      </w:pPr>
    </w:p>
    <w:p w14:paraId="613E7519" w14:textId="77777777" w:rsidR="009E7755" w:rsidRDefault="009E7755" w:rsidP="002F737F">
      <w:pPr>
        <w:spacing w:before="120" w:after="120"/>
        <w:jc w:val="both"/>
        <w:rPr>
          <w:rFonts w:ascii="Century Gothic" w:hAnsi="Century Gothic" w:cstheme="minorHAnsi"/>
        </w:rPr>
      </w:pPr>
    </w:p>
    <w:p w14:paraId="341F1B6C" w14:textId="77777777" w:rsidR="002F737F" w:rsidRPr="002F737F" w:rsidRDefault="002F737F" w:rsidP="002F737F">
      <w:pPr>
        <w:spacing w:before="120" w:after="120"/>
        <w:jc w:val="both"/>
        <w:rPr>
          <w:rFonts w:ascii="Century Gothic" w:hAnsi="Century Gothic" w:cstheme="minorHAnsi"/>
        </w:rPr>
      </w:pPr>
      <w:r>
        <w:rPr>
          <w:rFonts w:ascii="Century Gothic" w:hAnsi="Century Gothic" w:cstheme="minorHAnsi"/>
        </w:rPr>
        <w:t>L</w:t>
      </w:r>
      <w:r w:rsidRPr="002F737F">
        <w:rPr>
          <w:rFonts w:ascii="Century Gothic" w:hAnsi="Century Gothic" w:cstheme="minorHAnsi"/>
        </w:rPr>
        <w:t>es mesures sanitaires adoptées par le Conseil national de sécurité vont avoir un impact sur les concessions de services et de travaux en cours d’exécution dans la mesure où elles sont de nature à modifier les conditions d’exploitation des ouvrages et services confiés aux concessionnaires.</w:t>
      </w:r>
    </w:p>
    <w:p w14:paraId="286BC1D2" w14:textId="77777777" w:rsidR="002F737F" w:rsidRPr="002F737F" w:rsidRDefault="002F737F" w:rsidP="002F737F">
      <w:pPr>
        <w:spacing w:before="120" w:after="120"/>
        <w:jc w:val="both"/>
        <w:rPr>
          <w:rFonts w:ascii="Century Gothic" w:hAnsi="Century Gothic" w:cstheme="minorHAnsi"/>
        </w:rPr>
      </w:pPr>
      <w:r w:rsidRPr="002F737F">
        <w:rPr>
          <w:rFonts w:ascii="Century Gothic" w:hAnsi="Century Gothic" w:cstheme="minorHAnsi"/>
        </w:rPr>
        <w:t>Concrètement, certains concessionnaires ont été contraints de fermer les établissements qu’ils exploitent, voient leur chiffre d’affaires considérablement diminuer ou ne peuvent exécuter l’objet même de la concession. Sont, notamment, concernées, les concessions portant sur l’exploitation :</w:t>
      </w:r>
    </w:p>
    <w:p w14:paraId="48F768FC" w14:textId="77777777" w:rsidR="002F737F" w:rsidRPr="002F737F" w:rsidRDefault="002F737F" w:rsidP="002F737F">
      <w:pPr>
        <w:numPr>
          <w:ilvl w:val="0"/>
          <w:numId w:val="1"/>
        </w:numPr>
        <w:spacing w:before="120" w:after="120"/>
        <w:ind w:left="714" w:hanging="357"/>
        <w:jc w:val="both"/>
        <w:rPr>
          <w:rFonts w:ascii="Century Gothic" w:hAnsi="Century Gothic" w:cstheme="minorHAnsi"/>
        </w:rPr>
      </w:pPr>
      <w:proofErr w:type="gramStart"/>
      <w:r w:rsidRPr="002F737F">
        <w:rPr>
          <w:rFonts w:ascii="Century Gothic" w:hAnsi="Century Gothic" w:cstheme="minorHAnsi"/>
        </w:rPr>
        <w:t>d’un</w:t>
      </w:r>
      <w:proofErr w:type="gramEnd"/>
      <w:r w:rsidRPr="002F737F">
        <w:rPr>
          <w:rFonts w:ascii="Century Gothic" w:hAnsi="Century Gothic" w:cstheme="minorHAnsi"/>
        </w:rPr>
        <w:t xml:space="preserve"> établissement HORECA ;</w:t>
      </w:r>
    </w:p>
    <w:p w14:paraId="56836144" w14:textId="77777777" w:rsidR="002F737F" w:rsidRPr="002F737F" w:rsidRDefault="002F737F" w:rsidP="002F737F">
      <w:pPr>
        <w:numPr>
          <w:ilvl w:val="0"/>
          <w:numId w:val="1"/>
        </w:numPr>
        <w:spacing w:before="120" w:after="120"/>
        <w:ind w:left="714" w:hanging="357"/>
        <w:jc w:val="both"/>
        <w:rPr>
          <w:rFonts w:ascii="Century Gothic" w:hAnsi="Century Gothic" w:cstheme="minorHAnsi"/>
        </w:rPr>
      </w:pPr>
      <w:proofErr w:type="gramStart"/>
      <w:r w:rsidRPr="002F737F">
        <w:rPr>
          <w:rFonts w:ascii="Century Gothic" w:hAnsi="Century Gothic" w:cstheme="minorHAnsi"/>
        </w:rPr>
        <w:t>d’un</w:t>
      </w:r>
      <w:proofErr w:type="gramEnd"/>
      <w:r w:rsidRPr="002F737F">
        <w:rPr>
          <w:rFonts w:ascii="Century Gothic" w:hAnsi="Century Gothic" w:cstheme="minorHAnsi"/>
        </w:rPr>
        <w:t xml:space="preserve"> casino ;</w:t>
      </w:r>
    </w:p>
    <w:p w14:paraId="09373FC1" w14:textId="77777777" w:rsidR="002F737F" w:rsidRPr="002F737F" w:rsidRDefault="002F737F" w:rsidP="002F737F">
      <w:pPr>
        <w:numPr>
          <w:ilvl w:val="0"/>
          <w:numId w:val="1"/>
        </w:numPr>
        <w:spacing w:before="120" w:after="120"/>
        <w:ind w:left="714" w:hanging="357"/>
        <w:jc w:val="both"/>
        <w:rPr>
          <w:rFonts w:ascii="Century Gothic" w:hAnsi="Century Gothic" w:cstheme="minorHAnsi"/>
        </w:rPr>
      </w:pPr>
      <w:proofErr w:type="gramStart"/>
      <w:r w:rsidRPr="002F737F">
        <w:rPr>
          <w:rFonts w:ascii="Century Gothic" w:hAnsi="Century Gothic" w:cstheme="minorHAnsi"/>
        </w:rPr>
        <w:t>d’un</w:t>
      </w:r>
      <w:proofErr w:type="gramEnd"/>
      <w:r w:rsidRPr="002F737F">
        <w:rPr>
          <w:rFonts w:ascii="Century Gothic" w:hAnsi="Century Gothic" w:cstheme="minorHAnsi"/>
        </w:rPr>
        <w:t xml:space="preserve"> camping ;</w:t>
      </w:r>
    </w:p>
    <w:p w14:paraId="27957E9F" w14:textId="77777777" w:rsidR="002F737F" w:rsidRPr="002F737F" w:rsidRDefault="002F737F" w:rsidP="002F737F">
      <w:pPr>
        <w:numPr>
          <w:ilvl w:val="0"/>
          <w:numId w:val="1"/>
        </w:numPr>
        <w:spacing w:before="120" w:after="120"/>
        <w:ind w:left="714" w:hanging="357"/>
        <w:jc w:val="both"/>
        <w:rPr>
          <w:rFonts w:ascii="Century Gothic" w:hAnsi="Century Gothic" w:cstheme="minorHAnsi"/>
        </w:rPr>
      </w:pPr>
      <w:proofErr w:type="gramStart"/>
      <w:r w:rsidRPr="002F737F">
        <w:rPr>
          <w:rFonts w:ascii="Century Gothic" w:hAnsi="Century Gothic" w:cstheme="minorHAnsi"/>
        </w:rPr>
        <w:t>d’activités</w:t>
      </w:r>
      <w:proofErr w:type="gramEnd"/>
      <w:r w:rsidRPr="002F737F">
        <w:rPr>
          <w:rFonts w:ascii="Century Gothic" w:hAnsi="Century Gothic" w:cstheme="minorHAnsi"/>
        </w:rPr>
        <w:t xml:space="preserve"> touristiques ;</w:t>
      </w:r>
    </w:p>
    <w:p w14:paraId="2D275362" w14:textId="77777777" w:rsidR="002F737F" w:rsidRPr="002F737F" w:rsidRDefault="002F737F" w:rsidP="002F737F">
      <w:pPr>
        <w:numPr>
          <w:ilvl w:val="0"/>
          <w:numId w:val="1"/>
        </w:numPr>
        <w:spacing w:before="120" w:after="120"/>
        <w:ind w:left="714" w:hanging="357"/>
        <w:jc w:val="both"/>
        <w:rPr>
          <w:rFonts w:ascii="Century Gothic" w:hAnsi="Century Gothic" w:cstheme="minorHAnsi"/>
        </w:rPr>
      </w:pPr>
      <w:proofErr w:type="gramStart"/>
      <w:r w:rsidRPr="002F737F">
        <w:rPr>
          <w:rFonts w:ascii="Century Gothic" w:hAnsi="Century Gothic" w:cstheme="minorHAnsi"/>
        </w:rPr>
        <w:t>de</w:t>
      </w:r>
      <w:proofErr w:type="gramEnd"/>
      <w:r w:rsidRPr="002F737F">
        <w:rPr>
          <w:rFonts w:ascii="Century Gothic" w:hAnsi="Century Gothic" w:cstheme="minorHAnsi"/>
        </w:rPr>
        <w:t xml:space="preserve"> l’accueil extrascolaire et de stages/plaines de vacances ;</w:t>
      </w:r>
    </w:p>
    <w:p w14:paraId="58B6A43A" w14:textId="77777777" w:rsidR="002F737F" w:rsidRPr="002F737F" w:rsidRDefault="002F737F" w:rsidP="002F737F">
      <w:pPr>
        <w:numPr>
          <w:ilvl w:val="0"/>
          <w:numId w:val="1"/>
        </w:numPr>
        <w:spacing w:before="120" w:after="120"/>
        <w:ind w:left="714" w:hanging="357"/>
        <w:jc w:val="both"/>
        <w:rPr>
          <w:rFonts w:ascii="Century Gothic" w:hAnsi="Century Gothic" w:cstheme="minorHAnsi"/>
        </w:rPr>
      </w:pPr>
      <w:proofErr w:type="gramStart"/>
      <w:r w:rsidRPr="002F737F">
        <w:rPr>
          <w:rFonts w:ascii="Century Gothic" w:hAnsi="Century Gothic" w:cstheme="minorHAnsi"/>
        </w:rPr>
        <w:t>d’un</w:t>
      </w:r>
      <w:proofErr w:type="gramEnd"/>
      <w:r w:rsidRPr="002F737F">
        <w:rPr>
          <w:rFonts w:ascii="Century Gothic" w:hAnsi="Century Gothic" w:cstheme="minorHAnsi"/>
        </w:rPr>
        <w:t xml:space="preserve"> marché hebdomadaire, d’une foire ou de festivals ;</w:t>
      </w:r>
    </w:p>
    <w:p w14:paraId="71C725CD" w14:textId="77777777" w:rsidR="002F737F" w:rsidRPr="002F737F" w:rsidRDefault="002F737F" w:rsidP="002F737F">
      <w:pPr>
        <w:numPr>
          <w:ilvl w:val="0"/>
          <w:numId w:val="1"/>
        </w:numPr>
        <w:spacing w:before="120" w:after="120"/>
        <w:ind w:left="714" w:hanging="357"/>
        <w:jc w:val="both"/>
        <w:rPr>
          <w:rFonts w:ascii="Century Gothic" w:hAnsi="Century Gothic" w:cstheme="minorHAnsi"/>
        </w:rPr>
      </w:pPr>
      <w:proofErr w:type="gramStart"/>
      <w:r w:rsidRPr="002F737F">
        <w:rPr>
          <w:rFonts w:ascii="Century Gothic" w:hAnsi="Century Gothic" w:cstheme="minorHAnsi"/>
        </w:rPr>
        <w:t>d’infrastructures</w:t>
      </w:r>
      <w:proofErr w:type="gramEnd"/>
      <w:r w:rsidRPr="002F737F">
        <w:rPr>
          <w:rFonts w:ascii="Century Gothic" w:hAnsi="Century Gothic" w:cstheme="minorHAnsi"/>
        </w:rPr>
        <w:t xml:space="preserve"> culturelles ;</w:t>
      </w:r>
    </w:p>
    <w:p w14:paraId="0002166C" w14:textId="77777777" w:rsidR="002F737F" w:rsidRPr="002F737F" w:rsidRDefault="002F737F" w:rsidP="002F737F">
      <w:pPr>
        <w:numPr>
          <w:ilvl w:val="0"/>
          <w:numId w:val="1"/>
        </w:numPr>
        <w:spacing w:before="120" w:after="120"/>
        <w:ind w:left="714" w:hanging="357"/>
        <w:jc w:val="both"/>
        <w:rPr>
          <w:rFonts w:ascii="Century Gothic" w:hAnsi="Century Gothic" w:cstheme="minorHAnsi"/>
        </w:rPr>
      </w:pPr>
      <w:r w:rsidRPr="002F737F">
        <w:rPr>
          <w:rFonts w:ascii="Century Gothic" w:hAnsi="Century Gothic" w:cstheme="minorHAnsi"/>
        </w:rPr>
        <w:t>etc.</w:t>
      </w:r>
    </w:p>
    <w:p w14:paraId="6B22E4E7" w14:textId="77777777" w:rsidR="002F737F" w:rsidRPr="002F737F" w:rsidRDefault="002F737F" w:rsidP="002F737F">
      <w:pPr>
        <w:spacing w:before="120" w:after="120"/>
        <w:jc w:val="both"/>
        <w:rPr>
          <w:rFonts w:ascii="Century Gothic" w:hAnsi="Century Gothic" w:cstheme="minorHAnsi"/>
        </w:rPr>
      </w:pPr>
      <w:r w:rsidRPr="002F737F">
        <w:rPr>
          <w:rFonts w:ascii="Century Gothic" w:hAnsi="Century Gothic" w:cstheme="minorHAnsi"/>
        </w:rPr>
        <w:t>L’attribution d'une concession de travaux ou de services implique le transfert au concessionnaire d'un risque d'exploitation lié à l'exploitation de ces travaux ou services, comprenant le risque lié à la demande, le risque lié à l'offre ou les deux. La part de risque transférée au concessionnaire implique une réelle exposition aux aléas du marché.</w:t>
      </w:r>
      <w:bookmarkStart w:id="0" w:name="_Hlk36538172"/>
      <w:r w:rsidRPr="002F737F">
        <w:rPr>
          <w:rFonts w:ascii="Century Gothic" w:hAnsi="Century Gothic" w:cstheme="minorHAnsi"/>
        </w:rPr>
        <w:t xml:space="preserve"> </w:t>
      </w:r>
      <w:bookmarkEnd w:id="0"/>
      <w:r w:rsidRPr="002F737F">
        <w:rPr>
          <w:rFonts w:ascii="Century Gothic" w:hAnsi="Century Gothic" w:cstheme="minorHAnsi"/>
        </w:rPr>
        <w:t xml:space="preserve">Il n’appartient, dès lors, pas aux pouvoirs adjudicateurs de supporter toutes les pertes que pourraient subir le concessionnaire. </w:t>
      </w:r>
    </w:p>
    <w:p w14:paraId="34B4708D" w14:textId="77777777" w:rsidR="002F737F" w:rsidRPr="002F737F" w:rsidRDefault="002F737F" w:rsidP="002F737F">
      <w:pPr>
        <w:spacing w:before="120" w:after="120"/>
        <w:jc w:val="both"/>
        <w:rPr>
          <w:rFonts w:ascii="Century Gothic" w:hAnsi="Century Gothic" w:cstheme="minorHAnsi"/>
        </w:rPr>
      </w:pPr>
      <w:r w:rsidRPr="002F737F">
        <w:rPr>
          <w:rFonts w:ascii="Century Gothic" w:hAnsi="Century Gothic" w:cstheme="minorHAnsi"/>
        </w:rPr>
        <w:t xml:space="preserve">Néanmoins, les circonstances pandémiques actuelles sont telles qu’un pouvoir adjudicateur pourrait envisager de modifier en cours d’exécution certaines concessions afin de rétablir l’équilibre financier du contrat tel qu’il avait été initialement </w:t>
      </w:r>
      <w:bookmarkStart w:id="1" w:name="_Hlk36538240"/>
      <w:r w:rsidRPr="002F737F">
        <w:rPr>
          <w:rFonts w:ascii="Century Gothic" w:hAnsi="Century Gothic" w:cstheme="minorHAnsi"/>
        </w:rPr>
        <w:t xml:space="preserve">prévu. Cette possibilité doit être analysée au cas par cas suivant les circonstances du cas d’espèce. En outre, afin, notamment, de ne pas remettre en cause la qualification de l’opération, la modification ne doit pas avoir pour objectif </w:t>
      </w:r>
      <w:r w:rsidRPr="002F737F">
        <w:rPr>
          <w:rFonts w:ascii="Century Gothic" w:hAnsi="Century Gothic" w:cstheme="minorHAnsi"/>
        </w:rPr>
        <w:lastRenderedPageBreak/>
        <w:t>ou résultat de supprimer le transfert du risque lié à l’exploitation des services ou des travaux.  </w:t>
      </w:r>
    </w:p>
    <w:p w14:paraId="094E9197" w14:textId="77777777" w:rsidR="002F737F" w:rsidRPr="002F737F" w:rsidRDefault="002F737F" w:rsidP="002F737F">
      <w:pPr>
        <w:spacing w:before="120" w:after="120"/>
        <w:jc w:val="both"/>
        <w:rPr>
          <w:rFonts w:ascii="Century Gothic" w:hAnsi="Century Gothic" w:cstheme="minorHAnsi"/>
        </w:rPr>
      </w:pPr>
      <w:r w:rsidRPr="002F737F">
        <w:rPr>
          <w:rFonts w:ascii="Century Gothic" w:hAnsi="Century Gothic" w:cstheme="minorHAnsi"/>
        </w:rPr>
        <w:t>Concrètement, les modifications suivantes pourraient, notamment, être envisagées :  </w:t>
      </w:r>
    </w:p>
    <w:bookmarkEnd w:id="1"/>
    <w:p w14:paraId="26340275" w14:textId="77777777" w:rsidR="002F737F" w:rsidRPr="002F737F" w:rsidRDefault="002F737F" w:rsidP="002F737F">
      <w:pPr>
        <w:numPr>
          <w:ilvl w:val="0"/>
          <w:numId w:val="1"/>
        </w:numPr>
        <w:spacing w:before="120" w:after="120"/>
        <w:jc w:val="both"/>
        <w:rPr>
          <w:rFonts w:ascii="Century Gothic" w:hAnsi="Century Gothic" w:cstheme="minorHAnsi"/>
        </w:rPr>
      </w:pPr>
      <w:proofErr w:type="gramStart"/>
      <w:r w:rsidRPr="002F737F">
        <w:rPr>
          <w:rFonts w:ascii="Century Gothic" w:hAnsi="Century Gothic" w:cstheme="minorHAnsi"/>
        </w:rPr>
        <w:t>prolonger</w:t>
      </w:r>
      <w:proofErr w:type="gramEnd"/>
      <w:r w:rsidRPr="002F737F">
        <w:rPr>
          <w:rFonts w:ascii="Century Gothic" w:hAnsi="Century Gothic" w:cstheme="minorHAnsi"/>
        </w:rPr>
        <w:t xml:space="preserve"> le contrat actuel d’une durée équivalente à la durée pendant laquelle l’établissement aura été contraint de fermer ;</w:t>
      </w:r>
    </w:p>
    <w:p w14:paraId="344F099D" w14:textId="77777777" w:rsidR="002F737F" w:rsidRPr="002F737F" w:rsidRDefault="002F737F" w:rsidP="002F737F">
      <w:pPr>
        <w:numPr>
          <w:ilvl w:val="0"/>
          <w:numId w:val="1"/>
        </w:numPr>
        <w:spacing w:before="120" w:after="120"/>
        <w:jc w:val="both"/>
        <w:rPr>
          <w:rFonts w:ascii="Century Gothic" w:hAnsi="Century Gothic" w:cstheme="minorHAnsi"/>
        </w:rPr>
      </w:pPr>
      <w:bookmarkStart w:id="2" w:name="_Hlk36625656"/>
      <w:proofErr w:type="gramStart"/>
      <w:r w:rsidRPr="002F737F">
        <w:rPr>
          <w:rFonts w:ascii="Century Gothic" w:hAnsi="Century Gothic" w:cstheme="minorHAnsi"/>
        </w:rPr>
        <w:t>suspendre</w:t>
      </w:r>
      <w:proofErr w:type="gramEnd"/>
      <w:r w:rsidRPr="002F737F">
        <w:rPr>
          <w:rFonts w:ascii="Century Gothic" w:hAnsi="Century Gothic" w:cstheme="minorHAnsi"/>
        </w:rPr>
        <w:t>/diminuer la redevance payée par le concessionnaire au pouvoir adjudicateur pour une durée équivalente à la durée pendant laquelle l’établissement aura été contraint de fermer ou sera impacté par les mesures sanitaires adoptées</w:t>
      </w:r>
      <w:bookmarkEnd w:id="2"/>
    </w:p>
    <w:p w14:paraId="57308DF9" w14:textId="77777777" w:rsidR="002F737F" w:rsidRPr="002F737F" w:rsidRDefault="002F737F" w:rsidP="002F737F">
      <w:pPr>
        <w:numPr>
          <w:ilvl w:val="0"/>
          <w:numId w:val="1"/>
        </w:numPr>
        <w:spacing w:before="120" w:after="120"/>
        <w:jc w:val="both"/>
        <w:rPr>
          <w:rFonts w:ascii="Century Gothic" w:hAnsi="Century Gothic" w:cstheme="minorHAnsi"/>
        </w:rPr>
      </w:pPr>
      <w:proofErr w:type="gramStart"/>
      <w:r w:rsidRPr="002F737F">
        <w:rPr>
          <w:rFonts w:ascii="Century Gothic" w:hAnsi="Century Gothic" w:cstheme="minorHAnsi"/>
        </w:rPr>
        <w:t>modifier</w:t>
      </w:r>
      <w:proofErr w:type="gramEnd"/>
      <w:r w:rsidRPr="002F737F">
        <w:rPr>
          <w:rFonts w:ascii="Century Gothic" w:hAnsi="Century Gothic" w:cstheme="minorHAnsi"/>
        </w:rPr>
        <w:t xml:space="preserve"> les éventuels délais prescrits par le cahier des charges/le contrat de concession sous peine de pénalités (notamment en ce qui concerne les concessions de travaux et l’exécution de travaux ou la réalisation d’ouvrages) ;</w:t>
      </w:r>
    </w:p>
    <w:p w14:paraId="7CC35D4C" w14:textId="77777777" w:rsidR="002F737F" w:rsidRPr="002F737F" w:rsidRDefault="002F737F" w:rsidP="002F737F">
      <w:pPr>
        <w:numPr>
          <w:ilvl w:val="0"/>
          <w:numId w:val="1"/>
        </w:numPr>
        <w:spacing w:before="120" w:after="120"/>
        <w:jc w:val="both"/>
        <w:rPr>
          <w:rFonts w:ascii="Century Gothic" w:hAnsi="Century Gothic" w:cstheme="minorHAnsi"/>
        </w:rPr>
      </w:pPr>
      <w:proofErr w:type="gramStart"/>
      <w:r w:rsidRPr="002F737F">
        <w:rPr>
          <w:rFonts w:ascii="Century Gothic" w:hAnsi="Century Gothic" w:cstheme="minorHAnsi"/>
        </w:rPr>
        <w:t>modifier</w:t>
      </w:r>
      <w:proofErr w:type="gramEnd"/>
      <w:r w:rsidRPr="002F737F">
        <w:rPr>
          <w:rFonts w:ascii="Century Gothic" w:hAnsi="Century Gothic" w:cstheme="minorHAnsi"/>
        </w:rPr>
        <w:t xml:space="preserve"> les dates d’organisation de festivités, foires, festivals, etc. exploités par un concessionnaire ;</w:t>
      </w:r>
    </w:p>
    <w:p w14:paraId="6DDF36A0" w14:textId="77777777" w:rsidR="002F737F" w:rsidRPr="002F737F" w:rsidRDefault="002F737F" w:rsidP="002F737F">
      <w:pPr>
        <w:numPr>
          <w:ilvl w:val="0"/>
          <w:numId w:val="1"/>
        </w:numPr>
        <w:spacing w:before="120" w:after="120"/>
        <w:jc w:val="both"/>
        <w:rPr>
          <w:rFonts w:ascii="Century Gothic" w:hAnsi="Century Gothic" w:cstheme="minorHAnsi"/>
        </w:rPr>
      </w:pPr>
      <w:r w:rsidRPr="002F737F">
        <w:rPr>
          <w:rFonts w:ascii="Century Gothic" w:hAnsi="Century Gothic" w:cstheme="minorHAnsi"/>
        </w:rPr>
        <w:t>etc.</w:t>
      </w:r>
    </w:p>
    <w:p w14:paraId="273F8872" w14:textId="77777777" w:rsidR="002F737F" w:rsidRPr="002F737F" w:rsidRDefault="002F737F" w:rsidP="002F737F">
      <w:pPr>
        <w:spacing w:before="120" w:after="120"/>
        <w:jc w:val="both"/>
        <w:rPr>
          <w:rFonts w:ascii="Century Gothic" w:hAnsi="Century Gothic" w:cstheme="minorHAnsi"/>
        </w:rPr>
      </w:pPr>
      <w:r w:rsidRPr="002F737F">
        <w:rPr>
          <w:rFonts w:ascii="Century Gothic" w:hAnsi="Century Gothic" w:cstheme="minorHAnsi"/>
        </w:rPr>
        <w:t xml:space="preserve">Ces modifications doivent, néanmoins, intervenir dans le respect </w:t>
      </w:r>
      <w:r w:rsidRPr="00680235">
        <w:rPr>
          <w:rFonts w:ascii="Century Gothic" w:hAnsi="Century Gothic" w:cstheme="minorHAnsi"/>
          <w:color w:val="000000" w:themeColor="text1"/>
        </w:rPr>
        <w:t>d</w:t>
      </w:r>
      <w:r w:rsidR="00DD34A8" w:rsidRPr="00680235">
        <w:rPr>
          <w:rFonts w:ascii="Century Gothic" w:hAnsi="Century Gothic" w:cstheme="minorHAnsi"/>
          <w:color w:val="000000" w:themeColor="text1"/>
        </w:rPr>
        <w:t>es</w:t>
      </w:r>
      <w:r w:rsidRPr="00680235">
        <w:rPr>
          <w:rFonts w:ascii="Century Gothic" w:hAnsi="Century Gothic" w:cstheme="minorHAnsi"/>
          <w:color w:val="000000" w:themeColor="text1"/>
        </w:rPr>
        <w:t xml:space="preserve"> </w:t>
      </w:r>
      <w:r w:rsidRPr="002F737F">
        <w:rPr>
          <w:rFonts w:ascii="Century Gothic" w:hAnsi="Century Gothic" w:cstheme="minorHAnsi"/>
        </w:rPr>
        <w:t>grands principes de droit administratif et, le cas échéant, de la loi du 17 juin 2016 relative aux contrats de concession et de ses arrêtés d’exécution.</w:t>
      </w:r>
    </w:p>
    <w:p w14:paraId="4B623BAE" w14:textId="034526E3" w:rsidR="002F737F" w:rsidRPr="002F737F" w:rsidRDefault="002F737F" w:rsidP="002F737F">
      <w:pPr>
        <w:spacing w:before="120" w:after="120"/>
        <w:jc w:val="both"/>
        <w:rPr>
          <w:rFonts w:ascii="Century Gothic" w:hAnsi="Century Gothic" w:cstheme="minorHAnsi"/>
        </w:rPr>
      </w:pPr>
      <w:r w:rsidRPr="002F737F">
        <w:rPr>
          <w:rFonts w:ascii="Century Gothic" w:hAnsi="Century Gothic" w:cstheme="minorHAnsi"/>
        </w:rPr>
        <w:t xml:space="preserve">A cet égard, il importe de distinguer les concessions soumises au champ d’application de ladite loi et celles qui ne le sont pas. Pour rappel, si </w:t>
      </w:r>
      <w:bookmarkStart w:id="3" w:name="_GoBack"/>
      <w:r w:rsidRPr="002F737F">
        <w:rPr>
          <w:rFonts w:ascii="Century Gothic" w:hAnsi="Century Gothic" w:cstheme="minorHAnsi"/>
        </w:rPr>
        <w:t xml:space="preserve">toutes </w:t>
      </w:r>
      <w:bookmarkEnd w:id="3"/>
      <w:r w:rsidRPr="002F737F">
        <w:rPr>
          <w:rFonts w:ascii="Century Gothic" w:hAnsi="Century Gothic" w:cstheme="minorHAnsi"/>
        </w:rPr>
        <w:t xml:space="preserve">les concessions de travaux sont régies par cette législation, seules les concessions de services d’une valeur égale ou supérieure à </w:t>
      </w:r>
      <w:r w:rsidR="00680235">
        <w:rPr>
          <w:rFonts w:ascii="Century Gothic" w:hAnsi="Century Gothic" w:cstheme="minorHAnsi"/>
        </w:rPr>
        <w:t xml:space="preserve">(actuellement) </w:t>
      </w:r>
      <w:r w:rsidRPr="002F737F">
        <w:rPr>
          <w:rFonts w:ascii="Century Gothic" w:hAnsi="Century Gothic" w:cstheme="minorHAnsi"/>
        </w:rPr>
        <w:t>5.350.000 euros le sont.</w:t>
      </w:r>
    </w:p>
    <w:p w14:paraId="129859E1" w14:textId="77777777" w:rsidR="002F737F" w:rsidRPr="002F737F" w:rsidRDefault="002F737F" w:rsidP="002F737F">
      <w:pPr>
        <w:numPr>
          <w:ilvl w:val="0"/>
          <w:numId w:val="2"/>
        </w:numPr>
        <w:spacing w:before="120" w:after="120"/>
        <w:jc w:val="both"/>
        <w:rPr>
          <w:rFonts w:ascii="Century Gothic" w:hAnsi="Century Gothic" w:cstheme="minorHAnsi"/>
          <w:b/>
          <w:bCs/>
          <w:u w:val="single"/>
        </w:rPr>
      </w:pPr>
      <w:r w:rsidRPr="002F737F">
        <w:rPr>
          <w:rFonts w:ascii="Century Gothic" w:hAnsi="Century Gothic" w:cstheme="minorHAnsi"/>
          <w:b/>
          <w:bCs/>
          <w:u w:val="single"/>
        </w:rPr>
        <w:t>Concessions soumises au champ d’application de la législation spécifique</w:t>
      </w:r>
    </w:p>
    <w:p w14:paraId="79BCD424" w14:textId="77777777" w:rsidR="002F737F" w:rsidRPr="002F737F" w:rsidRDefault="002F737F" w:rsidP="009E7755">
      <w:pPr>
        <w:spacing w:before="120" w:after="120"/>
        <w:ind w:left="284"/>
        <w:jc w:val="both"/>
        <w:rPr>
          <w:rFonts w:ascii="Century Gothic" w:hAnsi="Century Gothic" w:cstheme="minorHAnsi"/>
        </w:rPr>
      </w:pPr>
      <w:r w:rsidRPr="002F737F">
        <w:rPr>
          <w:rFonts w:ascii="Century Gothic" w:hAnsi="Century Gothic" w:cstheme="minorHAnsi"/>
        </w:rPr>
        <w:t>Les concessions soumises au champ d’application de cette législation spécifique ne peuvent être modifiées sans une nouvelle procédure de passation que dans les cas prévus aux articles 62 à 68 de l’arrêté royal du 25 juin 2017 relatif à la passation et aux règles générales d'exécution des contrats de concession à savoir :</w:t>
      </w:r>
    </w:p>
    <w:p w14:paraId="5C236D40" w14:textId="77777777" w:rsidR="002F737F" w:rsidRPr="002F737F" w:rsidRDefault="002F737F" w:rsidP="002F737F">
      <w:pPr>
        <w:numPr>
          <w:ilvl w:val="0"/>
          <w:numId w:val="1"/>
        </w:numPr>
        <w:spacing w:before="120" w:after="120"/>
        <w:ind w:left="714" w:hanging="357"/>
        <w:jc w:val="both"/>
        <w:rPr>
          <w:rFonts w:ascii="Century Gothic" w:hAnsi="Century Gothic" w:cstheme="minorHAnsi"/>
        </w:rPr>
      </w:pPr>
      <w:r w:rsidRPr="002F737F">
        <w:rPr>
          <w:rFonts w:ascii="Century Gothic" w:hAnsi="Century Gothic" w:cstheme="minorHAnsi"/>
        </w:rPr>
        <w:t>L’existence d’une clause de réexamen (article 62) ;</w:t>
      </w:r>
    </w:p>
    <w:p w14:paraId="562319F9" w14:textId="77777777" w:rsidR="002F737F" w:rsidRPr="002F737F" w:rsidRDefault="002F737F" w:rsidP="002F737F">
      <w:pPr>
        <w:numPr>
          <w:ilvl w:val="0"/>
          <w:numId w:val="1"/>
        </w:numPr>
        <w:spacing w:before="120" w:after="120"/>
        <w:ind w:left="714" w:hanging="357"/>
        <w:jc w:val="both"/>
        <w:rPr>
          <w:rFonts w:ascii="Century Gothic" w:hAnsi="Century Gothic" w:cstheme="minorHAnsi"/>
        </w:rPr>
      </w:pPr>
      <w:r w:rsidRPr="002F737F">
        <w:rPr>
          <w:rFonts w:ascii="Century Gothic" w:hAnsi="Century Gothic" w:cstheme="minorHAnsi"/>
        </w:rPr>
        <w:t>L’application d’une clause de révision de prix (article 63) ;</w:t>
      </w:r>
    </w:p>
    <w:p w14:paraId="1BA84A9D" w14:textId="77777777" w:rsidR="002F737F" w:rsidRPr="002F737F" w:rsidRDefault="002F737F" w:rsidP="002F737F">
      <w:pPr>
        <w:numPr>
          <w:ilvl w:val="0"/>
          <w:numId w:val="1"/>
        </w:numPr>
        <w:spacing w:before="120" w:after="120"/>
        <w:ind w:left="714" w:hanging="357"/>
        <w:jc w:val="both"/>
        <w:rPr>
          <w:rFonts w:ascii="Century Gothic" w:hAnsi="Century Gothic" w:cstheme="minorHAnsi"/>
        </w:rPr>
      </w:pPr>
      <w:r w:rsidRPr="002F737F">
        <w:rPr>
          <w:rFonts w:ascii="Century Gothic" w:hAnsi="Century Gothic" w:cstheme="minorHAnsi"/>
        </w:rPr>
        <w:t>La réalisation de travaux et services complémentaires (article 64) ;</w:t>
      </w:r>
    </w:p>
    <w:p w14:paraId="224324C1" w14:textId="77777777" w:rsidR="002F737F" w:rsidRPr="002F737F" w:rsidRDefault="002F737F" w:rsidP="002F737F">
      <w:pPr>
        <w:numPr>
          <w:ilvl w:val="0"/>
          <w:numId w:val="1"/>
        </w:numPr>
        <w:spacing w:before="120" w:after="120"/>
        <w:ind w:left="714" w:hanging="357"/>
        <w:jc w:val="both"/>
        <w:rPr>
          <w:rFonts w:ascii="Century Gothic" w:hAnsi="Century Gothic" w:cstheme="minorHAnsi"/>
        </w:rPr>
      </w:pPr>
      <w:r w:rsidRPr="002F737F">
        <w:rPr>
          <w:rFonts w:ascii="Century Gothic" w:hAnsi="Century Gothic" w:cstheme="minorHAnsi"/>
        </w:rPr>
        <w:t>L’existence d’évènements imprévisibles dans le chef de l’adjudicateur (article 65) ;</w:t>
      </w:r>
    </w:p>
    <w:p w14:paraId="04E5D10A" w14:textId="77777777" w:rsidR="002F737F" w:rsidRPr="002F737F" w:rsidRDefault="002F737F" w:rsidP="002F737F">
      <w:pPr>
        <w:numPr>
          <w:ilvl w:val="0"/>
          <w:numId w:val="1"/>
        </w:numPr>
        <w:spacing w:before="120" w:after="120"/>
        <w:ind w:left="714" w:hanging="357"/>
        <w:jc w:val="both"/>
        <w:rPr>
          <w:rFonts w:ascii="Century Gothic" w:hAnsi="Century Gothic" w:cstheme="minorHAnsi"/>
        </w:rPr>
      </w:pPr>
      <w:r w:rsidRPr="002F737F">
        <w:rPr>
          <w:rFonts w:ascii="Century Gothic" w:hAnsi="Century Gothic" w:cstheme="minorHAnsi"/>
        </w:rPr>
        <w:t>Le remplacement du concessionnaire (article 66) ;</w:t>
      </w:r>
    </w:p>
    <w:p w14:paraId="7F9126B3" w14:textId="77777777" w:rsidR="002F737F" w:rsidRPr="002F737F" w:rsidRDefault="002F737F" w:rsidP="002F737F">
      <w:pPr>
        <w:numPr>
          <w:ilvl w:val="0"/>
          <w:numId w:val="1"/>
        </w:numPr>
        <w:spacing w:before="120" w:after="120"/>
        <w:ind w:left="714" w:hanging="357"/>
        <w:jc w:val="both"/>
        <w:rPr>
          <w:rFonts w:ascii="Century Gothic" w:hAnsi="Century Gothic" w:cstheme="minorHAnsi"/>
        </w:rPr>
      </w:pPr>
      <w:r w:rsidRPr="002F737F">
        <w:rPr>
          <w:rFonts w:ascii="Century Gothic" w:hAnsi="Century Gothic" w:cstheme="minorHAnsi"/>
        </w:rPr>
        <w:t>La règle « de minimis » (article 67) ;</w:t>
      </w:r>
    </w:p>
    <w:p w14:paraId="7E869876" w14:textId="77777777" w:rsidR="002F737F" w:rsidRPr="002F737F" w:rsidRDefault="002F737F" w:rsidP="002F737F">
      <w:pPr>
        <w:numPr>
          <w:ilvl w:val="0"/>
          <w:numId w:val="1"/>
        </w:numPr>
        <w:spacing w:before="120" w:after="120"/>
        <w:ind w:left="714" w:hanging="357"/>
        <w:jc w:val="both"/>
        <w:rPr>
          <w:rFonts w:ascii="Century Gothic" w:hAnsi="Century Gothic" w:cstheme="minorHAnsi"/>
        </w:rPr>
      </w:pPr>
      <w:r w:rsidRPr="002F737F">
        <w:rPr>
          <w:rFonts w:ascii="Century Gothic" w:hAnsi="Century Gothic" w:cstheme="minorHAnsi"/>
        </w:rPr>
        <w:t>Les modifications non substantielles (article 68).</w:t>
      </w:r>
    </w:p>
    <w:p w14:paraId="0C93D564" w14:textId="77777777" w:rsidR="002F737F" w:rsidRPr="002F737F" w:rsidRDefault="002F737F" w:rsidP="009E7755">
      <w:pPr>
        <w:spacing w:before="120" w:after="120"/>
        <w:ind w:left="284"/>
        <w:jc w:val="both"/>
        <w:rPr>
          <w:rFonts w:ascii="Century Gothic" w:hAnsi="Century Gothic" w:cstheme="minorHAnsi"/>
        </w:rPr>
      </w:pPr>
      <w:bookmarkStart w:id="4" w:name="_Hlk36626329"/>
      <w:r w:rsidRPr="002F737F">
        <w:rPr>
          <w:rFonts w:ascii="Century Gothic" w:hAnsi="Century Gothic" w:cstheme="minorHAnsi"/>
        </w:rPr>
        <w:t xml:space="preserve">En l’occurrence, </w:t>
      </w:r>
      <w:r w:rsidRPr="002F737F">
        <w:rPr>
          <w:rFonts w:ascii="Century Gothic" w:hAnsi="Century Gothic" w:cstheme="minorHAnsi"/>
          <w:u w:val="single"/>
        </w:rPr>
        <w:t>la modification évoquée par l’article 65 mérite particulièrement d’être mise en exergue</w:t>
      </w:r>
      <w:r w:rsidRPr="002F737F">
        <w:rPr>
          <w:rFonts w:ascii="Century Gothic" w:hAnsi="Century Gothic" w:cstheme="minorHAnsi"/>
        </w:rPr>
        <w:t xml:space="preserve"> dans la mesure où elle apparaît, de prime abord, être la plus opportune compte tenu des circonstances actuelles.</w:t>
      </w:r>
    </w:p>
    <w:bookmarkEnd w:id="4"/>
    <w:p w14:paraId="1E6E0DCF" w14:textId="77777777" w:rsidR="002F737F" w:rsidRPr="002F737F" w:rsidRDefault="002F737F" w:rsidP="009E7755">
      <w:pPr>
        <w:spacing w:before="120" w:after="120"/>
        <w:ind w:left="284"/>
        <w:jc w:val="both"/>
        <w:rPr>
          <w:rFonts w:ascii="Century Gothic" w:hAnsi="Century Gothic" w:cstheme="minorHAnsi"/>
        </w:rPr>
      </w:pPr>
      <w:r w:rsidRPr="002F737F">
        <w:rPr>
          <w:rFonts w:ascii="Century Gothic" w:hAnsi="Century Gothic" w:cstheme="minorHAnsi"/>
        </w:rPr>
        <w:lastRenderedPageBreak/>
        <w:t xml:space="preserve">En effet, la modification d’une concession en cours d’exécution pourrait être envisagée dans le respect du prescrit de l’article 65 de l’arrêté royal susmentionné lequel évoque l’hypothèse </w:t>
      </w:r>
      <w:r w:rsidRPr="002F737F">
        <w:rPr>
          <w:rFonts w:ascii="Century Gothic" w:hAnsi="Century Gothic" w:cstheme="minorHAnsi"/>
          <w:b/>
          <w:bCs/>
        </w:rPr>
        <w:t>d’évènements imprévisibles dans le chef de l’adjudicateur</w:t>
      </w:r>
      <w:r w:rsidRPr="002F737F">
        <w:rPr>
          <w:rFonts w:ascii="Century Gothic" w:hAnsi="Century Gothic" w:cstheme="minorHAnsi"/>
        </w:rPr>
        <w:t>.</w:t>
      </w:r>
    </w:p>
    <w:p w14:paraId="7F1485AD" w14:textId="77777777" w:rsidR="002F737F" w:rsidRPr="002F737F" w:rsidRDefault="002F737F" w:rsidP="009E7755">
      <w:pPr>
        <w:spacing w:before="120" w:after="120"/>
        <w:ind w:left="284"/>
        <w:jc w:val="both"/>
        <w:rPr>
          <w:rFonts w:ascii="Century Gothic" w:hAnsi="Century Gothic" w:cstheme="minorHAnsi"/>
        </w:rPr>
      </w:pPr>
      <w:r w:rsidRPr="002F737F">
        <w:rPr>
          <w:rFonts w:ascii="Century Gothic" w:hAnsi="Century Gothic" w:cstheme="minorHAnsi"/>
        </w:rPr>
        <w:t xml:space="preserve">Le rapport au Roi dudit arrêté royal précise que cette notion de circonstances imprévisibles </w:t>
      </w:r>
      <w:r w:rsidRPr="002F737F">
        <w:rPr>
          <w:rFonts w:ascii="Century Gothic" w:hAnsi="Century Gothic" w:cstheme="minorHAnsi"/>
          <w:i/>
          <w:iCs/>
        </w:rPr>
        <w:t xml:space="preserve">« renvoie à des circonstances qu'un adjudicateur, bien qu'ayant fait preuve d'une diligence raisonnable lors de la préparation de l'attribution initiale, n'aurait pu anticiper compte tenu des moyens à sa disposition, de la nature ou des caractéristiques du projet, des bonnes pratiques du secteur et de la nécessité de mettre dument en cohérence les ressources employées pour préparer l'attribution de la concession avec sa valeur prévisible (considérant 76 de la directive 2014/23/UE). Le caractère imprévisible de la circonstance qui permet de modifier la concession est donc à évaluer " in </w:t>
      </w:r>
      <w:proofErr w:type="spellStart"/>
      <w:r w:rsidRPr="002F737F">
        <w:rPr>
          <w:rFonts w:ascii="Century Gothic" w:hAnsi="Century Gothic" w:cstheme="minorHAnsi"/>
          <w:i/>
          <w:iCs/>
        </w:rPr>
        <w:t>concreto</w:t>
      </w:r>
      <w:proofErr w:type="spellEnd"/>
      <w:r w:rsidRPr="002F737F">
        <w:rPr>
          <w:rFonts w:ascii="Century Gothic" w:hAnsi="Century Gothic" w:cstheme="minorHAnsi"/>
          <w:i/>
          <w:iCs/>
        </w:rPr>
        <w:t xml:space="preserve"> " »</w:t>
      </w:r>
      <w:r w:rsidRPr="002F737F">
        <w:rPr>
          <w:rFonts w:ascii="Century Gothic" w:hAnsi="Century Gothic" w:cstheme="minorHAnsi"/>
        </w:rPr>
        <w:t>. Rien n’empêche donc l’adjudicateur de prendre en compte des évènements imprévisibles au bénéfice de l’adjudicataire…</w:t>
      </w:r>
    </w:p>
    <w:p w14:paraId="515948FD" w14:textId="77777777" w:rsidR="002F737F" w:rsidRPr="002F737F" w:rsidRDefault="002F737F" w:rsidP="009E7755">
      <w:pPr>
        <w:spacing w:before="120" w:after="120"/>
        <w:ind w:left="284"/>
        <w:jc w:val="both"/>
        <w:rPr>
          <w:rFonts w:ascii="Century Gothic" w:hAnsi="Century Gothic" w:cstheme="minorHAnsi"/>
        </w:rPr>
      </w:pPr>
      <w:r w:rsidRPr="002F737F">
        <w:rPr>
          <w:rFonts w:ascii="Century Gothic" w:hAnsi="Century Gothic" w:cstheme="minorHAnsi"/>
        </w:rPr>
        <w:t>En l’espèce, les circonstances actuelles liées à la pandémie et ayant amené le Conseil national de sécurité à adopter diverses mesures sanitaires apparaissent constituer un événement imprévisible pour tout adjudicataire diligent.</w:t>
      </w:r>
    </w:p>
    <w:p w14:paraId="6951F796" w14:textId="77777777" w:rsidR="002F737F" w:rsidRPr="002F737F" w:rsidRDefault="002F737F" w:rsidP="009E7755">
      <w:pPr>
        <w:spacing w:before="120" w:after="120"/>
        <w:ind w:left="284"/>
        <w:jc w:val="both"/>
        <w:rPr>
          <w:rFonts w:ascii="Century Gothic" w:hAnsi="Century Gothic" w:cstheme="minorHAnsi"/>
        </w:rPr>
      </w:pPr>
      <w:r w:rsidRPr="002F737F">
        <w:rPr>
          <w:rFonts w:ascii="Century Gothic" w:hAnsi="Century Gothic" w:cstheme="minorHAnsi"/>
        </w:rPr>
        <w:t>En pratique, il conviendra de motiver adéquatement et donc concrètement une éventuelle modification, compte tenu de la concession en cause, du fait que la modification est rendue nécessaire par les circonstances actuelles, que la modification envisagée ne modifie pas la nature globale de la concession et que l'augmentation qui en résulte n'est pas supérieure à cinquante pour cent du montant initial de la concession.</w:t>
      </w:r>
    </w:p>
    <w:p w14:paraId="089421FE" w14:textId="77777777" w:rsidR="002F737F" w:rsidRPr="002F737F" w:rsidRDefault="002F737F" w:rsidP="009E7755">
      <w:pPr>
        <w:spacing w:before="120" w:after="120"/>
        <w:ind w:left="284"/>
        <w:jc w:val="both"/>
        <w:rPr>
          <w:rFonts w:ascii="Century Gothic" w:hAnsi="Century Gothic" w:cstheme="minorHAnsi"/>
        </w:rPr>
      </w:pPr>
      <w:r w:rsidRPr="002F737F">
        <w:rPr>
          <w:rFonts w:ascii="Century Gothic" w:hAnsi="Century Gothic" w:cstheme="minorHAnsi"/>
        </w:rPr>
        <w:t>Il est à noter qu’un « avis de modification » devra être publié (sauf s'il s'agit de modifier une concession de travaux dont la valeur estimée est inférieure à 5.350.000 euros).</w:t>
      </w:r>
    </w:p>
    <w:p w14:paraId="35E8C159" w14:textId="77777777" w:rsidR="002F737F" w:rsidRPr="002F737F" w:rsidRDefault="002F737F" w:rsidP="009E7755">
      <w:pPr>
        <w:spacing w:before="120" w:after="120"/>
        <w:ind w:left="284"/>
        <w:jc w:val="both"/>
        <w:rPr>
          <w:rFonts w:ascii="Century Gothic" w:hAnsi="Century Gothic" w:cstheme="minorHAnsi"/>
        </w:rPr>
      </w:pPr>
      <w:r w:rsidRPr="002F737F">
        <w:rPr>
          <w:rFonts w:ascii="Century Gothic" w:hAnsi="Century Gothic" w:cstheme="minorHAnsi"/>
          <w:u w:val="single"/>
        </w:rPr>
        <w:t>Au surplus et à toutes fins utiles</w:t>
      </w:r>
      <w:r w:rsidRPr="002F737F">
        <w:rPr>
          <w:rFonts w:ascii="Century Gothic" w:hAnsi="Century Gothic" w:cstheme="minorHAnsi"/>
        </w:rPr>
        <w:t>, il peut également être utile de rappeler le prescrit des articles 62, 67 et 68 de l’arrêté royal susmentionné.</w:t>
      </w:r>
    </w:p>
    <w:p w14:paraId="3D4E5663" w14:textId="77777777" w:rsidR="002F737F" w:rsidRPr="002F737F" w:rsidRDefault="002F737F" w:rsidP="002F737F">
      <w:pPr>
        <w:numPr>
          <w:ilvl w:val="1"/>
          <w:numId w:val="3"/>
        </w:numPr>
        <w:spacing w:before="120" w:after="120"/>
        <w:jc w:val="both"/>
        <w:rPr>
          <w:rFonts w:ascii="Century Gothic" w:hAnsi="Century Gothic" w:cstheme="minorHAnsi"/>
        </w:rPr>
      </w:pPr>
      <w:r w:rsidRPr="002F737F">
        <w:rPr>
          <w:rFonts w:ascii="Century Gothic" w:hAnsi="Century Gothic" w:cstheme="minorHAnsi"/>
        </w:rPr>
        <w:t>Clause de réexamen (article 62) pour autant qu’elle ait été prévue dans le cahier des charges/contrat initial.</w:t>
      </w:r>
    </w:p>
    <w:p w14:paraId="0154F2C1" w14:textId="77777777" w:rsidR="002F737F" w:rsidRPr="002F737F" w:rsidRDefault="002F737F" w:rsidP="009E7755">
      <w:pPr>
        <w:spacing w:before="120" w:after="120"/>
        <w:ind w:left="792"/>
        <w:jc w:val="both"/>
        <w:rPr>
          <w:rFonts w:ascii="Century Gothic" w:hAnsi="Century Gothic" w:cstheme="minorHAnsi"/>
        </w:rPr>
      </w:pPr>
      <w:r w:rsidRPr="002F737F">
        <w:rPr>
          <w:rFonts w:ascii="Century Gothic" w:hAnsi="Century Gothic" w:cstheme="minorHAnsi"/>
        </w:rPr>
        <w:t>La modification d’une concession en cours d’exécution peut être envisagée dans le cadre d’une clause de réexamen et ce, dans le respect du prescrit de l’article 62 de l’arrêté royal susmentionné.</w:t>
      </w:r>
    </w:p>
    <w:p w14:paraId="32F180F9" w14:textId="77777777" w:rsidR="002F737F" w:rsidRPr="002F737F" w:rsidRDefault="002F737F" w:rsidP="009E7755">
      <w:pPr>
        <w:spacing w:before="120" w:after="120"/>
        <w:ind w:left="792"/>
        <w:jc w:val="both"/>
        <w:rPr>
          <w:rFonts w:ascii="Century Gothic" w:hAnsi="Century Gothic" w:cstheme="minorHAnsi"/>
        </w:rPr>
      </w:pPr>
      <w:r w:rsidRPr="002F737F">
        <w:rPr>
          <w:rFonts w:ascii="Century Gothic" w:hAnsi="Century Gothic" w:cstheme="minorHAnsi"/>
        </w:rPr>
        <w:t>Il est à noter que la clause du cahier des charges/contrat à appliquer doit être claire, précise et sans équivoque et doit indiquer le champ d'application et la nature des modifications possibles ainsi que les conditions dans lesquelles il peut en être fait usage. Par ailleurs, la nature globale de la concession ne doit pas être modifiée par exemple en remplaçant les travaux ou services à exécuter par quelque chose de différent ou en modifiant fondamentalement le type de concession.</w:t>
      </w:r>
    </w:p>
    <w:p w14:paraId="75EDA666" w14:textId="77777777" w:rsidR="002F737F" w:rsidRPr="002F737F" w:rsidRDefault="002F737F" w:rsidP="009E7755">
      <w:pPr>
        <w:spacing w:before="120" w:after="120"/>
        <w:ind w:left="792"/>
        <w:jc w:val="both"/>
        <w:rPr>
          <w:rFonts w:ascii="Century Gothic" w:hAnsi="Century Gothic" w:cstheme="minorHAnsi"/>
        </w:rPr>
      </w:pPr>
      <w:bookmarkStart w:id="5" w:name="_Hlk36626560"/>
      <w:r w:rsidRPr="002F737F">
        <w:rPr>
          <w:rFonts w:ascii="Century Gothic" w:hAnsi="Century Gothic" w:cstheme="minorHAnsi"/>
        </w:rPr>
        <w:lastRenderedPageBreak/>
        <w:t xml:space="preserve">En l’espèce, il convient de s’assurer que la clause telle que rédigée dans le cahier des charges/contrat s’applique </w:t>
      </w:r>
      <w:r w:rsidRPr="009E7755">
        <w:rPr>
          <w:rFonts w:ascii="Century Gothic" w:hAnsi="Century Gothic" w:cstheme="minorHAnsi"/>
        </w:rPr>
        <w:t>concrètement</w:t>
      </w:r>
      <w:r w:rsidRPr="002F737F">
        <w:rPr>
          <w:rFonts w:ascii="Century Gothic" w:hAnsi="Century Gothic" w:cstheme="minorHAnsi"/>
        </w:rPr>
        <w:t xml:space="preserve"> à la situation </w:t>
      </w:r>
      <w:bookmarkStart w:id="6" w:name="_Hlk36538635"/>
      <w:r w:rsidRPr="002F737F">
        <w:rPr>
          <w:rFonts w:ascii="Century Gothic" w:hAnsi="Century Gothic" w:cstheme="minorHAnsi"/>
        </w:rPr>
        <w:t>particulière</w:t>
      </w:r>
      <w:bookmarkEnd w:id="6"/>
      <w:r w:rsidRPr="002F737F">
        <w:rPr>
          <w:rFonts w:ascii="Century Gothic" w:hAnsi="Century Gothic" w:cstheme="minorHAnsi"/>
        </w:rPr>
        <w:t xml:space="preserve"> en cause. En d’autres termes, une clause présentant une portée trop générale </w:t>
      </w:r>
      <w:bookmarkStart w:id="7" w:name="_Hlk36626637"/>
      <w:r w:rsidRPr="002F737F">
        <w:rPr>
          <w:rFonts w:ascii="Century Gothic" w:hAnsi="Century Gothic" w:cstheme="minorHAnsi"/>
        </w:rPr>
        <w:t>peut ne pas être applicable.</w:t>
      </w:r>
      <w:bookmarkEnd w:id="7"/>
    </w:p>
    <w:bookmarkEnd w:id="5"/>
    <w:p w14:paraId="39158982" w14:textId="77777777" w:rsidR="002F737F" w:rsidRPr="002F737F" w:rsidRDefault="002F737F" w:rsidP="002F737F">
      <w:pPr>
        <w:numPr>
          <w:ilvl w:val="1"/>
          <w:numId w:val="3"/>
        </w:numPr>
        <w:spacing w:before="120" w:after="120"/>
        <w:jc w:val="both"/>
        <w:rPr>
          <w:rFonts w:ascii="Century Gothic" w:hAnsi="Century Gothic" w:cstheme="minorHAnsi"/>
        </w:rPr>
      </w:pPr>
      <w:r w:rsidRPr="002F737F">
        <w:rPr>
          <w:rFonts w:ascii="Century Gothic" w:hAnsi="Century Gothic" w:cstheme="minorHAnsi"/>
        </w:rPr>
        <w:t>Règle « de minimis » (article 67)</w:t>
      </w:r>
    </w:p>
    <w:p w14:paraId="0A49186C" w14:textId="77777777" w:rsidR="002F737F" w:rsidRPr="002F737F" w:rsidRDefault="002F737F" w:rsidP="009E7755">
      <w:pPr>
        <w:spacing w:before="120" w:after="120"/>
        <w:ind w:left="792"/>
        <w:jc w:val="both"/>
        <w:rPr>
          <w:rFonts w:ascii="Century Gothic" w:hAnsi="Century Gothic" w:cstheme="minorHAnsi"/>
        </w:rPr>
      </w:pPr>
      <w:r w:rsidRPr="002F737F">
        <w:rPr>
          <w:rFonts w:ascii="Century Gothic" w:hAnsi="Century Gothic" w:cstheme="minorHAnsi"/>
        </w:rPr>
        <w:t>La modification d’une concession en cours d’exécution peut être envisagée dans le respect de l’article 67 de l’arrêté royal susmentionné.</w:t>
      </w:r>
    </w:p>
    <w:p w14:paraId="313A92B2" w14:textId="77777777" w:rsidR="002F737F" w:rsidRPr="002F737F" w:rsidRDefault="002F737F" w:rsidP="009E7755">
      <w:pPr>
        <w:spacing w:before="120" w:after="120"/>
        <w:ind w:left="792"/>
        <w:jc w:val="both"/>
        <w:rPr>
          <w:rFonts w:ascii="Century Gothic" w:hAnsi="Century Gothic" w:cstheme="minorHAnsi"/>
        </w:rPr>
      </w:pPr>
      <w:r w:rsidRPr="002F737F">
        <w:rPr>
          <w:rFonts w:ascii="Century Gothic" w:hAnsi="Century Gothic" w:cstheme="minorHAnsi"/>
        </w:rPr>
        <w:t>Cette hypothèse - qui vise les modifications de valeur financière mineure pour autant qu'elles ne changent pas la nature globale de la concession - ne peut être envisagée que si le montant de la modification est inférieur à 5.350.000 € et à dix pour cent du montant de la concession initiale. Il est à noter que par « modification », cette disposition vise tant une diminution qu’une augmentation de valeur.</w:t>
      </w:r>
    </w:p>
    <w:p w14:paraId="2F1A77A1" w14:textId="77777777" w:rsidR="002F737F" w:rsidRPr="002F737F" w:rsidRDefault="002F737F" w:rsidP="002F737F">
      <w:pPr>
        <w:numPr>
          <w:ilvl w:val="1"/>
          <w:numId w:val="3"/>
        </w:numPr>
        <w:spacing w:before="120" w:after="120"/>
        <w:jc w:val="both"/>
        <w:rPr>
          <w:rFonts w:ascii="Century Gothic" w:hAnsi="Century Gothic" w:cstheme="minorHAnsi"/>
        </w:rPr>
      </w:pPr>
      <w:r w:rsidRPr="002F737F">
        <w:rPr>
          <w:rFonts w:ascii="Century Gothic" w:hAnsi="Century Gothic" w:cstheme="minorHAnsi"/>
        </w:rPr>
        <w:t>Modifications non substantielles (article 68)</w:t>
      </w:r>
    </w:p>
    <w:p w14:paraId="256C2179" w14:textId="77777777" w:rsidR="002F737F" w:rsidRPr="002F737F" w:rsidRDefault="002F737F" w:rsidP="009E7755">
      <w:pPr>
        <w:spacing w:before="120" w:after="120"/>
        <w:ind w:left="792"/>
        <w:jc w:val="both"/>
        <w:rPr>
          <w:rFonts w:ascii="Century Gothic" w:hAnsi="Century Gothic" w:cstheme="minorHAnsi"/>
        </w:rPr>
      </w:pPr>
      <w:r w:rsidRPr="002F737F">
        <w:rPr>
          <w:rFonts w:ascii="Century Gothic" w:hAnsi="Century Gothic" w:cstheme="minorHAnsi"/>
        </w:rPr>
        <w:t>La modification d’une concession en cours d’exécution peut également être envisagée dans le respect de l’article 68 de l’arrêté royal susmentionné si la modification peut être considérée comme non substantielle.</w:t>
      </w:r>
    </w:p>
    <w:p w14:paraId="404CEB76" w14:textId="77777777" w:rsidR="002F737F" w:rsidRPr="002F737F" w:rsidRDefault="002F737F" w:rsidP="009E7755">
      <w:pPr>
        <w:spacing w:before="120" w:after="120"/>
        <w:ind w:left="792"/>
        <w:jc w:val="both"/>
        <w:rPr>
          <w:rFonts w:ascii="Century Gothic" w:hAnsi="Century Gothic" w:cstheme="minorHAnsi"/>
        </w:rPr>
      </w:pPr>
      <w:r w:rsidRPr="002F737F">
        <w:rPr>
          <w:rFonts w:ascii="Century Gothic" w:hAnsi="Century Gothic" w:cstheme="minorHAnsi"/>
        </w:rPr>
        <w:t>En l’occurrence, il conviendra de démontrer que la modification :</w:t>
      </w:r>
    </w:p>
    <w:p w14:paraId="61F1D2CD" w14:textId="77777777" w:rsidR="002F737F" w:rsidRPr="009E7755" w:rsidRDefault="002F737F" w:rsidP="009E7755">
      <w:pPr>
        <w:pStyle w:val="Paragraphedeliste"/>
        <w:numPr>
          <w:ilvl w:val="0"/>
          <w:numId w:val="5"/>
        </w:numPr>
        <w:spacing w:before="120" w:after="120"/>
        <w:jc w:val="both"/>
        <w:rPr>
          <w:rFonts w:ascii="Century Gothic" w:hAnsi="Century Gothic" w:cstheme="minorHAnsi"/>
        </w:rPr>
      </w:pPr>
      <w:proofErr w:type="gramStart"/>
      <w:r w:rsidRPr="009E7755">
        <w:rPr>
          <w:rFonts w:ascii="Century Gothic" w:hAnsi="Century Gothic" w:cstheme="minorHAnsi"/>
        </w:rPr>
        <w:t>n’introduit</w:t>
      </w:r>
      <w:proofErr w:type="gramEnd"/>
      <w:r w:rsidRPr="009E7755">
        <w:rPr>
          <w:rFonts w:ascii="Century Gothic" w:hAnsi="Century Gothic" w:cstheme="minorHAnsi"/>
        </w:rPr>
        <w:t xml:space="preserve"> pas des conditions qui, si elles avaient été incluses dans la procédure de passation initiale, auraient permis l'admission d'autres candidats que ceux retenus initialement ou l'acceptation d'une offre autre que celle initialement acceptée ou auraient attiré davantage de participants à la procédure de passation de la concession ;</w:t>
      </w:r>
    </w:p>
    <w:p w14:paraId="1530E083" w14:textId="77777777" w:rsidR="002F737F" w:rsidRPr="009E7755" w:rsidRDefault="002F737F" w:rsidP="009E7755">
      <w:pPr>
        <w:pStyle w:val="Paragraphedeliste"/>
        <w:numPr>
          <w:ilvl w:val="0"/>
          <w:numId w:val="5"/>
        </w:numPr>
        <w:spacing w:before="120" w:after="120"/>
        <w:jc w:val="both"/>
        <w:rPr>
          <w:rFonts w:ascii="Century Gothic" w:hAnsi="Century Gothic" w:cstheme="minorHAnsi"/>
        </w:rPr>
      </w:pPr>
      <w:proofErr w:type="gramStart"/>
      <w:r w:rsidRPr="009E7755">
        <w:rPr>
          <w:rFonts w:ascii="Century Gothic" w:hAnsi="Century Gothic" w:cstheme="minorHAnsi"/>
        </w:rPr>
        <w:t>ne</w:t>
      </w:r>
      <w:proofErr w:type="gramEnd"/>
      <w:r w:rsidRPr="009E7755">
        <w:rPr>
          <w:rFonts w:ascii="Century Gothic" w:hAnsi="Century Gothic" w:cstheme="minorHAnsi"/>
        </w:rPr>
        <w:t xml:space="preserve"> modifie pas l'équilibre économique de la concession en faveur du concessionnaire d'une manière qui n'était pas prévue dans la concession initiale ;</w:t>
      </w:r>
    </w:p>
    <w:p w14:paraId="0F21B37F" w14:textId="77777777" w:rsidR="002F737F" w:rsidRPr="009E7755" w:rsidRDefault="002F737F" w:rsidP="009E7755">
      <w:pPr>
        <w:pStyle w:val="Paragraphedeliste"/>
        <w:numPr>
          <w:ilvl w:val="0"/>
          <w:numId w:val="5"/>
        </w:numPr>
        <w:spacing w:before="120" w:after="120"/>
        <w:jc w:val="both"/>
        <w:rPr>
          <w:rFonts w:ascii="Century Gothic" w:hAnsi="Century Gothic" w:cstheme="minorHAnsi"/>
        </w:rPr>
      </w:pPr>
      <w:proofErr w:type="gramStart"/>
      <w:r w:rsidRPr="009E7755">
        <w:rPr>
          <w:rFonts w:ascii="Century Gothic" w:hAnsi="Century Gothic" w:cstheme="minorHAnsi"/>
        </w:rPr>
        <w:t>n’élargit</w:t>
      </w:r>
      <w:proofErr w:type="gramEnd"/>
      <w:r w:rsidRPr="009E7755">
        <w:rPr>
          <w:rFonts w:ascii="Century Gothic" w:hAnsi="Century Gothic" w:cstheme="minorHAnsi"/>
        </w:rPr>
        <w:t xml:space="preserve"> pas considérablement le champ d'application de la concession.</w:t>
      </w:r>
    </w:p>
    <w:p w14:paraId="1AEFC191" w14:textId="77777777" w:rsidR="002F737F" w:rsidRPr="002F737F" w:rsidRDefault="002F737F" w:rsidP="009E7755">
      <w:pPr>
        <w:spacing w:before="120" w:after="120"/>
        <w:ind w:left="792"/>
        <w:jc w:val="both"/>
        <w:rPr>
          <w:rFonts w:ascii="Century Gothic" w:hAnsi="Century Gothic" w:cstheme="minorHAnsi"/>
        </w:rPr>
      </w:pPr>
      <w:bookmarkStart w:id="8" w:name="_Hlk36627451"/>
      <w:r w:rsidRPr="002F737F">
        <w:rPr>
          <w:rFonts w:ascii="Century Gothic" w:hAnsi="Century Gothic" w:cstheme="minorHAnsi"/>
        </w:rPr>
        <w:t xml:space="preserve">Le caractère substantiel ou non de la modification envisagée </w:t>
      </w:r>
      <w:r w:rsidRPr="009E7755">
        <w:rPr>
          <w:rFonts w:ascii="Century Gothic" w:hAnsi="Century Gothic" w:cstheme="minorHAnsi"/>
        </w:rPr>
        <w:t>dépend des circonstances spécifiques du cas d’espèce</w:t>
      </w:r>
      <w:r w:rsidRPr="002F737F">
        <w:rPr>
          <w:rFonts w:ascii="Century Gothic" w:hAnsi="Century Gothic" w:cstheme="minorHAnsi"/>
        </w:rPr>
        <w:t xml:space="preserve"> et doit, dès lors, être adéquatement et concrètement motivée. </w:t>
      </w:r>
    </w:p>
    <w:bookmarkEnd w:id="8"/>
    <w:p w14:paraId="7AE19484" w14:textId="77777777" w:rsidR="002F737F" w:rsidRPr="002F737F" w:rsidRDefault="002F737F" w:rsidP="002F737F">
      <w:pPr>
        <w:numPr>
          <w:ilvl w:val="0"/>
          <w:numId w:val="2"/>
        </w:numPr>
        <w:spacing w:before="120" w:after="120"/>
        <w:jc w:val="both"/>
        <w:rPr>
          <w:rFonts w:ascii="Century Gothic" w:hAnsi="Century Gothic" w:cstheme="minorHAnsi"/>
          <w:b/>
          <w:bCs/>
          <w:u w:val="single"/>
        </w:rPr>
      </w:pPr>
      <w:r w:rsidRPr="002F737F">
        <w:rPr>
          <w:rFonts w:ascii="Century Gothic" w:hAnsi="Century Gothic" w:cstheme="minorHAnsi"/>
          <w:b/>
          <w:bCs/>
          <w:u w:val="single"/>
        </w:rPr>
        <w:t>Concessions excluent du champ d’application de la législation spécifique</w:t>
      </w:r>
    </w:p>
    <w:p w14:paraId="3B0B78AD" w14:textId="77777777" w:rsidR="002F737F" w:rsidRPr="002F737F" w:rsidRDefault="002F737F" w:rsidP="009E7755">
      <w:pPr>
        <w:spacing w:before="120" w:after="120"/>
        <w:ind w:left="426"/>
        <w:jc w:val="both"/>
        <w:rPr>
          <w:rFonts w:ascii="Century Gothic" w:hAnsi="Century Gothic" w:cstheme="minorHAnsi"/>
        </w:rPr>
      </w:pPr>
      <w:r w:rsidRPr="002F737F">
        <w:rPr>
          <w:rFonts w:ascii="Century Gothic" w:hAnsi="Century Gothic" w:cstheme="minorHAnsi"/>
        </w:rPr>
        <w:t>L’attribution des concessions excluent du champ d’application de la loi précitée du 17 juin 2016 sont, notamment, régies par les grands principes de droit administratif, la jurisprudence mais également, le cas échéant, le Traité sur le fonctionnement de l’Union européenne.</w:t>
      </w:r>
    </w:p>
    <w:p w14:paraId="42214DE7" w14:textId="77777777" w:rsidR="002F737F" w:rsidRPr="002F737F" w:rsidRDefault="002F737F" w:rsidP="009E7755">
      <w:pPr>
        <w:spacing w:before="120" w:after="120"/>
        <w:ind w:left="426"/>
        <w:jc w:val="both"/>
        <w:rPr>
          <w:rFonts w:ascii="Century Gothic" w:hAnsi="Century Gothic" w:cstheme="minorHAnsi"/>
          <w:lang w:val="fr-FR"/>
        </w:rPr>
      </w:pPr>
      <w:r w:rsidRPr="002F737F">
        <w:rPr>
          <w:rFonts w:ascii="Century Gothic" w:hAnsi="Century Gothic" w:cstheme="minorHAnsi"/>
          <w:lang w:val="fr-FR"/>
        </w:rPr>
        <w:t xml:space="preserve">Aussi, s’il est possible de modifier un contrat de concession de service en cours d’exécution, il importe d’être très prudent. En effet, cette modification doit être adéquatement justifiée pour ne pas être considérée comme un nouveau contrat nécessitant de relancer une procédure d’attribution. </w:t>
      </w:r>
    </w:p>
    <w:p w14:paraId="12B67495" w14:textId="77777777" w:rsidR="002F737F" w:rsidRPr="002F737F" w:rsidRDefault="002F737F" w:rsidP="009E7755">
      <w:pPr>
        <w:spacing w:before="120" w:after="120"/>
        <w:ind w:left="426"/>
        <w:jc w:val="both"/>
        <w:rPr>
          <w:rFonts w:ascii="Century Gothic" w:hAnsi="Century Gothic" w:cstheme="minorHAnsi"/>
        </w:rPr>
      </w:pPr>
      <w:r w:rsidRPr="002F737F">
        <w:rPr>
          <w:rFonts w:ascii="Century Gothic" w:hAnsi="Century Gothic" w:cstheme="minorHAnsi"/>
          <w:lang w:val="fr-FR"/>
        </w:rPr>
        <w:lastRenderedPageBreak/>
        <w:t xml:space="preserve">Une modification pourrait, par exemple, être envisagée </w:t>
      </w:r>
      <w:r w:rsidRPr="002F737F">
        <w:rPr>
          <w:rFonts w:ascii="Century Gothic" w:hAnsi="Century Gothic" w:cstheme="minorHAnsi"/>
        </w:rPr>
        <w:t>en application d’une clause de réexamen claire, précise et sans équivoque prévue dans le cahier des charges ou si elle n’est pas substantielle.</w:t>
      </w:r>
    </w:p>
    <w:p w14:paraId="7CA32D8D" w14:textId="77777777" w:rsidR="002F737F" w:rsidRPr="002F737F" w:rsidRDefault="002F737F" w:rsidP="009E7755">
      <w:pPr>
        <w:spacing w:before="120" w:after="120"/>
        <w:ind w:left="426"/>
        <w:jc w:val="both"/>
        <w:rPr>
          <w:rFonts w:ascii="Century Gothic" w:hAnsi="Century Gothic" w:cstheme="minorHAnsi"/>
        </w:rPr>
      </w:pPr>
      <w:r w:rsidRPr="002F737F">
        <w:rPr>
          <w:rFonts w:ascii="Century Gothic" w:hAnsi="Century Gothic" w:cstheme="minorHAnsi"/>
          <w:lang w:val="fr-FR"/>
        </w:rPr>
        <w:t xml:space="preserve">Par ailleurs, malgré l’absence de législation spécifique, la loi du 17 juin 2016 susmentionnée et ses arrêtés d’exécution </w:t>
      </w:r>
      <w:r w:rsidR="009E7755">
        <w:rPr>
          <w:rFonts w:ascii="Century Gothic" w:hAnsi="Century Gothic" w:cstheme="minorHAnsi"/>
          <w:lang w:val="fr-FR"/>
        </w:rPr>
        <w:t>pourrait, le cas échéant,</w:t>
      </w:r>
      <w:r w:rsidRPr="002F737F">
        <w:rPr>
          <w:rFonts w:ascii="Century Gothic" w:hAnsi="Century Gothic" w:cstheme="minorHAnsi"/>
          <w:lang w:val="fr-FR"/>
        </w:rPr>
        <w:t xml:space="preserve"> fournir un point de comparaison pertinent pour déterminer l’importance de la modification.</w:t>
      </w:r>
    </w:p>
    <w:p w14:paraId="1B17679F" w14:textId="77777777" w:rsidR="002F737F" w:rsidRPr="002F737F" w:rsidRDefault="002F737F" w:rsidP="002F737F">
      <w:pPr>
        <w:spacing w:before="120" w:after="120"/>
        <w:jc w:val="both"/>
        <w:rPr>
          <w:rFonts w:ascii="Century Gothic" w:hAnsi="Century Gothic" w:cstheme="minorHAnsi"/>
        </w:rPr>
      </w:pPr>
      <w:r w:rsidRPr="002F737F">
        <w:rPr>
          <w:rFonts w:ascii="Century Gothic" w:hAnsi="Century Gothic" w:cstheme="minorHAnsi"/>
        </w:rPr>
        <w:t xml:space="preserve">                                               </w:t>
      </w:r>
    </w:p>
    <w:p w14:paraId="6BEEF9BA" w14:textId="77777777" w:rsidR="002F737F" w:rsidRPr="002F737F" w:rsidRDefault="002F737F" w:rsidP="002F737F">
      <w:pPr>
        <w:spacing w:before="120" w:after="120"/>
        <w:jc w:val="both"/>
        <w:rPr>
          <w:rFonts w:ascii="Century Gothic" w:hAnsi="Century Gothic" w:cstheme="minorHAnsi"/>
        </w:rPr>
      </w:pPr>
      <w:bookmarkStart w:id="9" w:name="_Hlk36561498"/>
    </w:p>
    <w:p w14:paraId="49EF52E6" w14:textId="77777777" w:rsidR="002F737F" w:rsidRPr="002F737F" w:rsidRDefault="002F737F" w:rsidP="002F737F">
      <w:pPr>
        <w:spacing w:before="120" w:after="120"/>
        <w:jc w:val="both"/>
        <w:rPr>
          <w:rFonts w:ascii="Century Gothic" w:hAnsi="Century Gothic" w:cstheme="minorHAnsi"/>
        </w:rPr>
      </w:pPr>
      <w:bookmarkStart w:id="10" w:name="_Hlk36628871"/>
      <w:bookmarkEnd w:id="9"/>
      <w:r w:rsidRPr="002F737F">
        <w:rPr>
          <w:rFonts w:ascii="Century Gothic" w:hAnsi="Century Gothic" w:cstheme="minorHAnsi"/>
        </w:rPr>
        <w:t xml:space="preserve">Les hypothèses de modification d’un contrat de concession en cours d’exécution ayant été </w:t>
      </w:r>
      <w:bookmarkStart w:id="11" w:name="_Hlk36480799"/>
      <w:r w:rsidRPr="002F737F">
        <w:rPr>
          <w:rFonts w:ascii="Century Gothic" w:hAnsi="Century Gothic" w:cstheme="minorHAnsi"/>
        </w:rPr>
        <w:t>évoquées</w:t>
      </w:r>
      <w:bookmarkEnd w:id="11"/>
      <w:r w:rsidRPr="002F737F">
        <w:rPr>
          <w:rFonts w:ascii="Century Gothic" w:hAnsi="Century Gothic" w:cstheme="minorHAnsi"/>
        </w:rPr>
        <w:t xml:space="preserve">, il convient d’attirer particulièrement votre attention sur le fait que les situations rencontrées – qui sont diverses et variées – doivent être analysées </w:t>
      </w:r>
      <w:r w:rsidRPr="002F737F">
        <w:rPr>
          <w:rFonts w:ascii="Century Gothic" w:hAnsi="Century Gothic" w:cstheme="minorHAnsi"/>
          <w:u w:val="single"/>
        </w:rPr>
        <w:t>au cas par cas</w:t>
      </w:r>
      <w:r w:rsidRPr="002F737F">
        <w:rPr>
          <w:rFonts w:ascii="Century Gothic" w:hAnsi="Century Gothic" w:cstheme="minorHAnsi"/>
        </w:rPr>
        <w:t xml:space="preserve"> tant en ce qui concerne la modification à apporter au contrat qu’en ce qui concerne les motifs justifiants celle-ci.</w:t>
      </w:r>
    </w:p>
    <w:p w14:paraId="7D4C24FB" w14:textId="77777777" w:rsidR="002F737F" w:rsidRPr="002F737F" w:rsidRDefault="002F737F" w:rsidP="002F737F">
      <w:pPr>
        <w:spacing w:before="120" w:after="120"/>
        <w:jc w:val="both"/>
        <w:rPr>
          <w:rFonts w:ascii="Century Gothic" w:hAnsi="Century Gothic" w:cstheme="minorHAnsi"/>
        </w:rPr>
      </w:pPr>
      <w:r w:rsidRPr="002F737F">
        <w:rPr>
          <w:rFonts w:ascii="Century Gothic" w:hAnsi="Century Gothic" w:cstheme="minorHAnsi"/>
        </w:rPr>
        <w:t>En effet, il est impossible d’appliquer un canevas général à toutes les concessions dans la mesure où doivent, notamment, être prises en compte : les impacts concrets des mesures sanitaires, les particularités de la concession en cause, la continuité du service (le cas échéant, public), les clauses spécifiques du contrat conclu, etc.</w:t>
      </w:r>
    </w:p>
    <w:p w14:paraId="6D33B2CF" w14:textId="77777777" w:rsidR="002F737F" w:rsidRPr="002F737F" w:rsidRDefault="002F737F" w:rsidP="002F737F">
      <w:pPr>
        <w:spacing w:before="120" w:after="120"/>
        <w:jc w:val="both"/>
        <w:rPr>
          <w:rFonts w:ascii="Century Gothic" w:hAnsi="Century Gothic" w:cstheme="minorHAnsi"/>
        </w:rPr>
      </w:pPr>
      <w:bookmarkStart w:id="12" w:name="_Hlk36628510"/>
      <w:r w:rsidRPr="002F737F">
        <w:rPr>
          <w:rFonts w:ascii="Century Gothic" w:hAnsi="Century Gothic" w:cstheme="minorHAnsi"/>
        </w:rPr>
        <w:t>En tout état de cause, les éventuelles modifications devraient être envisagées en concertation avec les concessionnaires concernés. Par ailleurs, les modifications apportées devront être adéquatement motivées au regard des impacts concrets des mesures sanitaires adoptées par le Conseil national de sécurité sur la concession en cause et de la nécessité de rétablir l’équilibre financier du contrat tel qu’il avait été initialement fixé.</w:t>
      </w:r>
      <w:bookmarkEnd w:id="12"/>
    </w:p>
    <w:p w14:paraId="735F9254" w14:textId="77777777" w:rsidR="002F737F" w:rsidRPr="002F737F" w:rsidRDefault="002F737F" w:rsidP="002F737F">
      <w:pPr>
        <w:spacing w:before="120" w:after="120"/>
        <w:jc w:val="both"/>
        <w:rPr>
          <w:rFonts w:ascii="Century Gothic" w:hAnsi="Century Gothic" w:cstheme="minorHAnsi"/>
        </w:rPr>
      </w:pPr>
      <w:bookmarkStart w:id="13" w:name="_Hlk36561473"/>
      <w:r w:rsidRPr="002F737F">
        <w:rPr>
          <w:rFonts w:ascii="Century Gothic" w:hAnsi="Century Gothic" w:cstheme="minorHAnsi"/>
        </w:rPr>
        <w:t>En outre, en ce qui concerne les conséquences des mesures sanitaires actuelles sur l’exécution du contrat conclu, à défaut d’éventuelles dispositions légales ou contractuelles spécifiques, il convient également de se référer au droit commun, notamment les articles 1134, 1147 et 1148 du Code civil (force majeure).</w:t>
      </w:r>
    </w:p>
    <w:p w14:paraId="347D8658" w14:textId="77777777" w:rsidR="002F737F" w:rsidRPr="002F737F" w:rsidRDefault="002F737F" w:rsidP="002F737F">
      <w:pPr>
        <w:spacing w:before="120" w:after="120"/>
        <w:jc w:val="both"/>
        <w:rPr>
          <w:rFonts w:ascii="Century Gothic" w:hAnsi="Century Gothic" w:cstheme="minorHAnsi"/>
          <w:lang w:val="fr-FR"/>
        </w:rPr>
      </w:pPr>
      <w:r w:rsidRPr="002F737F">
        <w:rPr>
          <w:rFonts w:ascii="Century Gothic" w:hAnsi="Century Gothic" w:cstheme="minorHAnsi"/>
          <w:lang w:val="fr-FR"/>
        </w:rPr>
        <w:t xml:space="preserve">A cet égard, </w:t>
      </w:r>
      <w:r w:rsidR="006F6828">
        <w:rPr>
          <w:rFonts w:ascii="Century Gothic" w:hAnsi="Century Gothic" w:cstheme="minorHAnsi"/>
          <w:lang w:val="fr-FR"/>
        </w:rPr>
        <w:t>pour rappel,</w:t>
      </w:r>
      <w:r w:rsidRPr="002F737F">
        <w:rPr>
          <w:rFonts w:ascii="Century Gothic" w:hAnsi="Century Gothic" w:cstheme="minorHAnsi"/>
          <w:lang w:val="fr-FR"/>
        </w:rPr>
        <w:t xml:space="preserve"> les contestations relatives à l’interprétation, l’exécution ou la dissolution des contrats sont relatives à des droits civils lesquels ne peuvent, aux termes de l’article 144 de la Constitution, être tranchées que par les tribunaux ordinaires.</w:t>
      </w:r>
    </w:p>
    <w:p w14:paraId="4E97B21D" w14:textId="77777777" w:rsidR="002F737F" w:rsidRPr="002F737F" w:rsidRDefault="002F737F" w:rsidP="002F737F">
      <w:pPr>
        <w:spacing w:before="120" w:after="120"/>
        <w:jc w:val="both"/>
        <w:rPr>
          <w:rFonts w:ascii="Century Gothic" w:hAnsi="Century Gothic" w:cstheme="minorHAnsi"/>
        </w:rPr>
      </w:pPr>
      <w:r w:rsidRPr="002F737F">
        <w:rPr>
          <w:rFonts w:ascii="Century Gothic" w:hAnsi="Century Gothic" w:cstheme="minorHAnsi"/>
        </w:rPr>
        <w:t>Enfin, si les clauses contractuelles deviennent inexécutables (par exemple, dans le cadre de l’organisation de festivités à une date fixée pendant le confinement, sans possibilité de modification) et que, dès lors, la seule solution est de résilier la concession, il est recommandé d’y procéder par voie amiable conformément aux dispositions du Code civil.</w:t>
      </w:r>
      <w:bookmarkEnd w:id="10"/>
      <w:bookmarkEnd w:id="13"/>
    </w:p>
    <w:p w14:paraId="2C98DBB4" w14:textId="77777777" w:rsidR="002F737F" w:rsidRPr="002F737F" w:rsidRDefault="002F737F" w:rsidP="002F737F">
      <w:pPr>
        <w:spacing w:before="120" w:after="120"/>
        <w:rPr>
          <w:rFonts w:ascii="Arial" w:hAnsi="Arial" w:cs="Arial"/>
        </w:rPr>
      </w:pPr>
    </w:p>
    <w:sectPr w:rsidR="002F737F" w:rsidRPr="002F73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BBCA2" w14:textId="77777777" w:rsidR="00AB0D36" w:rsidRDefault="00AB0D36" w:rsidP="002F737F">
      <w:pPr>
        <w:spacing w:after="0" w:line="240" w:lineRule="auto"/>
      </w:pPr>
      <w:r>
        <w:separator/>
      </w:r>
    </w:p>
  </w:endnote>
  <w:endnote w:type="continuationSeparator" w:id="0">
    <w:p w14:paraId="701D0C27" w14:textId="77777777" w:rsidR="00AB0D36" w:rsidRDefault="00AB0D36" w:rsidP="002F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B031" w14:textId="77777777" w:rsidR="005C1C59" w:rsidRDefault="005C1C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119228"/>
      <w:docPartObj>
        <w:docPartGallery w:val="Page Numbers (Bottom of Page)"/>
        <w:docPartUnique/>
      </w:docPartObj>
    </w:sdtPr>
    <w:sdtEndPr/>
    <w:sdtContent>
      <w:p w14:paraId="541C73F3" w14:textId="77777777" w:rsidR="006F6828" w:rsidRDefault="006F6828">
        <w:pPr>
          <w:pStyle w:val="Pieddepage"/>
          <w:jc w:val="right"/>
        </w:pPr>
        <w:r>
          <w:fldChar w:fldCharType="begin"/>
        </w:r>
        <w:r>
          <w:instrText>PAGE   \* MERGEFORMAT</w:instrText>
        </w:r>
        <w:r>
          <w:fldChar w:fldCharType="separate"/>
        </w:r>
        <w:r>
          <w:rPr>
            <w:lang w:val="fr-FR"/>
          </w:rPr>
          <w:t>2</w:t>
        </w:r>
        <w:r>
          <w:fldChar w:fldCharType="end"/>
        </w:r>
      </w:p>
    </w:sdtContent>
  </w:sdt>
  <w:p w14:paraId="62991F7F" w14:textId="77777777" w:rsidR="006F6828" w:rsidRDefault="006F68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4890" w14:textId="77777777" w:rsidR="005C1C59" w:rsidRDefault="005C1C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6B57E" w14:textId="77777777" w:rsidR="00AB0D36" w:rsidRDefault="00AB0D36" w:rsidP="002F737F">
      <w:pPr>
        <w:spacing w:after="0" w:line="240" w:lineRule="auto"/>
      </w:pPr>
      <w:r>
        <w:separator/>
      </w:r>
    </w:p>
  </w:footnote>
  <w:footnote w:type="continuationSeparator" w:id="0">
    <w:p w14:paraId="672EBBEA" w14:textId="77777777" w:rsidR="00AB0D36" w:rsidRDefault="00AB0D36" w:rsidP="002F7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1921" w14:textId="77777777" w:rsidR="005C1C59" w:rsidRDefault="005C1C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C49C3" w14:textId="77777777" w:rsidR="002F737F" w:rsidRPr="002F737F" w:rsidRDefault="002F737F" w:rsidP="002F737F">
    <w:pPr>
      <w:pStyle w:val="En-tte"/>
      <w:jc w:val="right"/>
      <w:rPr>
        <w:color w:val="808080" w:themeColor="background1" w:themeShade="80"/>
      </w:rPr>
    </w:pPr>
    <w:r w:rsidRPr="002F737F">
      <w:rPr>
        <w:color w:val="808080" w:themeColor="background1" w:themeShade="80"/>
      </w:rPr>
      <w:t>FAQ – Coronavirus (COVID-19)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EFB0" w14:textId="77777777" w:rsidR="005C1C59" w:rsidRDefault="005C1C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53040"/>
    <w:multiLevelType w:val="hybridMultilevel"/>
    <w:tmpl w:val="7A7A1DB0"/>
    <w:lvl w:ilvl="0" w:tplc="D9ECD31C">
      <w:numFmt w:val="bullet"/>
      <w:lvlText w:val="-"/>
      <w:lvlJc w:val="left"/>
      <w:pPr>
        <w:ind w:left="1512" w:hanging="360"/>
      </w:pPr>
      <w:rPr>
        <w:rFonts w:ascii="Calibri" w:eastAsia="Cambria" w:hAnsi="Calibri" w:cs="Calibri"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1" w15:restartNumberingAfterBreak="0">
    <w:nsid w:val="383F0394"/>
    <w:multiLevelType w:val="hybridMultilevel"/>
    <w:tmpl w:val="5636D2EE"/>
    <w:lvl w:ilvl="0" w:tplc="D9ECD31C">
      <w:numFmt w:val="bullet"/>
      <w:lvlText w:val="-"/>
      <w:lvlJc w:val="left"/>
      <w:pPr>
        <w:ind w:left="720" w:hanging="360"/>
      </w:pPr>
      <w:rPr>
        <w:rFonts w:ascii="Calibri" w:eastAsia="Cambr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14E05B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E40F3F"/>
    <w:multiLevelType w:val="multilevel"/>
    <w:tmpl w:val="1EC0EB3E"/>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7F"/>
    <w:rsid w:val="0010225C"/>
    <w:rsid w:val="002F737F"/>
    <w:rsid w:val="0035003B"/>
    <w:rsid w:val="005C1C59"/>
    <w:rsid w:val="00680235"/>
    <w:rsid w:val="0068265A"/>
    <w:rsid w:val="006F6828"/>
    <w:rsid w:val="00880F1F"/>
    <w:rsid w:val="009E7755"/>
    <w:rsid w:val="00AB0D36"/>
    <w:rsid w:val="00C607AF"/>
    <w:rsid w:val="00C741D7"/>
    <w:rsid w:val="00DD34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F8385"/>
  <w15:chartTrackingRefBased/>
  <w15:docId w15:val="{EF102C1C-4E62-4E4D-A1BA-8888BD4C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737F"/>
    <w:pPr>
      <w:tabs>
        <w:tab w:val="center" w:pos="4536"/>
        <w:tab w:val="right" w:pos="9072"/>
      </w:tabs>
      <w:spacing w:after="0" w:line="240" w:lineRule="auto"/>
    </w:pPr>
  </w:style>
  <w:style w:type="character" w:customStyle="1" w:styleId="En-tteCar">
    <w:name w:val="En-tête Car"/>
    <w:basedOn w:val="Policepardfaut"/>
    <w:link w:val="En-tte"/>
    <w:uiPriority w:val="99"/>
    <w:rsid w:val="002F737F"/>
  </w:style>
  <w:style w:type="paragraph" w:styleId="Pieddepage">
    <w:name w:val="footer"/>
    <w:basedOn w:val="Normal"/>
    <w:link w:val="PieddepageCar"/>
    <w:uiPriority w:val="99"/>
    <w:unhideWhenUsed/>
    <w:rsid w:val="002F73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737F"/>
  </w:style>
  <w:style w:type="character" w:styleId="Lienhypertexte">
    <w:name w:val="Hyperlink"/>
    <w:basedOn w:val="Policepardfaut"/>
    <w:uiPriority w:val="99"/>
    <w:semiHidden/>
    <w:unhideWhenUsed/>
    <w:rsid w:val="002F737F"/>
    <w:rPr>
      <w:color w:val="0563C1"/>
      <w:u w:val="single"/>
    </w:rPr>
  </w:style>
  <w:style w:type="paragraph" w:styleId="Notedebasdepage">
    <w:name w:val="footnote text"/>
    <w:basedOn w:val="Normal"/>
    <w:link w:val="NotedebasdepageCar"/>
    <w:uiPriority w:val="99"/>
    <w:semiHidden/>
    <w:unhideWhenUsed/>
    <w:rsid w:val="002F737F"/>
    <w:pPr>
      <w:spacing w:after="0" w:line="240" w:lineRule="auto"/>
    </w:pPr>
    <w:rPr>
      <w:rFonts w:ascii="Cambria" w:hAnsi="Cambria" w:cs="Calibri"/>
      <w:sz w:val="20"/>
      <w:szCs w:val="20"/>
      <w:lang w:val="fr-FR" w:eastAsia="fr-FR"/>
    </w:rPr>
  </w:style>
  <w:style w:type="character" w:customStyle="1" w:styleId="NotedebasdepageCar">
    <w:name w:val="Note de bas de page Car"/>
    <w:basedOn w:val="Policepardfaut"/>
    <w:link w:val="Notedebasdepage"/>
    <w:uiPriority w:val="99"/>
    <w:semiHidden/>
    <w:rsid w:val="002F737F"/>
    <w:rPr>
      <w:rFonts w:ascii="Cambria" w:hAnsi="Cambria" w:cs="Calibri"/>
      <w:sz w:val="20"/>
      <w:szCs w:val="20"/>
      <w:lang w:val="fr-FR" w:eastAsia="fr-FR"/>
    </w:rPr>
  </w:style>
  <w:style w:type="character" w:styleId="Appelnotedebasdep">
    <w:name w:val="footnote reference"/>
    <w:basedOn w:val="Policepardfaut"/>
    <w:uiPriority w:val="99"/>
    <w:semiHidden/>
    <w:unhideWhenUsed/>
    <w:rsid w:val="002F737F"/>
    <w:rPr>
      <w:vertAlign w:val="superscript"/>
    </w:rPr>
  </w:style>
  <w:style w:type="paragraph" w:styleId="Paragraphedeliste">
    <w:name w:val="List Paragraph"/>
    <w:basedOn w:val="Normal"/>
    <w:uiPriority w:val="34"/>
    <w:qFormat/>
    <w:rsid w:val="009E7755"/>
    <w:pPr>
      <w:ind w:left="720"/>
      <w:contextualSpacing/>
    </w:pPr>
  </w:style>
  <w:style w:type="character" w:styleId="Marquedecommentaire">
    <w:name w:val="annotation reference"/>
    <w:basedOn w:val="Policepardfaut"/>
    <w:uiPriority w:val="99"/>
    <w:semiHidden/>
    <w:unhideWhenUsed/>
    <w:rsid w:val="00DD34A8"/>
    <w:rPr>
      <w:sz w:val="16"/>
      <w:szCs w:val="16"/>
    </w:rPr>
  </w:style>
  <w:style w:type="paragraph" w:styleId="Commentaire">
    <w:name w:val="annotation text"/>
    <w:basedOn w:val="Normal"/>
    <w:link w:val="CommentaireCar"/>
    <w:uiPriority w:val="99"/>
    <w:semiHidden/>
    <w:unhideWhenUsed/>
    <w:rsid w:val="00DD34A8"/>
    <w:pPr>
      <w:spacing w:line="240" w:lineRule="auto"/>
    </w:pPr>
    <w:rPr>
      <w:sz w:val="20"/>
      <w:szCs w:val="20"/>
    </w:rPr>
  </w:style>
  <w:style w:type="character" w:customStyle="1" w:styleId="CommentaireCar">
    <w:name w:val="Commentaire Car"/>
    <w:basedOn w:val="Policepardfaut"/>
    <w:link w:val="Commentaire"/>
    <w:uiPriority w:val="99"/>
    <w:semiHidden/>
    <w:rsid w:val="00DD34A8"/>
    <w:rPr>
      <w:sz w:val="20"/>
      <w:szCs w:val="20"/>
    </w:rPr>
  </w:style>
  <w:style w:type="paragraph" w:styleId="Objetducommentaire">
    <w:name w:val="annotation subject"/>
    <w:basedOn w:val="Commentaire"/>
    <w:next w:val="Commentaire"/>
    <w:link w:val="ObjetducommentaireCar"/>
    <w:uiPriority w:val="99"/>
    <w:semiHidden/>
    <w:unhideWhenUsed/>
    <w:rsid w:val="00DD34A8"/>
    <w:rPr>
      <w:b/>
      <w:bCs/>
    </w:rPr>
  </w:style>
  <w:style w:type="character" w:customStyle="1" w:styleId="ObjetducommentaireCar">
    <w:name w:val="Objet du commentaire Car"/>
    <w:basedOn w:val="CommentaireCar"/>
    <w:link w:val="Objetducommentaire"/>
    <w:uiPriority w:val="99"/>
    <w:semiHidden/>
    <w:rsid w:val="00DD34A8"/>
    <w:rPr>
      <w:b/>
      <w:bCs/>
      <w:sz w:val="20"/>
      <w:szCs w:val="20"/>
    </w:rPr>
  </w:style>
  <w:style w:type="paragraph" w:styleId="Textedebulles">
    <w:name w:val="Balloon Text"/>
    <w:basedOn w:val="Normal"/>
    <w:link w:val="TextedebullesCar"/>
    <w:uiPriority w:val="99"/>
    <w:semiHidden/>
    <w:unhideWhenUsed/>
    <w:rsid w:val="00DD34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3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195826">
      <w:bodyDiv w:val="1"/>
      <w:marLeft w:val="0"/>
      <w:marRight w:val="0"/>
      <w:marTop w:val="0"/>
      <w:marBottom w:val="0"/>
      <w:divBdr>
        <w:top w:val="none" w:sz="0" w:space="0" w:color="auto"/>
        <w:left w:val="none" w:sz="0" w:space="0" w:color="auto"/>
        <w:bottom w:val="none" w:sz="0" w:space="0" w:color="auto"/>
        <w:right w:val="none" w:sz="0" w:space="0" w:color="auto"/>
      </w:divBdr>
    </w:div>
    <w:div w:id="178063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1882</Words>
  <Characters>10354</Characters>
  <Application>Microsoft Office Word</Application>
  <DocSecurity>4</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LEDOUX Aurélie</dc:creator>
  <cp:keywords/>
  <dc:description/>
  <cp:lastModifiedBy>LEDOUX Aurélie</cp:lastModifiedBy>
  <cp:revision>2</cp:revision>
  <dcterms:created xsi:type="dcterms:W3CDTF">2020-04-06T07:30:00Z</dcterms:created>
  <dcterms:modified xsi:type="dcterms:W3CDTF">2020-04-06T07:30:00Z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aurelie.ledoux@spw.wallonie.be</vt:lpwstr>
  </property>
  <property fmtid="{D5CDD505-2E9C-101B-9397-08002B2CF9AE}" pid="5" name="MSIP_Label_e72a09c5-6e26-4737-a926-47ef1ab198ae_SetDate">
    <vt:lpwstr>2020-04-03T14:53:14.2750385Z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0ae8febf-3d5e-4395-aed2-43e5d82c06b6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