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7970" w14:textId="2B1B783E" w:rsidR="00C741D7" w:rsidRDefault="008627AD" w:rsidP="002852BB">
      <w:pPr>
        <w:jc w:val="center"/>
        <w:rPr>
          <w:rFonts w:ascii="Arial" w:hAnsi="Arial" w:cs="Arial"/>
          <w:b/>
          <w:sz w:val="24"/>
          <w:szCs w:val="24"/>
        </w:rPr>
      </w:pPr>
      <w:r w:rsidRPr="00F1106E">
        <w:rPr>
          <w:rFonts w:ascii="Arial" w:hAnsi="Arial" w:cs="Arial"/>
          <w:b/>
          <w:sz w:val="24"/>
          <w:szCs w:val="24"/>
        </w:rPr>
        <w:t xml:space="preserve">FAQ – </w:t>
      </w:r>
      <w:r w:rsidR="002852BB" w:rsidRPr="00F1106E">
        <w:rPr>
          <w:rFonts w:ascii="Arial" w:hAnsi="Arial" w:cs="Arial"/>
          <w:b/>
          <w:sz w:val="24"/>
          <w:szCs w:val="24"/>
        </w:rPr>
        <w:t xml:space="preserve">Compensation fiscale aux communes et provinces wallonnes – </w:t>
      </w:r>
      <w:r w:rsidRPr="00F1106E">
        <w:rPr>
          <w:rFonts w:ascii="Arial" w:hAnsi="Arial" w:cs="Arial"/>
          <w:b/>
          <w:sz w:val="24"/>
          <w:szCs w:val="24"/>
        </w:rPr>
        <w:t>COVID19</w:t>
      </w:r>
    </w:p>
    <w:p w14:paraId="57E0A429" w14:textId="7E8CE8D9" w:rsidR="00CE5644" w:rsidRPr="00F1106E" w:rsidRDefault="00CE5644" w:rsidP="002852BB">
      <w:pPr>
        <w:jc w:val="center"/>
        <w:rPr>
          <w:rFonts w:ascii="Arial" w:hAnsi="Arial" w:cs="Arial"/>
          <w:b/>
          <w:sz w:val="24"/>
          <w:szCs w:val="24"/>
        </w:rPr>
      </w:pPr>
      <w:r>
        <w:rPr>
          <w:rFonts w:ascii="Arial" w:hAnsi="Arial" w:cs="Arial"/>
          <w:b/>
          <w:sz w:val="24"/>
          <w:szCs w:val="24"/>
        </w:rPr>
        <w:t>Circulaire du 4 décembre 2020</w:t>
      </w:r>
    </w:p>
    <w:p w14:paraId="2545A620" w14:textId="2F990FA7" w:rsidR="00E3328D" w:rsidRPr="00F1106E" w:rsidRDefault="00E3328D" w:rsidP="000A018A">
      <w:pPr>
        <w:rPr>
          <w:rFonts w:ascii="Arial" w:hAnsi="Arial" w:cs="Arial"/>
          <w:b/>
          <w:sz w:val="24"/>
          <w:szCs w:val="24"/>
        </w:rPr>
      </w:pPr>
    </w:p>
    <w:p w14:paraId="1DFA3BD5" w14:textId="4EA138F1" w:rsidR="000A018A" w:rsidRDefault="00EB597E" w:rsidP="00741FDD">
      <w:pPr>
        <w:pStyle w:val="Paragraphedeliste"/>
        <w:numPr>
          <w:ilvl w:val="0"/>
          <w:numId w:val="2"/>
        </w:numPr>
        <w:ind w:left="1077"/>
        <w:contextualSpacing w:val="0"/>
        <w:rPr>
          <w:rFonts w:ascii="Arial" w:hAnsi="Arial" w:cs="Arial"/>
          <w:b/>
          <w:szCs w:val="24"/>
          <w:u w:val="single"/>
        </w:rPr>
      </w:pPr>
      <w:r w:rsidRPr="00F1106E">
        <w:rPr>
          <w:rFonts w:ascii="Arial" w:hAnsi="Arial" w:cs="Arial"/>
          <w:b/>
          <w:szCs w:val="24"/>
          <w:u w:val="single"/>
        </w:rPr>
        <w:t xml:space="preserve">Compensation </w:t>
      </w:r>
    </w:p>
    <w:p w14:paraId="1A12602D" w14:textId="77777777" w:rsidR="00741FDD" w:rsidRPr="00F1106E" w:rsidRDefault="00741FDD" w:rsidP="00741FDD">
      <w:pPr>
        <w:pStyle w:val="Paragraphedeliste"/>
        <w:ind w:left="1077"/>
        <w:contextualSpacing w:val="0"/>
        <w:rPr>
          <w:rFonts w:ascii="Arial" w:hAnsi="Arial" w:cs="Arial"/>
          <w:b/>
          <w:szCs w:val="24"/>
          <w:u w:val="single"/>
        </w:rPr>
      </w:pPr>
    </w:p>
    <w:p w14:paraId="0F60D094" w14:textId="7572ECCF" w:rsidR="0020509D" w:rsidRPr="001B2452" w:rsidRDefault="0020509D" w:rsidP="00741FDD">
      <w:pPr>
        <w:pStyle w:val="Paragraphedeliste"/>
        <w:numPr>
          <w:ilvl w:val="0"/>
          <w:numId w:val="1"/>
        </w:numPr>
        <w:spacing w:before="480" w:after="0" w:line="240" w:lineRule="auto"/>
        <w:ind w:left="357" w:hanging="357"/>
        <w:contextualSpacing w:val="0"/>
        <w:rPr>
          <w:rFonts w:ascii="Arial" w:eastAsia="Times New Roman" w:hAnsi="Arial" w:cs="Arial"/>
          <w:u w:val="single"/>
          <w:lang w:eastAsia="fr-BE"/>
        </w:rPr>
      </w:pPr>
      <w:r w:rsidRPr="001B2452">
        <w:rPr>
          <w:rFonts w:ascii="Arial" w:eastAsia="Times New Roman" w:hAnsi="Arial" w:cs="Arial"/>
          <w:u w:val="single"/>
          <w:lang w:eastAsia="fr-BE"/>
        </w:rPr>
        <w:t xml:space="preserve">À quel article budgétaire la compensation doit-elle </w:t>
      </w:r>
      <w:r w:rsidR="00632E90" w:rsidRPr="001B2452">
        <w:rPr>
          <w:rFonts w:ascii="Arial" w:eastAsia="Times New Roman" w:hAnsi="Arial" w:cs="Arial"/>
          <w:u w:val="single"/>
          <w:lang w:eastAsia="fr-BE"/>
        </w:rPr>
        <w:t xml:space="preserve">être </w:t>
      </w:r>
      <w:r w:rsidRPr="001B2452">
        <w:rPr>
          <w:rFonts w:ascii="Arial" w:eastAsia="Times New Roman" w:hAnsi="Arial" w:cs="Arial"/>
          <w:u w:val="single"/>
          <w:lang w:eastAsia="fr-BE"/>
        </w:rPr>
        <w:t xml:space="preserve">inscrite ? </w:t>
      </w:r>
    </w:p>
    <w:p w14:paraId="077FC7DC" w14:textId="4C230515" w:rsidR="0020509D" w:rsidRPr="001B2452" w:rsidRDefault="0020509D" w:rsidP="0020509D">
      <w:pPr>
        <w:spacing w:after="0" w:line="240" w:lineRule="auto"/>
        <w:rPr>
          <w:rFonts w:ascii="Arial" w:eastAsia="Times New Roman" w:hAnsi="Arial" w:cs="Arial"/>
          <w:lang w:eastAsia="fr-BE"/>
        </w:rPr>
      </w:pPr>
    </w:p>
    <w:p w14:paraId="7686DF60" w14:textId="05D28131" w:rsidR="0020509D" w:rsidRPr="001B2452" w:rsidRDefault="0020509D" w:rsidP="00310351">
      <w:pPr>
        <w:spacing w:after="0" w:line="240" w:lineRule="auto"/>
        <w:ind w:left="360"/>
        <w:rPr>
          <w:rFonts w:ascii="Arial" w:eastAsia="Times New Roman" w:hAnsi="Arial" w:cs="Arial"/>
          <w:i/>
          <w:lang w:eastAsia="fr-BE"/>
        </w:rPr>
      </w:pPr>
      <w:r w:rsidRPr="001B2452">
        <w:rPr>
          <w:rFonts w:ascii="Arial" w:eastAsia="Times New Roman" w:hAnsi="Arial" w:cs="Arial"/>
          <w:lang w:eastAsia="fr-BE"/>
        </w:rPr>
        <w:t>Il s’agit de l’article budgétaire « </w:t>
      </w:r>
      <w:r w:rsidRPr="001B2452">
        <w:rPr>
          <w:rFonts w:ascii="Arial" w:eastAsia="Times New Roman" w:hAnsi="Arial" w:cs="Arial"/>
          <w:i/>
          <w:lang w:eastAsia="fr-BE"/>
        </w:rPr>
        <w:t>04050/465-48 compensation fisc covid19 ».</w:t>
      </w:r>
    </w:p>
    <w:p w14:paraId="46D4179B" w14:textId="03C5DF66" w:rsidR="00E4260B" w:rsidRDefault="00712C94" w:rsidP="00E4260B">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r w:rsidRPr="001B2452">
        <w:rPr>
          <w:rFonts w:ascii="Arial" w:eastAsia="Times New Roman" w:hAnsi="Arial" w:cs="Arial"/>
          <w:u w:val="single"/>
          <w:lang w:eastAsia="fr-BE"/>
        </w:rPr>
        <w:t>Quand peut-on prendre l</w:t>
      </w:r>
      <w:r w:rsidR="00C447A8" w:rsidRPr="001B2452">
        <w:rPr>
          <w:rFonts w:ascii="Arial" w:eastAsia="Times New Roman" w:hAnsi="Arial" w:cs="Arial"/>
          <w:u w:val="single"/>
          <w:lang w:eastAsia="fr-BE"/>
        </w:rPr>
        <w:t>e</w:t>
      </w:r>
      <w:r w:rsidRPr="001B2452">
        <w:rPr>
          <w:rFonts w:ascii="Arial" w:eastAsia="Times New Roman" w:hAnsi="Arial" w:cs="Arial"/>
          <w:u w:val="single"/>
          <w:lang w:eastAsia="fr-BE"/>
        </w:rPr>
        <w:t>s mesures d’allègement fiscal</w:t>
      </w:r>
      <w:r w:rsidR="00F83147" w:rsidRPr="001B2452">
        <w:rPr>
          <w:rFonts w:ascii="Arial" w:eastAsia="Times New Roman" w:hAnsi="Arial" w:cs="Arial"/>
          <w:u w:val="single"/>
          <w:lang w:eastAsia="fr-BE"/>
        </w:rPr>
        <w:t xml:space="preserve"> </w:t>
      </w:r>
      <w:r w:rsidRPr="001B2452">
        <w:rPr>
          <w:rFonts w:ascii="Arial" w:eastAsia="Times New Roman" w:hAnsi="Arial" w:cs="Arial"/>
          <w:u w:val="single"/>
          <w:lang w:eastAsia="fr-BE"/>
        </w:rPr>
        <w:t xml:space="preserve">(suppression de la/les taxes et/ou </w:t>
      </w:r>
      <w:r>
        <w:rPr>
          <w:rFonts w:ascii="Arial" w:eastAsia="Times New Roman" w:hAnsi="Arial" w:cs="Arial"/>
          <w:color w:val="000000"/>
          <w:u w:val="single"/>
          <w:lang w:eastAsia="fr-BE"/>
        </w:rPr>
        <w:t xml:space="preserve">redevances citées </w:t>
      </w:r>
      <w:r w:rsidR="00C447A8" w:rsidRPr="00741FDD">
        <w:rPr>
          <w:rFonts w:ascii="Arial" w:eastAsia="Times New Roman" w:hAnsi="Arial" w:cs="Arial"/>
          <w:color w:val="000000"/>
          <w:u w:val="single"/>
          <w:lang w:eastAsia="fr-BE"/>
        </w:rPr>
        <w:t>?</w:t>
      </w:r>
    </w:p>
    <w:p w14:paraId="377CA5E0" w14:textId="7E8E454D" w:rsidR="00741FDD" w:rsidRDefault="00712C94" w:rsidP="00712C94">
      <w:pPr>
        <w:pStyle w:val="Paragraphedeliste"/>
        <w:spacing w:before="240" w:after="240" w:line="240" w:lineRule="auto"/>
        <w:ind w:left="357"/>
        <w:contextualSpacing w:val="0"/>
        <w:jc w:val="both"/>
        <w:rPr>
          <w:rFonts w:ascii="Arial" w:hAnsi="Arial" w:cs="Arial"/>
        </w:rPr>
      </w:pPr>
      <w:r w:rsidRPr="00712C94">
        <w:rPr>
          <w:rFonts w:ascii="Arial" w:eastAsia="Times New Roman" w:hAnsi="Arial" w:cs="Arial"/>
          <w:color w:val="000000"/>
          <w:lang w:eastAsia="fr-BE"/>
        </w:rPr>
        <w:t xml:space="preserve">Les mesures d’allègement fiscal peuvent être prises si le règlement-taxe existait en </w:t>
      </w:r>
      <w:proofErr w:type="gramStart"/>
      <w:r w:rsidRPr="00712C94">
        <w:rPr>
          <w:rFonts w:ascii="Arial" w:eastAsia="Times New Roman" w:hAnsi="Arial" w:cs="Arial"/>
          <w:color w:val="000000"/>
          <w:lang w:eastAsia="fr-BE"/>
        </w:rPr>
        <w:t>2020  ou</w:t>
      </w:r>
      <w:proofErr w:type="gramEnd"/>
      <w:r w:rsidRPr="00712C94">
        <w:rPr>
          <w:rFonts w:ascii="Arial" w:eastAsia="Times New Roman" w:hAnsi="Arial" w:cs="Arial"/>
          <w:color w:val="000000"/>
          <w:lang w:eastAsia="fr-BE"/>
        </w:rPr>
        <w:t xml:space="preserve"> si le règlement-taxe visant l’exercice 2021 (cela vaut donc pour les règlements 2020-2025) avait été voté avant le 15/11/2020</w:t>
      </w:r>
      <w:r>
        <w:rPr>
          <w:rFonts w:ascii="Arial" w:eastAsia="Times New Roman" w:hAnsi="Arial" w:cs="Arial"/>
          <w:color w:val="000000"/>
          <w:lang w:eastAsia="fr-BE"/>
        </w:rPr>
        <w:t>.</w:t>
      </w:r>
    </w:p>
    <w:p w14:paraId="465E9F73" w14:textId="4A995DEA" w:rsidR="004448FB" w:rsidRDefault="00712C94" w:rsidP="00C019E7">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bookmarkStart w:id="0" w:name="_Hlk58589931"/>
      <w:bookmarkStart w:id="1" w:name="_Hlk58589969"/>
      <w:r>
        <w:rPr>
          <w:rFonts w:ascii="Arial" w:eastAsia="Times New Roman" w:hAnsi="Arial" w:cs="Arial"/>
          <w:u w:val="single"/>
          <w:lang w:eastAsia="fr-BE"/>
        </w:rPr>
        <w:t xml:space="preserve">Ma commune avait déjà adopté des </w:t>
      </w:r>
      <w:r w:rsidRPr="00712C94">
        <w:rPr>
          <w:rFonts w:ascii="Arial" w:eastAsia="Times New Roman" w:hAnsi="Arial" w:cs="Arial"/>
          <w:u w:val="single"/>
          <w:lang w:eastAsia="fr-BE"/>
        </w:rPr>
        <w:t>mesures d’allègement fiscal pour 2020 peuvent</w:t>
      </w:r>
      <w:r>
        <w:rPr>
          <w:rFonts w:ascii="Arial" w:eastAsia="Times New Roman" w:hAnsi="Arial" w:cs="Arial"/>
          <w:u w:val="single"/>
          <w:lang w:eastAsia="fr-BE"/>
        </w:rPr>
        <w:t>-elles</w:t>
      </w:r>
      <w:r w:rsidRPr="00712C94">
        <w:rPr>
          <w:rFonts w:ascii="Arial" w:eastAsia="Times New Roman" w:hAnsi="Arial" w:cs="Arial"/>
          <w:u w:val="single"/>
          <w:lang w:eastAsia="fr-BE"/>
        </w:rPr>
        <w:t xml:space="preserve"> </w:t>
      </w:r>
      <w:bookmarkEnd w:id="0"/>
      <w:r w:rsidRPr="00712C94">
        <w:rPr>
          <w:rFonts w:ascii="Arial" w:eastAsia="Times New Roman" w:hAnsi="Arial" w:cs="Arial"/>
          <w:u w:val="single"/>
          <w:lang w:eastAsia="fr-BE"/>
        </w:rPr>
        <w:t>être reconduites en 2021</w:t>
      </w:r>
      <w:r w:rsidR="00310351" w:rsidRPr="00371B43">
        <w:rPr>
          <w:rFonts w:ascii="Arial" w:eastAsia="Times New Roman" w:hAnsi="Arial" w:cs="Arial"/>
          <w:u w:val="single"/>
          <w:lang w:eastAsia="fr-BE"/>
        </w:rPr>
        <w:t xml:space="preserve"> ? </w:t>
      </w:r>
    </w:p>
    <w:bookmarkEnd w:id="1"/>
    <w:p w14:paraId="5860128F" w14:textId="77777777" w:rsidR="00712C94" w:rsidRDefault="00712C94" w:rsidP="00712C94">
      <w:pPr>
        <w:pStyle w:val="Paragraphedeliste"/>
        <w:spacing w:before="240" w:after="0" w:line="240" w:lineRule="auto"/>
        <w:ind w:left="360"/>
        <w:contextualSpacing w:val="0"/>
        <w:jc w:val="both"/>
        <w:rPr>
          <w:rFonts w:ascii="Arial" w:eastAsia="Times New Roman" w:hAnsi="Arial" w:cs="Arial"/>
          <w:lang w:eastAsia="fr-BE"/>
        </w:rPr>
      </w:pPr>
      <w:r w:rsidRPr="00712C94">
        <w:rPr>
          <w:rFonts w:ascii="Arial" w:eastAsia="Times New Roman" w:hAnsi="Arial" w:cs="Arial"/>
          <w:lang w:eastAsia="fr-BE"/>
        </w:rPr>
        <w:t>Oui, mais elles ne seront compensées que si et uniquement si elles entrent dans le champ d’application de la circulaire et ce, même si elles sont revotées après le 15/11/2020.</w:t>
      </w:r>
    </w:p>
    <w:p w14:paraId="6AFA61FF" w14:textId="2B011653" w:rsidR="00712C94" w:rsidRDefault="00712C94" w:rsidP="00712C94">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r>
        <w:rPr>
          <w:rFonts w:ascii="Arial" w:eastAsia="Times New Roman" w:hAnsi="Arial" w:cs="Arial"/>
          <w:u w:val="single"/>
          <w:lang w:eastAsia="fr-BE"/>
        </w:rPr>
        <w:t xml:space="preserve">Ma commune avait déjà adopté des </w:t>
      </w:r>
      <w:r w:rsidRPr="00712C94">
        <w:rPr>
          <w:rFonts w:ascii="Arial" w:eastAsia="Times New Roman" w:hAnsi="Arial" w:cs="Arial"/>
          <w:u w:val="single"/>
          <w:lang w:eastAsia="fr-BE"/>
        </w:rPr>
        <w:t xml:space="preserve">mesures d’allègement fiscal pour 2020 </w:t>
      </w:r>
      <w:r>
        <w:rPr>
          <w:rFonts w:ascii="Arial" w:eastAsia="Times New Roman" w:hAnsi="Arial" w:cs="Arial"/>
          <w:u w:val="single"/>
          <w:lang w:eastAsia="fr-BE"/>
        </w:rPr>
        <w:t xml:space="preserve">avant l’adoption de la circulaire du 4 décembre 2020. Pourra-t-elle recevoir la </w:t>
      </w:r>
      <w:r w:rsidR="00BA3EC6">
        <w:rPr>
          <w:rFonts w:ascii="Arial" w:eastAsia="Times New Roman" w:hAnsi="Arial" w:cs="Arial"/>
          <w:u w:val="single"/>
          <w:lang w:eastAsia="fr-BE"/>
        </w:rPr>
        <w:t>compensation</w:t>
      </w:r>
      <w:r w:rsidR="00BA3EC6" w:rsidRPr="00371B43">
        <w:rPr>
          <w:rFonts w:ascii="Arial" w:eastAsia="Times New Roman" w:hAnsi="Arial" w:cs="Arial"/>
          <w:u w:val="single"/>
          <w:lang w:eastAsia="fr-BE"/>
        </w:rPr>
        <w:t xml:space="preserve"> ?</w:t>
      </w:r>
      <w:r w:rsidRPr="00371B43">
        <w:rPr>
          <w:rFonts w:ascii="Arial" w:eastAsia="Times New Roman" w:hAnsi="Arial" w:cs="Arial"/>
          <w:u w:val="single"/>
          <w:lang w:eastAsia="fr-BE"/>
        </w:rPr>
        <w:t xml:space="preserve"> </w:t>
      </w:r>
    </w:p>
    <w:p w14:paraId="662A7040" w14:textId="17853D85" w:rsidR="00712C94" w:rsidRPr="00BA3EC6" w:rsidRDefault="00712C94" w:rsidP="00712C94">
      <w:pPr>
        <w:spacing w:before="240" w:after="0" w:line="240" w:lineRule="auto"/>
        <w:ind w:left="357"/>
        <w:jc w:val="both"/>
        <w:rPr>
          <w:rFonts w:ascii="Arial" w:eastAsia="Times New Roman" w:hAnsi="Arial" w:cs="Arial"/>
          <w:lang w:eastAsia="fr-BE"/>
        </w:rPr>
      </w:pPr>
      <w:r w:rsidRPr="00BA3EC6">
        <w:rPr>
          <w:rFonts w:ascii="Arial" w:eastAsia="Times New Roman" w:hAnsi="Arial" w:cs="Arial"/>
          <w:lang w:eastAsia="fr-BE"/>
        </w:rPr>
        <w:t>Oui</w:t>
      </w:r>
      <w:r w:rsidR="00BA3EC6" w:rsidRPr="00BA3EC6">
        <w:rPr>
          <w:rFonts w:ascii="Arial" w:eastAsia="Times New Roman" w:hAnsi="Arial" w:cs="Arial"/>
          <w:lang w:eastAsia="fr-BE"/>
        </w:rPr>
        <w:t>, mais il faudra quand même</w:t>
      </w:r>
      <w:r w:rsidR="00BA3EC6" w:rsidRPr="00BA3EC6">
        <w:rPr>
          <w:rFonts w:ascii="Arial" w:hAnsi="Arial" w:cs="Arial"/>
        </w:rPr>
        <w:t xml:space="preserve"> </w:t>
      </w:r>
      <w:r w:rsidR="00BA3EC6" w:rsidRPr="00BA3EC6">
        <w:rPr>
          <w:rFonts w:ascii="Arial" w:eastAsia="Times New Roman" w:hAnsi="Arial" w:cs="Arial"/>
          <w:lang w:eastAsia="fr-BE"/>
        </w:rPr>
        <w:t xml:space="preserve">transmettre par mail à </w:t>
      </w:r>
      <w:hyperlink r:id="rId7" w:history="1">
        <w:r w:rsidR="00BA3EC6" w:rsidRPr="00BA3EC6">
          <w:rPr>
            <w:rStyle w:val="Lienhypertexte"/>
            <w:rFonts w:ascii="Arial" w:eastAsia="Calibri" w:hAnsi="Arial" w:cs="Arial"/>
          </w:rPr>
          <w:t>ressfin.dgo5@spw.wallonie.be</w:t>
        </w:r>
      </w:hyperlink>
      <w:r w:rsidR="00BA3EC6">
        <w:rPr>
          <w:rFonts w:ascii="Century Gothic" w:eastAsia="Calibri" w:hAnsi="Century Gothic" w:cs="Times New Roman"/>
        </w:rPr>
        <w:t xml:space="preserve"> </w:t>
      </w:r>
      <w:r w:rsidR="00BA3EC6" w:rsidRPr="00BA3EC6">
        <w:rPr>
          <w:rFonts w:ascii="Arial" w:eastAsia="Times New Roman" w:hAnsi="Arial" w:cs="Arial"/>
          <w:lang w:eastAsia="fr-BE"/>
        </w:rPr>
        <w:t>le dossier complet (la délibé</w:t>
      </w:r>
      <w:r w:rsidR="001B2452">
        <w:rPr>
          <w:rFonts w:ascii="Arial" w:eastAsia="Times New Roman" w:hAnsi="Arial" w:cs="Arial"/>
          <w:lang w:eastAsia="fr-BE"/>
        </w:rPr>
        <w:t>ration</w:t>
      </w:r>
      <w:r w:rsidR="00BA3EC6" w:rsidRPr="00BA3EC6">
        <w:rPr>
          <w:rFonts w:ascii="Arial" w:eastAsia="Times New Roman" w:hAnsi="Arial" w:cs="Arial"/>
          <w:lang w:eastAsia="fr-BE"/>
        </w:rPr>
        <w:t xml:space="preserve"> qui aura déjà été approuvée et l’annexe</w:t>
      </w:r>
      <w:r w:rsidR="00BA3EC6">
        <w:rPr>
          <w:rFonts w:ascii="Arial" w:eastAsia="Times New Roman" w:hAnsi="Arial" w:cs="Arial"/>
          <w:lang w:eastAsia="fr-BE"/>
        </w:rPr>
        <w:t>).</w:t>
      </w:r>
    </w:p>
    <w:p w14:paraId="0540CE5A" w14:textId="5016805A" w:rsidR="00712C94" w:rsidRDefault="00814797" w:rsidP="00C019E7">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r>
        <w:rPr>
          <w:rFonts w:ascii="Arial" w:eastAsia="Times New Roman" w:hAnsi="Arial" w:cs="Arial"/>
          <w:u w:val="single"/>
          <w:lang w:eastAsia="fr-BE"/>
        </w:rPr>
        <w:t>Quel sera le montant de la compensation ?</w:t>
      </w:r>
    </w:p>
    <w:p w14:paraId="0A46DEEE" w14:textId="7D0B811E" w:rsidR="00814797" w:rsidRPr="00814797" w:rsidRDefault="00814797" w:rsidP="00814797">
      <w:pPr>
        <w:spacing w:before="240" w:after="0" w:line="240" w:lineRule="auto"/>
        <w:ind w:left="357"/>
        <w:jc w:val="both"/>
        <w:rPr>
          <w:rFonts w:ascii="Arial" w:eastAsia="Times New Roman" w:hAnsi="Arial" w:cs="Arial"/>
          <w:lang w:eastAsia="fr-BE"/>
        </w:rPr>
      </w:pPr>
      <w:r w:rsidRPr="00814797">
        <w:rPr>
          <w:rFonts w:ascii="Arial" w:eastAsia="Times New Roman" w:hAnsi="Arial" w:cs="Arial"/>
          <w:lang w:eastAsia="fr-BE"/>
        </w:rPr>
        <w:t xml:space="preserve">Comme l’annexe </w:t>
      </w:r>
      <w:r>
        <w:rPr>
          <w:rFonts w:ascii="Arial" w:eastAsia="Times New Roman" w:hAnsi="Arial" w:cs="Arial"/>
          <w:lang w:eastAsia="fr-BE"/>
        </w:rPr>
        <w:t xml:space="preserve">(selon le modèle établi et transmis avec la circulaire du 4 décembre 2020) prévoit que la commune doit renseigner le </w:t>
      </w:r>
      <w:r w:rsidRPr="00814797">
        <w:rPr>
          <w:rFonts w:ascii="Arial" w:eastAsia="Times New Roman" w:hAnsi="Arial" w:cs="Arial"/>
          <w:lang w:eastAsia="fr-BE"/>
        </w:rPr>
        <w:t>détail du calcul du coût par mesure prise</w:t>
      </w:r>
      <w:r>
        <w:rPr>
          <w:rFonts w:ascii="Arial" w:eastAsia="Times New Roman" w:hAnsi="Arial" w:cs="Arial"/>
          <w:lang w:eastAsia="fr-BE"/>
        </w:rPr>
        <w:t xml:space="preserve"> et que la commune a l’obligation de transmettre cette annexe à l’appui de sa/ses délibération(s) d’allègement fiscal, le montant des pertes sera connu et c’est ce montant, s’il s’avère justifié au regard des conditions de ladite circulaire, qui sera compensé.  </w:t>
      </w:r>
    </w:p>
    <w:p w14:paraId="445370AD" w14:textId="75ADF4A9" w:rsidR="00814797" w:rsidRPr="00796822" w:rsidRDefault="00796822" w:rsidP="00C019E7">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r>
        <w:rPr>
          <w:rFonts w:ascii="Arial" w:eastAsia="Times New Roman" w:hAnsi="Arial" w:cs="Arial"/>
          <w:u w:val="single"/>
          <w:lang w:eastAsia="fr-BE"/>
        </w:rPr>
        <w:t>Dans les conditions d’octroi de la compensation, que veut dire la circulaire par la phrase suivante : </w:t>
      </w:r>
      <w:r w:rsidRPr="00796822">
        <w:rPr>
          <w:rFonts w:ascii="Arial" w:eastAsia="Times New Roman" w:hAnsi="Arial" w:cs="Arial"/>
          <w:i/>
          <w:iCs/>
          <w:u w:val="single"/>
          <w:lang w:eastAsia="fr-BE"/>
        </w:rPr>
        <w:t>« ainsi que sur les taxes et redevances contenues dans vos taxes et redevances diverses ou dans vos taxes et redevances sur l’occupation diverse de la voie publique portant sur ces commerces, indépendants et entreprises (pour autant qu’elles relèvent du même objet que celles identifiées ci-dessus), ainsi que sur les hôtels et chambres d’hôtel (via la taxe de séjour) »</w:t>
      </w:r>
      <w:r>
        <w:rPr>
          <w:rFonts w:ascii="Arial" w:eastAsia="Times New Roman" w:hAnsi="Arial" w:cs="Arial"/>
          <w:i/>
          <w:iCs/>
          <w:u w:val="single"/>
          <w:lang w:eastAsia="fr-BE"/>
        </w:rPr>
        <w:t> ?</w:t>
      </w:r>
    </w:p>
    <w:p w14:paraId="2D8FDDBF" w14:textId="5876E2B3" w:rsidR="00796822" w:rsidRDefault="00796822" w:rsidP="00796822">
      <w:pPr>
        <w:spacing w:before="240" w:after="0" w:line="240" w:lineRule="auto"/>
        <w:ind w:left="426"/>
        <w:jc w:val="both"/>
        <w:rPr>
          <w:rFonts w:ascii="Arial" w:eastAsia="Times New Roman" w:hAnsi="Arial" w:cs="Arial"/>
          <w:lang w:eastAsia="fr-BE"/>
        </w:rPr>
      </w:pPr>
      <w:r>
        <w:rPr>
          <w:rFonts w:ascii="Arial" w:eastAsia="Times New Roman" w:hAnsi="Arial" w:cs="Arial"/>
          <w:lang w:eastAsia="fr-BE"/>
        </w:rPr>
        <w:t>Cela veut seulement dire que dans certains cas, les communes n’ont pas de règlement spécifique aux taxes précitées mais elles ont un règlement général qui contient une de ces taxes. Dès lors elles peuvent décider une exonération de ladite taxe contenue dans ce règlement général et obtiendront la compensation.</w:t>
      </w:r>
    </w:p>
    <w:p w14:paraId="586775A4" w14:textId="18F9833B" w:rsidR="00712C94" w:rsidRPr="00712C94" w:rsidRDefault="00796822" w:rsidP="00796822">
      <w:pPr>
        <w:spacing w:before="240" w:after="0" w:line="240" w:lineRule="auto"/>
        <w:ind w:left="426"/>
        <w:jc w:val="both"/>
        <w:rPr>
          <w:rFonts w:ascii="Arial" w:eastAsia="Times New Roman" w:hAnsi="Arial" w:cs="Arial"/>
          <w:lang w:eastAsia="fr-BE"/>
        </w:rPr>
      </w:pPr>
      <w:r>
        <w:rPr>
          <w:rFonts w:ascii="Arial" w:eastAsia="Times New Roman" w:hAnsi="Arial" w:cs="Arial"/>
          <w:lang w:eastAsia="fr-BE"/>
        </w:rPr>
        <w:lastRenderedPageBreak/>
        <w:t>Par ex : la commune n’a pas de règlement-redevance sur les droit</w:t>
      </w:r>
      <w:r w:rsidR="001B2452">
        <w:rPr>
          <w:rFonts w:ascii="Arial" w:eastAsia="Times New Roman" w:hAnsi="Arial" w:cs="Arial"/>
          <w:lang w:eastAsia="fr-BE"/>
        </w:rPr>
        <w:t>s</w:t>
      </w:r>
      <w:r>
        <w:rPr>
          <w:rFonts w:ascii="Arial" w:eastAsia="Times New Roman" w:hAnsi="Arial" w:cs="Arial"/>
          <w:lang w:eastAsia="fr-BE"/>
        </w:rPr>
        <w:t xml:space="preserve"> d’emplacement sur les marchés mais a un règlement redevance sur l’occupation diverse de la voie publique. Si dans ce règlement-redevance, on prévoit une redevance pour le droit d’emplacement sur les marchés, la commune peut prendre une délibération en disant que dans le règlement-redevance sur l’occupation du domaine public adopté par le conseil communal en date du …. </w:t>
      </w:r>
      <w:proofErr w:type="gramStart"/>
      <w:r>
        <w:rPr>
          <w:rFonts w:ascii="Arial" w:eastAsia="Times New Roman" w:hAnsi="Arial" w:cs="Arial"/>
          <w:lang w:eastAsia="fr-BE"/>
        </w:rPr>
        <w:t>et</w:t>
      </w:r>
      <w:proofErr w:type="gramEnd"/>
      <w:r>
        <w:rPr>
          <w:rFonts w:ascii="Arial" w:eastAsia="Times New Roman" w:hAnsi="Arial" w:cs="Arial"/>
          <w:lang w:eastAsia="fr-BE"/>
        </w:rPr>
        <w:t xml:space="preserve"> approuvé par la tutelle en date du ….., est supprimée pour l’exercice 2021, la redevance qui concerne les </w:t>
      </w:r>
      <w:r w:rsidR="00A97031">
        <w:rPr>
          <w:rFonts w:ascii="Arial" w:eastAsia="Times New Roman" w:hAnsi="Arial" w:cs="Arial"/>
          <w:lang w:eastAsia="fr-BE"/>
        </w:rPr>
        <w:t>droits</w:t>
      </w:r>
      <w:r>
        <w:rPr>
          <w:rFonts w:ascii="Arial" w:eastAsia="Times New Roman" w:hAnsi="Arial" w:cs="Arial"/>
          <w:lang w:eastAsia="fr-BE"/>
        </w:rPr>
        <w:t xml:space="preserve"> d’emplacement sur les marchés.</w:t>
      </w:r>
    </w:p>
    <w:p w14:paraId="161C35CA" w14:textId="77777777" w:rsidR="00C348B8" w:rsidRDefault="00C348B8" w:rsidP="00C348B8">
      <w:pPr>
        <w:ind w:left="357"/>
        <w:jc w:val="both"/>
        <w:rPr>
          <w:rFonts w:ascii="Arial" w:hAnsi="Arial" w:cs="Arial"/>
        </w:rPr>
      </w:pPr>
    </w:p>
    <w:p w14:paraId="52CE1006" w14:textId="77777777" w:rsidR="000359A3" w:rsidRPr="00371B43" w:rsidRDefault="000359A3" w:rsidP="006A0637">
      <w:pPr>
        <w:spacing w:after="0" w:line="240" w:lineRule="auto"/>
        <w:jc w:val="both"/>
        <w:rPr>
          <w:rFonts w:ascii="Arial" w:eastAsia="Times New Roman" w:hAnsi="Arial" w:cs="Arial"/>
          <w:b/>
          <w:u w:val="single"/>
          <w:lang w:eastAsia="fr-BE"/>
        </w:rPr>
      </w:pPr>
    </w:p>
    <w:p w14:paraId="7154D3D7" w14:textId="1FC0FA50" w:rsidR="00FE2D1A" w:rsidRPr="00371B43" w:rsidRDefault="00C65E37" w:rsidP="00741FDD">
      <w:pPr>
        <w:pStyle w:val="Paragraphedeliste"/>
        <w:numPr>
          <w:ilvl w:val="0"/>
          <w:numId w:val="2"/>
        </w:numPr>
        <w:ind w:left="1077"/>
        <w:contextualSpacing w:val="0"/>
        <w:jc w:val="both"/>
        <w:rPr>
          <w:rFonts w:ascii="Arial" w:eastAsia="Times New Roman" w:hAnsi="Arial" w:cs="Arial"/>
          <w:b/>
          <w:u w:val="single"/>
          <w:lang w:eastAsia="fr-BE"/>
        </w:rPr>
      </w:pPr>
      <w:r w:rsidRPr="00371B43">
        <w:rPr>
          <w:rFonts w:ascii="Arial" w:eastAsia="Times New Roman" w:hAnsi="Arial" w:cs="Arial"/>
          <w:b/>
          <w:u w:val="single"/>
          <w:lang w:eastAsia="fr-BE"/>
        </w:rPr>
        <w:t>Délibération générale</w:t>
      </w:r>
      <w:r w:rsidR="000919D1" w:rsidRPr="00371B43">
        <w:rPr>
          <w:rFonts w:ascii="Arial" w:eastAsia="Times New Roman" w:hAnsi="Arial" w:cs="Arial"/>
          <w:b/>
          <w:u w:val="single"/>
          <w:lang w:eastAsia="fr-BE"/>
        </w:rPr>
        <w:t xml:space="preserve"> adoptant des mesures d’allègement fiscal</w:t>
      </w:r>
    </w:p>
    <w:p w14:paraId="3144A766" w14:textId="68F475D2" w:rsidR="004448FB" w:rsidRPr="001B2452" w:rsidRDefault="004448FB" w:rsidP="00741FDD">
      <w:pPr>
        <w:jc w:val="both"/>
        <w:rPr>
          <w:rFonts w:ascii="Arial" w:hAnsi="Arial" w:cs="Arial"/>
        </w:rPr>
      </w:pPr>
    </w:p>
    <w:p w14:paraId="795DE141" w14:textId="3EAADE42" w:rsidR="00C65E37" w:rsidRPr="001B2452" w:rsidRDefault="006532F7" w:rsidP="00C65E37">
      <w:pPr>
        <w:pStyle w:val="Paragraphedeliste"/>
        <w:numPr>
          <w:ilvl w:val="0"/>
          <w:numId w:val="1"/>
        </w:numPr>
        <w:jc w:val="both"/>
        <w:rPr>
          <w:rFonts w:ascii="Arial" w:hAnsi="Arial" w:cs="Arial"/>
          <w:u w:val="single"/>
        </w:rPr>
      </w:pPr>
      <w:r w:rsidRPr="001B2452">
        <w:rPr>
          <w:rFonts w:ascii="Arial" w:hAnsi="Arial" w:cs="Arial"/>
          <w:u w:val="single"/>
        </w:rPr>
        <w:t xml:space="preserve">La délibération générale </w:t>
      </w:r>
      <w:r w:rsidR="00E3328D" w:rsidRPr="001B2452">
        <w:rPr>
          <w:rFonts w:ascii="Arial" w:hAnsi="Arial" w:cs="Arial"/>
          <w:u w:val="single"/>
        </w:rPr>
        <w:t xml:space="preserve">telle que prévue dans la circulaire du </w:t>
      </w:r>
      <w:r w:rsidR="008B7DAC" w:rsidRPr="001B2452">
        <w:rPr>
          <w:rFonts w:ascii="Arial" w:hAnsi="Arial" w:cs="Arial"/>
          <w:u w:val="single"/>
        </w:rPr>
        <w:t>4 décembre</w:t>
      </w:r>
      <w:r w:rsidR="00E3328D" w:rsidRPr="001B2452">
        <w:rPr>
          <w:rFonts w:ascii="Arial" w:hAnsi="Arial" w:cs="Arial"/>
          <w:u w:val="single"/>
        </w:rPr>
        <w:t xml:space="preserve"> 2020 relative à la compensation fiscale octroyée aux communes et provinces wallonnes dans le cadre de la crise du covid-19 est-elle soumise à la tutelle spéciale d’approbation ? </w:t>
      </w:r>
    </w:p>
    <w:p w14:paraId="476722AE" w14:textId="77777777" w:rsidR="00C65E37" w:rsidRPr="001B2452" w:rsidRDefault="00C65E37" w:rsidP="00C65E37">
      <w:pPr>
        <w:pStyle w:val="Paragraphedeliste"/>
        <w:ind w:left="360"/>
        <w:jc w:val="both"/>
        <w:rPr>
          <w:rFonts w:ascii="Arial" w:hAnsi="Arial" w:cs="Arial"/>
        </w:rPr>
      </w:pPr>
    </w:p>
    <w:p w14:paraId="7B6C00BB" w14:textId="28D37FB2" w:rsidR="00E3328D" w:rsidRPr="001B2452" w:rsidRDefault="00F14541" w:rsidP="00C65E37">
      <w:pPr>
        <w:pStyle w:val="Paragraphedeliste"/>
        <w:ind w:left="360"/>
        <w:jc w:val="both"/>
        <w:rPr>
          <w:rFonts w:ascii="Arial" w:hAnsi="Arial" w:cs="Arial"/>
        </w:rPr>
      </w:pPr>
      <w:r w:rsidRPr="001B2452">
        <w:rPr>
          <w:rFonts w:ascii="Arial" w:hAnsi="Arial" w:cs="Arial"/>
        </w:rPr>
        <w:t>OUI</w:t>
      </w:r>
      <w:r w:rsidR="00E3328D" w:rsidRPr="001B2452">
        <w:rPr>
          <w:rFonts w:ascii="Arial" w:hAnsi="Arial" w:cs="Arial"/>
        </w:rPr>
        <w:t xml:space="preserve">, la délibération en question relève de la tutelle spéciale d’approbation. </w:t>
      </w:r>
      <w:r w:rsidR="00C65E37" w:rsidRPr="001B2452">
        <w:rPr>
          <w:rFonts w:ascii="Arial" w:hAnsi="Arial" w:cs="Arial"/>
        </w:rPr>
        <w:t>À ce titre, elle doit être soumise par la voie d’</w:t>
      </w:r>
      <w:proofErr w:type="spellStart"/>
      <w:r w:rsidR="00C65E37" w:rsidRPr="001B2452">
        <w:rPr>
          <w:rFonts w:ascii="Arial" w:hAnsi="Arial" w:cs="Arial"/>
        </w:rPr>
        <w:t>Etutelle</w:t>
      </w:r>
      <w:proofErr w:type="spellEnd"/>
      <w:r w:rsidR="00C65E37" w:rsidRPr="001B2452">
        <w:rPr>
          <w:rFonts w:ascii="Arial" w:hAnsi="Arial" w:cs="Arial"/>
        </w:rPr>
        <w:t>.</w:t>
      </w:r>
    </w:p>
    <w:p w14:paraId="63F4AF1A" w14:textId="77777777" w:rsidR="00741FDD" w:rsidRPr="001B2452" w:rsidRDefault="00741FDD" w:rsidP="00EF5C70">
      <w:pPr>
        <w:pStyle w:val="Paragraphedeliste"/>
        <w:ind w:left="357"/>
        <w:contextualSpacing w:val="0"/>
        <w:jc w:val="both"/>
        <w:rPr>
          <w:rFonts w:ascii="Arial" w:eastAsia="Times New Roman" w:hAnsi="Arial" w:cs="Arial"/>
          <w:u w:val="single"/>
          <w:lang w:eastAsia="fr-BE"/>
        </w:rPr>
      </w:pPr>
    </w:p>
    <w:p w14:paraId="21A96F94" w14:textId="658881DC" w:rsidR="00C65E37" w:rsidRPr="001B2452" w:rsidRDefault="00C65E37" w:rsidP="00C65E37">
      <w:pPr>
        <w:pStyle w:val="Paragraphedeliste"/>
        <w:numPr>
          <w:ilvl w:val="0"/>
          <w:numId w:val="3"/>
        </w:numPr>
        <w:jc w:val="both"/>
        <w:rPr>
          <w:rFonts w:ascii="Arial" w:eastAsia="Times New Roman" w:hAnsi="Arial" w:cs="Arial"/>
          <w:u w:val="single"/>
          <w:lang w:eastAsia="fr-BE"/>
        </w:rPr>
      </w:pPr>
      <w:bookmarkStart w:id="2" w:name="_Hlk58593992"/>
      <w:bookmarkStart w:id="3" w:name="_Hlk58594042"/>
      <w:r w:rsidRPr="001B2452">
        <w:rPr>
          <w:rFonts w:ascii="Arial" w:hAnsi="Arial" w:cs="Arial"/>
          <w:u w:val="single"/>
        </w:rPr>
        <w:t>L</w:t>
      </w:r>
      <w:r w:rsidR="00DC1118" w:rsidRPr="001B2452">
        <w:rPr>
          <w:rFonts w:ascii="Arial" w:hAnsi="Arial" w:cs="Arial"/>
          <w:u w:val="single"/>
        </w:rPr>
        <w:t>e projet de la</w:t>
      </w:r>
      <w:r w:rsidRPr="001B2452">
        <w:rPr>
          <w:rFonts w:ascii="Arial" w:hAnsi="Arial" w:cs="Arial"/>
          <w:u w:val="single"/>
        </w:rPr>
        <w:t xml:space="preserve"> délibération générale telle que prévue dans la circulaire du </w:t>
      </w:r>
      <w:r w:rsidR="008B7DAC" w:rsidRPr="001B2452">
        <w:rPr>
          <w:rFonts w:ascii="Arial" w:hAnsi="Arial" w:cs="Arial"/>
          <w:u w:val="single"/>
        </w:rPr>
        <w:t xml:space="preserve">4 décembre </w:t>
      </w:r>
      <w:bookmarkEnd w:id="2"/>
      <w:r w:rsidRPr="001B2452">
        <w:rPr>
          <w:rFonts w:ascii="Arial" w:hAnsi="Arial" w:cs="Arial"/>
          <w:u w:val="single"/>
        </w:rPr>
        <w:t xml:space="preserve">2020 relative à la compensation fiscale octroyée aux communes et provinces wallonnes </w:t>
      </w:r>
      <w:bookmarkEnd w:id="3"/>
      <w:r w:rsidRPr="001B2452">
        <w:rPr>
          <w:rFonts w:ascii="Arial" w:hAnsi="Arial" w:cs="Arial"/>
          <w:u w:val="single"/>
        </w:rPr>
        <w:t>dans le cadre de la crise du covid-19 doit-</w:t>
      </w:r>
      <w:r w:rsidR="00DC1118" w:rsidRPr="001B2452">
        <w:rPr>
          <w:rFonts w:ascii="Arial" w:hAnsi="Arial" w:cs="Arial"/>
          <w:u w:val="single"/>
        </w:rPr>
        <w:t>il</w:t>
      </w:r>
      <w:r w:rsidRPr="001B2452">
        <w:rPr>
          <w:rFonts w:ascii="Arial" w:hAnsi="Arial" w:cs="Arial"/>
          <w:u w:val="single"/>
        </w:rPr>
        <w:t xml:space="preserve"> être communiqué au Directeur financier pour recevoir son avis de légalité ? </w:t>
      </w:r>
    </w:p>
    <w:p w14:paraId="2FE1345E" w14:textId="6AE997F0" w:rsidR="00DC1118" w:rsidRDefault="008B7DAC" w:rsidP="00EF5C70">
      <w:pPr>
        <w:spacing w:after="0" w:line="240" w:lineRule="auto"/>
        <w:ind w:left="357"/>
        <w:jc w:val="both"/>
        <w:rPr>
          <w:rFonts w:ascii="Arial" w:eastAsia="Times New Roman" w:hAnsi="Arial" w:cs="Arial"/>
          <w:lang w:eastAsia="fr-BE"/>
        </w:rPr>
      </w:pPr>
      <w:r w:rsidRPr="001B2452">
        <w:rPr>
          <w:rFonts w:ascii="Arial" w:eastAsia="Times New Roman" w:hAnsi="Arial" w:cs="Arial"/>
          <w:lang w:eastAsia="fr-BE"/>
        </w:rPr>
        <w:t xml:space="preserve">Oui, car contrairement à la première compensation annoncée par la circulaire du 6 avril 2020, il n’y a plus </w:t>
      </w:r>
      <w:r w:rsidR="00796822" w:rsidRPr="001B2452">
        <w:rPr>
          <w:rFonts w:ascii="Arial" w:eastAsia="Times New Roman" w:hAnsi="Arial" w:cs="Arial"/>
          <w:lang w:eastAsia="fr-BE"/>
        </w:rPr>
        <w:t xml:space="preserve">d’attribution des pouvoirs spéciaux aux collèges, dès lors, plus </w:t>
      </w:r>
      <w:r w:rsidRPr="001B2452">
        <w:rPr>
          <w:rFonts w:ascii="Arial" w:eastAsia="Times New Roman" w:hAnsi="Arial" w:cs="Arial"/>
          <w:lang w:eastAsia="fr-BE"/>
        </w:rPr>
        <w:t xml:space="preserve">de </w:t>
      </w:r>
      <w:r>
        <w:rPr>
          <w:rFonts w:ascii="Arial" w:eastAsia="Times New Roman" w:hAnsi="Arial" w:cs="Arial"/>
          <w:lang w:eastAsia="fr-BE"/>
        </w:rPr>
        <w:t>dérogation possible quant à l’obligation de demander l’avis de légalité au directeur financier</w:t>
      </w:r>
      <w:r w:rsidR="00DC1118" w:rsidRPr="00371B43">
        <w:rPr>
          <w:rFonts w:ascii="Arial" w:eastAsia="Times New Roman" w:hAnsi="Arial" w:cs="Arial"/>
          <w:lang w:eastAsia="fr-BE"/>
        </w:rPr>
        <w:t xml:space="preserve">. </w:t>
      </w:r>
    </w:p>
    <w:p w14:paraId="6FCA2872" w14:textId="1AA10FF3" w:rsidR="001B2452" w:rsidRDefault="001B2452" w:rsidP="001B2452">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bookmarkStart w:id="4" w:name="_Hlk59181092"/>
      <w:r>
        <w:rPr>
          <w:rFonts w:ascii="Arial" w:eastAsia="Times New Roman" w:hAnsi="Arial" w:cs="Arial"/>
          <w:color w:val="000000"/>
          <w:u w:val="single"/>
          <w:lang w:eastAsia="fr-BE"/>
        </w:rPr>
        <w:t>Faut-il motiver la/les mesure(s) d’allègement fiscal ?</w:t>
      </w:r>
    </w:p>
    <w:bookmarkEnd w:id="4"/>
    <w:p w14:paraId="1E76AFDA" w14:textId="0E18E6D3" w:rsidR="001B2452" w:rsidRDefault="001B2452" w:rsidP="00EF5C70">
      <w:pPr>
        <w:spacing w:after="0" w:line="240" w:lineRule="auto"/>
        <w:ind w:left="357"/>
        <w:jc w:val="both"/>
        <w:rPr>
          <w:rFonts w:ascii="Arial" w:eastAsia="Times New Roman" w:hAnsi="Arial" w:cs="Arial"/>
          <w:lang w:eastAsia="fr-BE"/>
        </w:rPr>
      </w:pPr>
      <w:r>
        <w:rPr>
          <w:rFonts w:ascii="Arial" w:eastAsia="Times New Roman" w:hAnsi="Arial" w:cs="Arial"/>
          <w:lang w:eastAsia="fr-BE"/>
        </w:rPr>
        <w:t xml:space="preserve">Effectivement, dans sa circulaire Monsieur le Ministre </w:t>
      </w:r>
      <w:r w:rsidRPr="001B2452">
        <w:rPr>
          <w:rFonts w:ascii="Arial" w:eastAsia="Times New Roman" w:hAnsi="Arial" w:cs="Arial"/>
          <w:lang w:eastAsia="fr-BE"/>
        </w:rPr>
        <w:t xml:space="preserve">attire attention </w:t>
      </w:r>
      <w:r>
        <w:rPr>
          <w:rFonts w:ascii="Arial" w:eastAsia="Times New Roman" w:hAnsi="Arial" w:cs="Arial"/>
          <w:lang w:eastAsia="fr-BE"/>
        </w:rPr>
        <w:t xml:space="preserve">des pouvoirs locaux </w:t>
      </w:r>
      <w:r w:rsidRPr="001B2452">
        <w:rPr>
          <w:rFonts w:ascii="Arial" w:eastAsia="Times New Roman" w:hAnsi="Arial" w:cs="Arial"/>
          <w:lang w:eastAsia="fr-BE"/>
        </w:rPr>
        <w:t>sur l’importance de motiver en suffisance la décision, au niveau du préambule de la délibération qui sera adoptée</w:t>
      </w:r>
    </w:p>
    <w:p w14:paraId="6C5BD902" w14:textId="49361F8A" w:rsidR="001B2452" w:rsidRDefault="001B2452" w:rsidP="00EF5C70">
      <w:pPr>
        <w:spacing w:after="0" w:line="240" w:lineRule="auto"/>
        <w:ind w:left="357"/>
        <w:jc w:val="both"/>
        <w:rPr>
          <w:rFonts w:ascii="Arial" w:eastAsia="Times New Roman" w:hAnsi="Arial" w:cs="Arial"/>
          <w:lang w:eastAsia="fr-BE"/>
        </w:rPr>
      </w:pPr>
    </w:p>
    <w:p w14:paraId="6CABDD52" w14:textId="4B041C7C" w:rsidR="009D61DB" w:rsidRDefault="009D61DB" w:rsidP="009D61DB">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r>
        <w:rPr>
          <w:rFonts w:ascii="Arial" w:eastAsia="Times New Roman" w:hAnsi="Arial" w:cs="Arial"/>
          <w:color w:val="000000"/>
          <w:u w:val="single"/>
          <w:lang w:eastAsia="fr-BE"/>
        </w:rPr>
        <w:t>Mentions obligatoires que doit prévoir le préambule de la délibération ?</w:t>
      </w:r>
    </w:p>
    <w:p w14:paraId="3C64D1F1" w14:textId="489FEF64" w:rsidR="009D61DB" w:rsidRDefault="009D61DB" w:rsidP="00EF5C70">
      <w:pPr>
        <w:spacing w:after="0" w:line="240" w:lineRule="auto"/>
        <w:ind w:left="357"/>
        <w:jc w:val="both"/>
        <w:rPr>
          <w:rFonts w:ascii="Arial" w:eastAsia="Times New Roman" w:hAnsi="Arial" w:cs="Arial"/>
          <w:lang w:eastAsia="fr-BE"/>
        </w:rPr>
      </w:pPr>
      <w:r>
        <w:rPr>
          <w:rFonts w:ascii="Arial" w:eastAsia="Times New Roman" w:hAnsi="Arial" w:cs="Arial"/>
          <w:lang w:eastAsia="fr-BE"/>
        </w:rPr>
        <w:t xml:space="preserve">La circulaire </w:t>
      </w:r>
      <w:r w:rsidRPr="009D61DB">
        <w:rPr>
          <w:rFonts w:ascii="Arial" w:eastAsia="Times New Roman" w:hAnsi="Arial" w:cs="Arial"/>
          <w:lang w:eastAsia="fr-BE"/>
        </w:rPr>
        <w:t>impose l’obligation de spécifier l’impact et la ventilation de la mesure dans la délibération adoptant la suppression totale de la taxe (même si l’annexe doit être jointe).</w:t>
      </w:r>
    </w:p>
    <w:p w14:paraId="7537B1C0" w14:textId="77777777" w:rsidR="001B2452" w:rsidRDefault="001B2452" w:rsidP="00EF5C70">
      <w:pPr>
        <w:spacing w:after="0" w:line="240" w:lineRule="auto"/>
        <w:ind w:left="357"/>
        <w:jc w:val="both"/>
        <w:rPr>
          <w:rFonts w:ascii="Arial" w:eastAsia="Times New Roman" w:hAnsi="Arial" w:cs="Arial"/>
          <w:lang w:eastAsia="fr-BE"/>
        </w:rPr>
      </w:pPr>
    </w:p>
    <w:p w14:paraId="6C7FAF87" w14:textId="54FE6FF3" w:rsidR="003A2B65" w:rsidRPr="00371B43" w:rsidRDefault="003A2B65" w:rsidP="003A2B65">
      <w:pPr>
        <w:pStyle w:val="Paragraphedeliste"/>
        <w:numPr>
          <w:ilvl w:val="0"/>
          <w:numId w:val="2"/>
        </w:numPr>
        <w:jc w:val="both"/>
        <w:rPr>
          <w:rFonts w:ascii="Arial" w:hAnsi="Arial" w:cs="Arial"/>
          <w:b/>
        </w:rPr>
      </w:pPr>
      <w:r w:rsidRPr="00371B43">
        <w:rPr>
          <w:rFonts w:ascii="Arial" w:hAnsi="Arial" w:cs="Arial"/>
          <w:b/>
        </w:rPr>
        <w:t xml:space="preserve">Mesures fiscales </w:t>
      </w:r>
    </w:p>
    <w:p w14:paraId="7479A958" w14:textId="634D1E92" w:rsidR="00C0315A" w:rsidRDefault="00C0315A" w:rsidP="00741FDD">
      <w:pPr>
        <w:ind w:left="1134"/>
        <w:jc w:val="both"/>
        <w:rPr>
          <w:rFonts w:ascii="Arial" w:eastAsia="Times New Roman" w:hAnsi="Arial" w:cs="Arial"/>
          <w:lang w:eastAsia="fr-BE"/>
        </w:rPr>
      </w:pPr>
    </w:p>
    <w:p w14:paraId="2EFA7745" w14:textId="75C9FF2C" w:rsidR="00EA6C67" w:rsidRDefault="00EA6C67" w:rsidP="00EA6C67">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bookmarkStart w:id="5" w:name="_Hlk58594055"/>
      <w:r>
        <w:rPr>
          <w:rFonts w:ascii="Arial" w:eastAsia="Times New Roman" w:hAnsi="Arial" w:cs="Arial"/>
          <w:color w:val="000000"/>
          <w:u w:val="single"/>
          <w:lang w:eastAsia="fr-BE"/>
        </w:rPr>
        <w:t>Quelle mesure d’allègement fiscal est envisagée par la circulaire ?</w:t>
      </w:r>
    </w:p>
    <w:bookmarkEnd w:id="5"/>
    <w:p w14:paraId="59BE59D9" w14:textId="109CF01B" w:rsidR="00EA6C67" w:rsidRDefault="00EA6C67" w:rsidP="00EA6C67">
      <w:pPr>
        <w:pStyle w:val="Paragraphedeliste"/>
        <w:spacing w:before="240" w:after="240" w:line="240" w:lineRule="auto"/>
        <w:ind w:left="357"/>
        <w:contextualSpacing w:val="0"/>
        <w:jc w:val="both"/>
        <w:rPr>
          <w:rFonts w:ascii="Arial" w:eastAsia="Times New Roman" w:hAnsi="Arial" w:cs="Arial"/>
          <w:lang w:eastAsia="fr-BE"/>
        </w:rPr>
      </w:pPr>
      <w:r w:rsidRPr="00EA6C67">
        <w:rPr>
          <w:rFonts w:ascii="Arial" w:eastAsia="Times New Roman" w:hAnsi="Arial" w:cs="Arial"/>
          <w:color w:val="000000"/>
          <w:lang w:eastAsia="fr-BE"/>
        </w:rPr>
        <w:t xml:space="preserve">Seule la suppression totale de la taxe / redevance pour 2021 est possible si on veut obtenir </w:t>
      </w:r>
      <w:r w:rsidRPr="001B2452">
        <w:rPr>
          <w:rFonts w:ascii="Arial" w:eastAsia="Times New Roman" w:hAnsi="Arial" w:cs="Arial"/>
          <w:lang w:eastAsia="fr-BE"/>
        </w:rPr>
        <w:t>la compensation.</w:t>
      </w:r>
    </w:p>
    <w:p w14:paraId="6FB3FCD8" w14:textId="280814E5" w:rsidR="009D61DB" w:rsidRPr="001B2452" w:rsidRDefault="009D61DB" w:rsidP="00EA6C67">
      <w:pPr>
        <w:pStyle w:val="Paragraphedeliste"/>
        <w:spacing w:before="240" w:after="240" w:line="240" w:lineRule="auto"/>
        <w:ind w:left="357"/>
        <w:contextualSpacing w:val="0"/>
        <w:jc w:val="both"/>
        <w:rPr>
          <w:rFonts w:ascii="Arial" w:eastAsia="Times New Roman" w:hAnsi="Arial" w:cs="Arial"/>
          <w:lang w:eastAsia="fr-BE"/>
        </w:rPr>
      </w:pPr>
      <w:r>
        <w:rPr>
          <w:rFonts w:ascii="Arial" w:eastAsia="Times New Roman" w:hAnsi="Arial" w:cs="Arial"/>
          <w:lang w:eastAsia="fr-BE"/>
        </w:rPr>
        <w:lastRenderedPageBreak/>
        <w:t>Tout autre mesure sera également approuvée par la tutelle MAIS ne sera pas compensée dans le cadre de la circulaire du 4.12.2020</w:t>
      </w:r>
    </w:p>
    <w:p w14:paraId="1C5D0245" w14:textId="1CABDB40" w:rsidR="0060311E" w:rsidRPr="001B2452" w:rsidRDefault="0060311E" w:rsidP="0060311E">
      <w:pPr>
        <w:pStyle w:val="Paragraphedeliste"/>
        <w:numPr>
          <w:ilvl w:val="0"/>
          <w:numId w:val="4"/>
        </w:numPr>
        <w:jc w:val="both"/>
        <w:rPr>
          <w:rFonts w:ascii="Arial" w:eastAsia="Times New Roman" w:hAnsi="Arial" w:cs="Arial"/>
          <w:u w:val="single"/>
          <w:lang w:eastAsia="fr-BE"/>
        </w:rPr>
      </w:pPr>
      <w:r w:rsidRPr="001B2452">
        <w:rPr>
          <w:rFonts w:ascii="Arial" w:eastAsia="Times New Roman" w:hAnsi="Arial" w:cs="Arial"/>
          <w:u w:val="single"/>
          <w:lang w:eastAsia="fr-BE"/>
        </w:rPr>
        <w:t xml:space="preserve">Ma Commune/Ville ne lève que très peu de taxes et de redevances. Elle n’envisage pas de prendre des mesures d’allégement fiscal et opte pour l’octroi d’une subvention forfaitaire aux commerçants et indépendants directement ou indirectement touchés. Peut-elle prétendre à la compensation régionale ? </w:t>
      </w:r>
    </w:p>
    <w:p w14:paraId="0E3BC7FE" w14:textId="36C163CC" w:rsidR="0060311E" w:rsidRPr="001B2452" w:rsidRDefault="0060311E" w:rsidP="0060311E">
      <w:pPr>
        <w:pStyle w:val="Paragraphedeliste"/>
        <w:ind w:left="360"/>
        <w:jc w:val="both"/>
        <w:rPr>
          <w:rFonts w:ascii="Arial" w:eastAsia="Times New Roman" w:hAnsi="Arial" w:cs="Arial"/>
          <w:lang w:eastAsia="fr-BE"/>
        </w:rPr>
      </w:pPr>
    </w:p>
    <w:p w14:paraId="0BD280F2" w14:textId="02229838" w:rsidR="0060311E" w:rsidRPr="00371B43" w:rsidRDefault="000919D1" w:rsidP="0060311E">
      <w:pPr>
        <w:pStyle w:val="Paragraphedeliste"/>
        <w:spacing w:after="480" w:line="240" w:lineRule="auto"/>
        <w:ind w:left="360"/>
        <w:jc w:val="both"/>
        <w:rPr>
          <w:rFonts w:ascii="Arial" w:eastAsia="Times New Roman" w:hAnsi="Arial" w:cs="Arial"/>
          <w:lang w:eastAsia="fr-BE"/>
        </w:rPr>
      </w:pPr>
      <w:r w:rsidRPr="001B2452">
        <w:rPr>
          <w:rFonts w:ascii="Arial" w:eastAsia="Times New Roman" w:hAnsi="Arial" w:cs="Arial"/>
          <w:lang w:eastAsia="fr-BE"/>
        </w:rPr>
        <w:t xml:space="preserve">NON. </w:t>
      </w:r>
      <w:r w:rsidR="0060311E" w:rsidRPr="001B2452">
        <w:rPr>
          <w:rFonts w:ascii="Arial" w:eastAsia="Times New Roman" w:hAnsi="Arial" w:cs="Arial"/>
          <w:lang w:eastAsia="fr-BE"/>
        </w:rPr>
        <w:t xml:space="preserve">La compensation fiscale vise à compenser l’impact des mesures de </w:t>
      </w:r>
      <w:r w:rsidR="000B6B97" w:rsidRPr="001B2452">
        <w:rPr>
          <w:rFonts w:ascii="Arial" w:eastAsia="Times New Roman" w:hAnsi="Arial" w:cs="Arial"/>
          <w:u w:val="single"/>
          <w:lang w:eastAsia="fr-BE"/>
        </w:rPr>
        <w:t>suppression</w:t>
      </w:r>
      <w:r w:rsidR="0060311E" w:rsidRPr="001B2452">
        <w:rPr>
          <w:rFonts w:ascii="Arial" w:eastAsia="Times New Roman" w:hAnsi="Arial" w:cs="Arial"/>
          <w:lang w:eastAsia="fr-BE"/>
        </w:rPr>
        <w:t xml:space="preserve"> </w:t>
      </w:r>
      <w:r w:rsidR="000B6B97" w:rsidRPr="001B2452">
        <w:rPr>
          <w:rFonts w:ascii="Arial" w:eastAsia="Times New Roman" w:hAnsi="Arial" w:cs="Arial"/>
          <w:lang w:eastAsia="fr-BE"/>
        </w:rPr>
        <w:t xml:space="preserve">des taxes et redevances </w:t>
      </w:r>
      <w:r w:rsidR="000B6B97" w:rsidRPr="001B2452">
        <w:rPr>
          <w:rFonts w:ascii="Arial" w:eastAsia="Times New Roman" w:hAnsi="Arial" w:cs="Arial"/>
          <w:u w:val="single"/>
          <w:lang w:eastAsia="fr-BE"/>
        </w:rPr>
        <w:t>durant l’entièreté de l’exercice 2021</w:t>
      </w:r>
      <w:r w:rsidR="0060311E" w:rsidRPr="001B2452">
        <w:rPr>
          <w:rFonts w:ascii="Arial" w:eastAsia="Times New Roman" w:hAnsi="Arial" w:cs="Arial"/>
          <w:lang w:eastAsia="fr-BE"/>
        </w:rPr>
        <w:t xml:space="preserve"> qu’auront prises les pouvoirs </w:t>
      </w:r>
      <w:r w:rsidR="0060311E" w:rsidRPr="00371B43">
        <w:rPr>
          <w:rFonts w:ascii="Arial" w:eastAsia="Times New Roman" w:hAnsi="Arial" w:cs="Arial"/>
          <w:lang w:eastAsia="fr-BE"/>
        </w:rPr>
        <w:t xml:space="preserve">locaux en faveur des indépendants, commerçants et petites entreprises locales frappés par l’arrêt ou le ralentissement de leurs activités économiques en raison du Covid-19. </w:t>
      </w:r>
    </w:p>
    <w:p w14:paraId="25A97BF6" w14:textId="77777777" w:rsidR="0060311E" w:rsidRPr="00371B43" w:rsidRDefault="0060311E" w:rsidP="0060311E">
      <w:pPr>
        <w:pStyle w:val="Paragraphedeliste"/>
        <w:spacing w:after="480" w:line="240" w:lineRule="auto"/>
        <w:ind w:left="360"/>
        <w:jc w:val="both"/>
        <w:rPr>
          <w:rFonts w:ascii="Arial" w:eastAsia="Times New Roman" w:hAnsi="Arial" w:cs="Arial"/>
          <w:lang w:eastAsia="fr-BE"/>
        </w:rPr>
      </w:pPr>
    </w:p>
    <w:p w14:paraId="7205611C" w14:textId="24275915" w:rsidR="0060311E" w:rsidRPr="00371B43" w:rsidRDefault="0060311E" w:rsidP="0060311E">
      <w:pPr>
        <w:pStyle w:val="Paragraphedeliste"/>
        <w:spacing w:after="480" w:line="240" w:lineRule="auto"/>
        <w:ind w:left="360"/>
        <w:jc w:val="both"/>
        <w:rPr>
          <w:rFonts w:ascii="Arial" w:eastAsia="Times New Roman" w:hAnsi="Arial" w:cs="Arial"/>
          <w:lang w:eastAsia="fr-BE"/>
        </w:rPr>
      </w:pPr>
      <w:r w:rsidRPr="00371B43">
        <w:rPr>
          <w:rFonts w:ascii="Arial" w:eastAsia="Times New Roman" w:hAnsi="Arial" w:cs="Arial"/>
          <w:lang w:eastAsia="fr-BE"/>
        </w:rPr>
        <w:t xml:space="preserve">Par conséquent, en l’absence d’un allégement de sa fiscalité locale par une </w:t>
      </w:r>
      <w:r w:rsidR="000B6B97">
        <w:rPr>
          <w:rFonts w:ascii="Arial" w:eastAsia="Times New Roman" w:hAnsi="Arial" w:cs="Arial"/>
          <w:lang w:eastAsia="fr-BE"/>
        </w:rPr>
        <w:t>suppression</w:t>
      </w:r>
      <w:r w:rsidRPr="00371B43">
        <w:rPr>
          <w:rFonts w:ascii="Arial" w:eastAsia="Times New Roman" w:hAnsi="Arial" w:cs="Arial"/>
          <w:lang w:eastAsia="fr-BE"/>
        </w:rPr>
        <w:t xml:space="preserve"> de</w:t>
      </w:r>
      <w:r w:rsidR="001069DF" w:rsidRPr="00371B43">
        <w:rPr>
          <w:rFonts w:ascii="Arial" w:eastAsia="Times New Roman" w:hAnsi="Arial" w:cs="Arial"/>
          <w:lang w:eastAsia="fr-BE"/>
        </w:rPr>
        <w:t xml:space="preserve"> ses</w:t>
      </w:r>
      <w:r w:rsidRPr="00371B43">
        <w:rPr>
          <w:rFonts w:ascii="Arial" w:eastAsia="Times New Roman" w:hAnsi="Arial" w:cs="Arial"/>
          <w:lang w:eastAsia="fr-BE"/>
        </w:rPr>
        <w:t xml:space="preserve"> taxes et redevances, une Commune/Ville/Province ne peut pas prétendre à la compensation régionale. </w:t>
      </w:r>
    </w:p>
    <w:p w14:paraId="341E5C95" w14:textId="77777777" w:rsidR="0060311E" w:rsidRPr="001B2452" w:rsidRDefault="0060311E" w:rsidP="00EF5C70">
      <w:pPr>
        <w:pStyle w:val="Paragraphedeliste"/>
        <w:ind w:left="357"/>
        <w:contextualSpacing w:val="0"/>
        <w:jc w:val="both"/>
        <w:rPr>
          <w:rFonts w:ascii="Arial" w:eastAsia="Times New Roman" w:hAnsi="Arial" w:cs="Arial"/>
          <w:lang w:eastAsia="fr-BE"/>
        </w:rPr>
      </w:pPr>
    </w:p>
    <w:p w14:paraId="2F9E156B" w14:textId="730BDBFB" w:rsidR="008B79BD" w:rsidRPr="001B2452" w:rsidRDefault="008B79BD" w:rsidP="008B79BD">
      <w:pPr>
        <w:pStyle w:val="Paragraphedeliste"/>
        <w:numPr>
          <w:ilvl w:val="0"/>
          <w:numId w:val="5"/>
        </w:numPr>
        <w:tabs>
          <w:tab w:val="left" w:pos="426"/>
        </w:tabs>
        <w:ind w:hanging="720"/>
        <w:jc w:val="both"/>
        <w:rPr>
          <w:rFonts w:ascii="Arial" w:eastAsia="Times New Roman" w:hAnsi="Arial" w:cs="Arial"/>
          <w:u w:val="single"/>
          <w:lang w:eastAsia="fr-BE"/>
        </w:rPr>
      </w:pPr>
      <w:r w:rsidRPr="001B2452">
        <w:rPr>
          <w:rFonts w:ascii="Arial" w:eastAsia="Times New Roman" w:hAnsi="Arial" w:cs="Arial"/>
          <w:u w:val="single"/>
          <w:lang w:eastAsia="fr-BE"/>
        </w:rPr>
        <w:t xml:space="preserve">A) </w:t>
      </w:r>
      <w:r w:rsidR="00C032A6" w:rsidRPr="001B2452">
        <w:rPr>
          <w:rFonts w:ascii="Arial" w:eastAsia="Times New Roman" w:hAnsi="Arial" w:cs="Arial"/>
          <w:u w:val="single"/>
          <w:lang w:eastAsia="fr-BE"/>
        </w:rPr>
        <w:t>Ma commune/Ville souhaite modérer ou réduire une taxe en faveur de</w:t>
      </w:r>
      <w:r w:rsidR="001069DF" w:rsidRPr="001B2452">
        <w:rPr>
          <w:rFonts w:ascii="Arial" w:eastAsia="Times New Roman" w:hAnsi="Arial" w:cs="Arial"/>
          <w:u w:val="single"/>
          <w:lang w:eastAsia="fr-BE"/>
        </w:rPr>
        <w:t xml:space="preserve"> ses</w:t>
      </w:r>
      <w:r w:rsidR="00C032A6" w:rsidRPr="001B2452">
        <w:rPr>
          <w:rFonts w:ascii="Arial" w:eastAsia="Times New Roman" w:hAnsi="Arial" w:cs="Arial"/>
          <w:u w:val="single"/>
          <w:lang w:eastAsia="fr-BE"/>
        </w:rPr>
        <w:t xml:space="preserve"> citoyens</w:t>
      </w:r>
      <w:r w:rsidR="008B7DAC" w:rsidRPr="001B2452">
        <w:rPr>
          <w:rFonts w:ascii="Arial" w:eastAsia="Times New Roman" w:hAnsi="Arial" w:cs="Arial"/>
          <w:u w:val="single"/>
          <w:lang w:eastAsia="fr-BE"/>
        </w:rPr>
        <w:t xml:space="preserve"> ou des autres secteurs économiques que ceux visés limitativement dans la circulaire du 4 décembre 2020</w:t>
      </w:r>
      <w:r w:rsidR="000B6B97" w:rsidRPr="001B2452">
        <w:rPr>
          <w:rFonts w:ascii="Arial" w:eastAsia="Times New Roman" w:hAnsi="Arial" w:cs="Arial"/>
          <w:u w:val="single"/>
          <w:lang w:eastAsia="fr-BE"/>
        </w:rPr>
        <w:t xml:space="preserve"> ou prendre des mesures vis-à-vis de taxes non reprises dans la circulaire</w:t>
      </w:r>
      <w:r w:rsidR="00C032A6" w:rsidRPr="001B2452">
        <w:rPr>
          <w:rFonts w:ascii="Arial" w:eastAsia="Times New Roman" w:hAnsi="Arial" w:cs="Arial"/>
          <w:u w:val="single"/>
          <w:lang w:eastAsia="fr-BE"/>
        </w:rPr>
        <w:t xml:space="preserve">. </w:t>
      </w:r>
      <w:r w:rsidRPr="001B2452">
        <w:rPr>
          <w:rFonts w:ascii="Arial" w:eastAsia="Times New Roman" w:hAnsi="Arial" w:cs="Arial"/>
          <w:u w:val="single"/>
          <w:lang w:eastAsia="fr-BE"/>
        </w:rPr>
        <w:t xml:space="preserve"> </w:t>
      </w:r>
      <w:r w:rsidR="00C032A6" w:rsidRPr="001B2452">
        <w:rPr>
          <w:rFonts w:ascii="Arial" w:eastAsia="Times New Roman" w:hAnsi="Arial" w:cs="Arial"/>
          <w:u w:val="single"/>
          <w:lang w:eastAsia="fr-BE"/>
        </w:rPr>
        <w:t>Est-ce possible ?</w:t>
      </w:r>
    </w:p>
    <w:p w14:paraId="1103F506" w14:textId="7E1479DA" w:rsidR="00C032A6" w:rsidRPr="001B2452" w:rsidRDefault="008B79BD" w:rsidP="008B79BD">
      <w:pPr>
        <w:pStyle w:val="Paragraphedeliste"/>
        <w:ind w:left="360" w:firstLine="66"/>
        <w:jc w:val="both"/>
        <w:rPr>
          <w:rFonts w:ascii="Arial" w:eastAsia="Times New Roman" w:hAnsi="Arial" w:cs="Arial"/>
          <w:u w:val="single"/>
          <w:lang w:eastAsia="fr-BE"/>
        </w:rPr>
      </w:pPr>
      <w:r w:rsidRPr="001B2452">
        <w:rPr>
          <w:rFonts w:ascii="Arial" w:eastAsia="Times New Roman" w:hAnsi="Arial" w:cs="Arial"/>
          <w:u w:val="single"/>
          <w:lang w:eastAsia="fr-BE"/>
        </w:rPr>
        <w:t>B)</w:t>
      </w:r>
      <w:r w:rsidR="00C032A6" w:rsidRPr="001B2452">
        <w:rPr>
          <w:rFonts w:ascii="Arial" w:eastAsia="Times New Roman" w:hAnsi="Arial" w:cs="Arial"/>
          <w:u w:val="single"/>
          <w:lang w:eastAsia="fr-BE"/>
        </w:rPr>
        <w:t xml:space="preserve"> </w:t>
      </w:r>
      <w:r w:rsidR="00C032A6" w:rsidRPr="001B2452">
        <w:rPr>
          <w:rFonts w:ascii="Arial" w:hAnsi="Arial" w:cs="Arial"/>
          <w:u w:val="single"/>
        </w:rPr>
        <w:t xml:space="preserve">Peut-elle prétendre à la compensation régionale ? </w:t>
      </w:r>
    </w:p>
    <w:p w14:paraId="163F5B91" w14:textId="63FBCD94" w:rsidR="00C032A6" w:rsidRPr="001B2452" w:rsidRDefault="008B79BD" w:rsidP="008B79BD">
      <w:pPr>
        <w:pStyle w:val="Paragraphedeliste"/>
        <w:tabs>
          <w:tab w:val="left" w:pos="816"/>
        </w:tabs>
        <w:ind w:left="360"/>
        <w:jc w:val="both"/>
        <w:rPr>
          <w:rFonts w:ascii="Arial" w:eastAsia="Times New Roman" w:hAnsi="Arial" w:cs="Arial"/>
          <w:lang w:eastAsia="fr-BE"/>
        </w:rPr>
      </w:pPr>
      <w:r w:rsidRPr="001B2452">
        <w:rPr>
          <w:rFonts w:ascii="Arial" w:eastAsia="Times New Roman" w:hAnsi="Arial" w:cs="Arial"/>
          <w:lang w:eastAsia="fr-BE"/>
        </w:rPr>
        <w:tab/>
      </w:r>
    </w:p>
    <w:p w14:paraId="74095A1D" w14:textId="46A86C3D" w:rsidR="008B79BD" w:rsidRDefault="008B79BD" w:rsidP="008B79BD">
      <w:pPr>
        <w:pStyle w:val="Paragraphedeliste"/>
        <w:numPr>
          <w:ilvl w:val="0"/>
          <w:numId w:val="7"/>
        </w:numPr>
        <w:ind w:hanging="294"/>
        <w:jc w:val="both"/>
        <w:rPr>
          <w:rFonts w:ascii="Arial" w:eastAsia="Times New Roman" w:hAnsi="Arial" w:cs="Arial"/>
          <w:lang w:eastAsia="fr-BE"/>
        </w:rPr>
      </w:pPr>
      <w:r w:rsidRPr="001B2452">
        <w:rPr>
          <w:rFonts w:ascii="Arial" w:eastAsia="Times New Roman" w:hAnsi="Arial" w:cs="Arial"/>
          <w:lang w:eastAsia="fr-BE"/>
        </w:rPr>
        <w:t>OUI,</w:t>
      </w:r>
      <w:r w:rsidR="000B6B97" w:rsidRPr="001B2452">
        <w:rPr>
          <w:rFonts w:ascii="Arial" w:eastAsia="Times New Roman" w:hAnsi="Arial" w:cs="Arial"/>
          <w:lang w:eastAsia="fr-BE"/>
        </w:rPr>
        <w:t xml:space="preserve"> en </w:t>
      </w:r>
      <w:r w:rsidR="00A97031">
        <w:rPr>
          <w:rFonts w:ascii="Arial" w:eastAsia="Times New Roman" w:hAnsi="Arial" w:cs="Arial"/>
          <w:lang w:eastAsia="fr-BE"/>
        </w:rPr>
        <w:t>fonction</w:t>
      </w:r>
      <w:r w:rsidR="000B6B97" w:rsidRPr="001B2452">
        <w:rPr>
          <w:rFonts w:ascii="Arial" w:eastAsia="Times New Roman" w:hAnsi="Arial" w:cs="Arial"/>
          <w:lang w:eastAsia="fr-BE"/>
        </w:rPr>
        <w:t xml:space="preserve"> de son autonomie fiscale</w:t>
      </w:r>
      <w:r w:rsidRPr="001B2452">
        <w:rPr>
          <w:rFonts w:ascii="Arial" w:eastAsia="Times New Roman" w:hAnsi="Arial" w:cs="Arial"/>
          <w:lang w:eastAsia="fr-BE"/>
        </w:rPr>
        <w:t xml:space="preserve"> u</w:t>
      </w:r>
      <w:r w:rsidR="00C032A6" w:rsidRPr="001B2452">
        <w:rPr>
          <w:rFonts w:ascii="Arial" w:eastAsia="Times New Roman" w:hAnsi="Arial" w:cs="Arial"/>
          <w:lang w:eastAsia="fr-BE"/>
        </w:rPr>
        <w:t>n pouvoir local peut modérer ou réduire une taxe en faveur de</w:t>
      </w:r>
      <w:r w:rsidR="001069DF" w:rsidRPr="001B2452">
        <w:rPr>
          <w:rFonts w:ascii="Arial" w:eastAsia="Times New Roman" w:hAnsi="Arial" w:cs="Arial"/>
          <w:lang w:eastAsia="fr-BE"/>
        </w:rPr>
        <w:t xml:space="preserve"> ses</w:t>
      </w:r>
      <w:r w:rsidR="00C032A6" w:rsidRPr="001B2452">
        <w:rPr>
          <w:rFonts w:ascii="Arial" w:eastAsia="Times New Roman" w:hAnsi="Arial" w:cs="Arial"/>
          <w:lang w:eastAsia="fr-BE"/>
        </w:rPr>
        <w:t xml:space="preserve"> citoyens</w:t>
      </w:r>
      <w:r w:rsidR="000B6B97" w:rsidRPr="001B2452">
        <w:rPr>
          <w:rFonts w:ascii="Arial" w:eastAsia="Times New Roman" w:hAnsi="Arial" w:cs="Arial"/>
          <w:lang w:eastAsia="fr-BE"/>
        </w:rPr>
        <w:t>, ou des autres secteurs économiques</w:t>
      </w:r>
      <w:r w:rsidR="00C032A6" w:rsidRPr="001B2452">
        <w:rPr>
          <w:rFonts w:ascii="Arial" w:eastAsia="Times New Roman" w:hAnsi="Arial" w:cs="Arial"/>
          <w:lang w:eastAsia="fr-BE"/>
        </w:rPr>
        <w:t>.</w:t>
      </w:r>
    </w:p>
    <w:p w14:paraId="2A37798A" w14:textId="77777777" w:rsidR="00A97031" w:rsidRPr="001B2452" w:rsidRDefault="00A97031" w:rsidP="006A1773">
      <w:pPr>
        <w:pStyle w:val="Paragraphedeliste"/>
        <w:jc w:val="both"/>
        <w:rPr>
          <w:rFonts w:ascii="Arial" w:eastAsia="Times New Roman" w:hAnsi="Arial" w:cs="Arial"/>
          <w:lang w:eastAsia="fr-BE"/>
        </w:rPr>
      </w:pPr>
    </w:p>
    <w:p w14:paraId="1E973B40" w14:textId="0FA70AE5" w:rsidR="00741FDD" w:rsidRPr="001B2452" w:rsidRDefault="008B79BD" w:rsidP="00A94113">
      <w:pPr>
        <w:pStyle w:val="Paragraphedeliste"/>
        <w:numPr>
          <w:ilvl w:val="0"/>
          <w:numId w:val="7"/>
        </w:numPr>
        <w:ind w:left="709" w:hanging="294"/>
        <w:contextualSpacing w:val="0"/>
        <w:jc w:val="both"/>
        <w:rPr>
          <w:rFonts w:ascii="Arial" w:eastAsia="Times New Roman" w:hAnsi="Arial" w:cs="Arial"/>
          <w:lang w:eastAsia="fr-BE"/>
        </w:rPr>
      </w:pPr>
      <w:r w:rsidRPr="001B2452">
        <w:rPr>
          <w:rFonts w:ascii="Arial" w:eastAsia="Times New Roman" w:hAnsi="Arial" w:cs="Arial"/>
          <w:lang w:eastAsia="fr-BE"/>
        </w:rPr>
        <w:t>NON,</w:t>
      </w:r>
      <w:r w:rsidR="00C032A6" w:rsidRPr="001B2452">
        <w:rPr>
          <w:rFonts w:ascii="Arial" w:eastAsia="Times New Roman" w:hAnsi="Arial" w:cs="Arial"/>
          <w:lang w:eastAsia="fr-BE"/>
        </w:rPr>
        <w:t xml:space="preserve"> </w:t>
      </w:r>
      <w:r w:rsidRPr="001B2452">
        <w:rPr>
          <w:rFonts w:ascii="Arial" w:eastAsia="Times New Roman" w:hAnsi="Arial" w:cs="Arial"/>
          <w:lang w:eastAsia="fr-BE"/>
        </w:rPr>
        <w:t>elle</w:t>
      </w:r>
      <w:r w:rsidR="00C032A6" w:rsidRPr="001B2452">
        <w:rPr>
          <w:rFonts w:ascii="Arial" w:eastAsia="Times New Roman" w:hAnsi="Arial" w:cs="Arial"/>
          <w:lang w:eastAsia="fr-BE"/>
        </w:rPr>
        <w:t xml:space="preserve"> ne pourra pas bénéficier de la compensation régionale s</w:t>
      </w:r>
      <w:r w:rsidR="000B6B97" w:rsidRPr="001B2452">
        <w:rPr>
          <w:rFonts w:ascii="Arial" w:eastAsia="Times New Roman" w:hAnsi="Arial" w:cs="Arial"/>
          <w:lang w:eastAsia="fr-BE"/>
        </w:rPr>
        <w:t>i elle</w:t>
      </w:r>
      <w:r w:rsidR="00C032A6" w:rsidRPr="001B2452">
        <w:rPr>
          <w:rFonts w:ascii="Arial" w:eastAsia="Times New Roman" w:hAnsi="Arial" w:cs="Arial"/>
          <w:lang w:eastAsia="fr-BE"/>
        </w:rPr>
        <w:t xml:space="preserve"> ne</w:t>
      </w:r>
      <w:r w:rsidR="000B6B97" w:rsidRPr="001B2452">
        <w:rPr>
          <w:rFonts w:ascii="Arial" w:eastAsia="Times New Roman" w:hAnsi="Arial" w:cs="Arial"/>
          <w:lang w:eastAsia="fr-BE"/>
        </w:rPr>
        <w:t xml:space="preserve"> respecte ni le type de mesure (uniquement la suppression), ni </w:t>
      </w:r>
      <w:r w:rsidR="00A94113" w:rsidRPr="001B2452">
        <w:rPr>
          <w:rFonts w:ascii="Arial" w:eastAsia="Times New Roman" w:hAnsi="Arial" w:cs="Arial"/>
          <w:lang w:eastAsia="fr-BE"/>
        </w:rPr>
        <w:t>les secteurs économiques cités ni les taxes et redevances limitativement énumérées.</w:t>
      </w:r>
      <w:r w:rsidR="000B6B97" w:rsidRPr="001B2452">
        <w:rPr>
          <w:rFonts w:ascii="Arial" w:eastAsia="Times New Roman" w:hAnsi="Arial" w:cs="Arial"/>
          <w:lang w:eastAsia="fr-BE"/>
        </w:rPr>
        <w:t xml:space="preserve"> </w:t>
      </w:r>
      <w:r w:rsidR="00C032A6" w:rsidRPr="001B2452">
        <w:rPr>
          <w:rFonts w:ascii="Arial" w:eastAsia="Times New Roman" w:hAnsi="Arial" w:cs="Arial"/>
          <w:lang w:eastAsia="fr-BE"/>
        </w:rPr>
        <w:t xml:space="preserve"> </w:t>
      </w:r>
      <w:r w:rsidR="00A94113" w:rsidRPr="001B2452">
        <w:rPr>
          <w:rFonts w:ascii="Arial" w:eastAsia="Times New Roman" w:hAnsi="Arial" w:cs="Arial"/>
          <w:lang w:eastAsia="fr-BE"/>
        </w:rPr>
        <w:t>Il faut absolument cumuler toutes les conditions pour obtenir la compensation.</w:t>
      </w:r>
    </w:p>
    <w:p w14:paraId="5827C4B5" w14:textId="17F28D1C" w:rsidR="0059106F" w:rsidRDefault="005226B6" w:rsidP="008B79BD">
      <w:pPr>
        <w:pStyle w:val="Paragraphedeliste"/>
        <w:numPr>
          <w:ilvl w:val="0"/>
          <w:numId w:val="6"/>
        </w:numPr>
        <w:ind w:left="426" w:hanging="426"/>
        <w:jc w:val="both"/>
        <w:rPr>
          <w:rFonts w:ascii="Arial" w:eastAsia="Times New Roman" w:hAnsi="Arial" w:cs="Arial"/>
          <w:u w:val="single"/>
          <w:lang w:eastAsia="fr-BE"/>
        </w:rPr>
      </w:pPr>
      <w:bookmarkStart w:id="6" w:name="_Hlk58592808"/>
      <w:bookmarkStart w:id="7" w:name="_Hlk58592822"/>
      <w:r w:rsidRPr="00371B43">
        <w:rPr>
          <w:rFonts w:ascii="Arial" w:eastAsia="Times New Roman" w:hAnsi="Arial" w:cs="Arial"/>
          <w:u w:val="single"/>
          <w:lang w:eastAsia="fr-BE"/>
        </w:rPr>
        <w:t xml:space="preserve">La taxe </w:t>
      </w:r>
      <w:bookmarkEnd w:id="6"/>
      <w:r w:rsidR="00120770" w:rsidRPr="00371B43">
        <w:rPr>
          <w:rFonts w:ascii="Arial" w:eastAsia="Times New Roman" w:hAnsi="Arial" w:cs="Arial"/>
          <w:u w:val="single"/>
          <w:lang w:eastAsia="fr-BE"/>
        </w:rPr>
        <w:t xml:space="preserve">de </w:t>
      </w:r>
      <w:r w:rsidRPr="00371B43">
        <w:rPr>
          <w:rFonts w:ascii="Arial" w:eastAsia="Times New Roman" w:hAnsi="Arial" w:cs="Arial"/>
          <w:u w:val="single"/>
          <w:lang w:eastAsia="fr-BE"/>
        </w:rPr>
        <w:t xml:space="preserve">séjour peut-elle faire l’objet d’une modération ou d’une réduction ? </w:t>
      </w:r>
    </w:p>
    <w:bookmarkEnd w:id="7"/>
    <w:p w14:paraId="61F57CFF" w14:textId="77777777" w:rsidR="00796822" w:rsidRDefault="00796822" w:rsidP="004531CB">
      <w:pPr>
        <w:ind w:left="426"/>
        <w:jc w:val="both"/>
        <w:rPr>
          <w:rFonts w:ascii="Arial" w:hAnsi="Arial" w:cs="Arial"/>
        </w:rPr>
      </w:pPr>
      <w:r>
        <w:rPr>
          <w:rFonts w:ascii="Arial" w:hAnsi="Arial" w:cs="Arial"/>
        </w:rPr>
        <w:t>Oui mais ce ne sera pas compensée.</w:t>
      </w:r>
    </w:p>
    <w:p w14:paraId="172245F3" w14:textId="2FBC32CC" w:rsidR="00C0315A" w:rsidRPr="00371B43" w:rsidRDefault="00120770" w:rsidP="004531CB">
      <w:pPr>
        <w:ind w:left="426"/>
        <w:jc w:val="both"/>
        <w:rPr>
          <w:rFonts w:ascii="Arial" w:hAnsi="Arial" w:cs="Arial"/>
        </w:rPr>
      </w:pPr>
      <w:r w:rsidRPr="00371B43">
        <w:rPr>
          <w:rFonts w:ascii="Arial" w:hAnsi="Arial" w:cs="Arial"/>
        </w:rPr>
        <w:t xml:space="preserve">La circulaire du 6 avril 2020 relative à la compensation fiscale octroyée aux communes et provinces wallonnes dans le cadre de la crise du covid-19 précise que seules les taxes et redevances forfaitaires, soit réclamées pour une année ou pour une période (trimestre, semestre), sont visées par les mesures de réduction ou de modération. À l’inverse, les taxes et redevances appliquées « à l’évènement » ne seront pas, quant à elles, réclamées par le pouvoir local. Celles-ci ne peuvent donc faire l’objet d’une quelconque réduction ou modération. </w:t>
      </w:r>
    </w:p>
    <w:p w14:paraId="67B3AA31" w14:textId="0164A50E" w:rsidR="005226B6" w:rsidRDefault="00120770" w:rsidP="004531CB">
      <w:pPr>
        <w:ind w:left="426"/>
        <w:jc w:val="both"/>
        <w:rPr>
          <w:rFonts w:ascii="Arial" w:eastAsia="Times New Roman" w:hAnsi="Arial" w:cs="Arial"/>
          <w:lang w:eastAsia="fr-BE"/>
        </w:rPr>
      </w:pPr>
      <w:r w:rsidRPr="00371B43">
        <w:rPr>
          <w:rFonts w:ascii="Arial" w:eastAsia="Times New Roman" w:hAnsi="Arial" w:cs="Arial"/>
          <w:lang w:eastAsia="fr-BE"/>
        </w:rPr>
        <w:t xml:space="preserve">Concernant la taxe de séjour, elle peut être établie forfaitairement ou par nuitée (« à l’événement »). Ainsi, seules les taxes de séjour forfaitaires pourront faire l’objet d’une modération ou d’une réduction. En effet, les hôtels et autres hébergements touristiques étant fermés, il n’y aura pas de nuitée donc pas d’événement. </w:t>
      </w:r>
    </w:p>
    <w:p w14:paraId="72714A72" w14:textId="77777777" w:rsidR="00BA1E8E" w:rsidRDefault="00BA1E8E" w:rsidP="00BA1E8E">
      <w:pPr>
        <w:pStyle w:val="Paragraphedeliste"/>
        <w:numPr>
          <w:ilvl w:val="0"/>
          <w:numId w:val="6"/>
        </w:numPr>
        <w:ind w:left="426" w:hanging="426"/>
        <w:jc w:val="both"/>
        <w:rPr>
          <w:rFonts w:ascii="Arial" w:eastAsia="Times New Roman" w:hAnsi="Arial" w:cs="Arial"/>
          <w:u w:val="single"/>
          <w:lang w:eastAsia="fr-BE"/>
        </w:rPr>
      </w:pPr>
      <w:bookmarkStart w:id="8" w:name="_Hlk65221357"/>
      <w:r w:rsidRPr="00371B43">
        <w:rPr>
          <w:rFonts w:ascii="Arial" w:eastAsia="Times New Roman" w:hAnsi="Arial" w:cs="Arial"/>
          <w:u w:val="single"/>
          <w:lang w:eastAsia="fr-BE"/>
        </w:rPr>
        <w:t xml:space="preserve">La </w:t>
      </w:r>
      <w:r>
        <w:rPr>
          <w:rFonts w:ascii="Arial" w:eastAsia="Times New Roman" w:hAnsi="Arial" w:cs="Arial"/>
          <w:u w:val="single"/>
          <w:lang w:eastAsia="fr-BE"/>
        </w:rPr>
        <w:t>mesure de suppression vise notamment les droits d’emplacement sur les marchés.</w:t>
      </w:r>
    </w:p>
    <w:bookmarkEnd w:id="8"/>
    <w:p w14:paraId="6498F595" w14:textId="5B12448C" w:rsidR="00BA1E8E" w:rsidRDefault="00BA1E8E" w:rsidP="00BA1E8E">
      <w:pPr>
        <w:pStyle w:val="Paragraphedeliste"/>
        <w:numPr>
          <w:ilvl w:val="0"/>
          <w:numId w:val="8"/>
        </w:numPr>
        <w:jc w:val="both"/>
        <w:rPr>
          <w:rFonts w:ascii="Arial" w:eastAsia="Times New Roman" w:hAnsi="Arial" w:cs="Arial"/>
          <w:u w:val="single"/>
          <w:lang w:eastAsia="fr-BE"/>
        </w:rPr>
      </w:pPr>
      <w:r>
        <w:rPr>
          <w:rFonts w:ascii="Arial" w:eastAsia="Times New Roman" w:hAnsi="Arial" w:cs="Arial"/>
          <w:u w:val="single"/>
          <w:lang w:eastAsia="fr-BE"/>
        </w:rPr>
        <w:t xml:space="preserve">Est-ce que cela vise aussi les marchés de Noël ? </w:t>
      </w:r>
    </w:p>
    <w:p w14:paraId="24A677B5" w14:textId="5B123570" w:rsidR="00BA1E8E" w:rsidRDefault="00BA1E8E" w:rsidP="00BA1E8E">
      <w:pPr>
        <w:pStyle w:val="Paragraphedeliste"/>
        <w:ind w:left="786"/>
        <w:jc w:val="both"/>
        <w:rPr>
          <w:rFonts w:ascii="Arial" w:eastAsia="Times New Roman" w:hAnsi="Arial" w:cs="Arial"/>
          <w:u w:val="single"/>
          <w:lang w:eastAsia="fr-BE"/>
        </w:rPr>
      </w:pPr>
      <w:r w:rsidRPr="00BA1E8E">
        <w:rPr>
          <w:rFonts w:ascii="Arial" w:eastAsia="Times New Roman" w:hAnsi="Arial" w:cs="Arial"/>
          <w:lang w:eastAsia="fr-BE"/>
        </w:rPr>
        <w:lastRenderedPageBreak/>
        <w:t>OUI</w:t>
      </w:r>
    </w:p>
    <w:p w14:paraId="5369B9BA" w14:textId="77777777" w:rsidR="00BA1E8E" w:rsidRDefault="00BA1E8E" w:rsidP="00BA1E8E">
      <w:pPr>
        <w:pStyle w:val="Paragraphedeliste"/>
        <w:ind w:left="709" w:hanging="283"/>
        <w:jc w:val="both"/>
        <w:rPr>
          <w:rFonts w:ascii="Arial" w:eastAsia="Times New Roman" w:hAnsi="Arial" w:cs="Arial"/>
          <w:u w:val="single"/>
          <w:lang w:eastAsia="fr-BE"/>
        </w:rPr>
      </w:pPr>
      <w:r w:rsidRPr="00BA1E8E">
        <w:rPr>
          <w:rFonts w:ascii="Arial" w:eastAsia="Times New Roman" w:hAnsi="Arial" w:cs="Arial"/>
          <w:lang w:eastAsia="fr-BE"/>
        </w:rPr>
        <w:t xml:space="preserve">B) </w:t>
      </w:r>
      <w:r>
        <w:rPr>
          <w:rFonts w:ascii="Arial" w:eastAsia="Times New Roman" w:hAnsi="Arial" w:cs="Arial"/>
          <w:u w:val="single"/>
          <w:lang w:eastAsia="fr-BE"/>
        </w:rPr>
        <w:t>Est-ce que cela vise les droits d’emplacement accordé en dehors d’un marché pour un ambulant spécifique (ex : droit d’emplacement sur une place communale pour une baraque à frites) ?</w:t>
      </w:r>
    </w:p>
    <w:p w14:paraId="1D656B2C" w14:textId="3AAFAA25" w:rsidR="00BA1E8E" w:rsidRDefault="00BA1E8E" w:rsidP="00BA1E8E">
      <w:pPr>
        <w:pStyle w:val="Paragraphedeliste"/>
        <w:ind w:left="709"/>
        <w:jc w:val="both"/>
        <w:rPr>
          <w:rFonts w:ascii="Arial" w:eastAsia="Times New Roman" w:hAnsi="Arial" w:cs="Arial"/>
          <w:u w:val="single"/>
          <w:lang w:eastAsia="fr-BE"/>
        </w:rPr>
      </w:pPr>
      <w:r>
        <w:rPr>
          <w:rFonts w:ascii="Arial" w:eastAsia="Times New Roman" w:hAnsi="Arial" w:cs="Arial"/>
          <w:lang w:eastAsia="fr-BE"/>
        </w:rPr>
        <w:t>NON</w:t>
      </w:r>
      <w:r>
        <w:rPr>
          <w:rFonts w:ascii="Arial" w:eastAsia="Times New Roman" w:hAnsi="Arial" w:cs="Arial"/>
          <w:u w:val="single"/>
          <w:lang w:eastAsia="fr-BE"/>
        </w:rPr>
        <w:t xml:space="preserve"> </w:t>
      </w:r>
    </w:p>
    <w:p w14:paraId="1F35A443" w14:textId="77777777" w:rsidR="009D61DB" w:rsidRPr="009D61DB" w:rsidRDefault="009D61DB" w:rsidP="009D61DB">
      <w:pPr>
        <w:pStyle w:val="Paragraphedeliste"/>
        <w:numPr>
          <w:ilvl w:val="0"/>
          <w:numId w:val="8"/>
        </w:numPr>
        <w:jc w:val="both"/>
        <w:rPr>
          <w:rFonts w:ascii="Arial" w:eastAsia="Times New Roman" w:hAnsi="Arial" w:cs="Arial"/>
          <w:vanish/>
          <w:u w:val="single"/>
          <w:lang w:eastAsia="fr-BE"/>
        </w:rPr>
      </w:pPr>
    </w:p>
    <w:p w14:paraId="001F1214" w14:textId="1802E483" w:rsidR="009D61DB" w:rsidRDefault="009D61DB" w:rsidP="009D61DB">
      <w:pPr>
        <w:pStyle w:val="Paragraphedeliste"/>
        <w:numPr>
          <w:ilvl w:val="0"/>
          <w:numId w:val="8"/>
        </w:numPr>
        <w:jc w:val="both"/>
        <w:rPr>
          <w:rFonts w:ascii="Arial" w:eastAsia="Times New Roman" w:hAnsi="Arial" w:cs="Arial"/>
          <w:u w:val="single"/>
          <w:lang w:eastAsia="fr-BE"/>
        </w:rPr>
      </w:pPr>
      <w:r>
        <w:rPr>
          <w:rFonts w:ascii="Arial" w:eastAsia="Times New Roman" w:hAnsi="Arial" w:cs="Arial"/>
          <w:u w:val="single"/>
          <w:lang w:eastAsia="fr-BE"/>
        </w:rPr>
        <w:t>Est-ce que cela vise les concessions des marchés ?</w:t>
      </w:r>
    </w:p>
    <w:p w14:paraId="0DAF6973" w14:textId="52BC00E1" w:rsidR="009F38A0" w:rsidRPr="00770EAF" w:rsidRDefault="009F38A0" w:rsidP="00F84761">
      <w:pPr>
        <w:ind w:left="708"/>
        <w:jc w:val="both"/>
        <w:rPr>
          <w:rFonts w:ascii="Arial" w:hAnsi="Arial" w:cs="Arial"/>
        </w:rPr>
      </w:pPr>
      <w:r w:rsidRPr="00770EAF">
        <w:rPr>
          <w:rFonts w:ascii="Arial" w:hAnsi="Arial" w:cs="Arial"/>
        </w:rPr>
        <w:t xml:space="preserve">OUI car la finalité de la mesure est qu’aucun droit d’emplacement ne soit réclamé aux maraîchers et ambulants. Pour bénéficier de la compensation la commune devra donc adopter la suppression du droit d’emplacement que doit réclamer le concessionnaire. La compensation sera d’un montant équivalent à la somme </w:t>
      </w:r>
      <w:r w:rsidR="00770EAF" w:rsidRPr="00770EAF">
        <w:rPr>
          <w:rFonts w:ascii="Arial" w:hAnsi="Arial" w:cs="Arial"/>
        </w:rPr>
        <w:t>des droits supprimés.</w:t>
      </w:r>
      <w:r w:rsidRPr="00770EAF">
        <w:rPr>
          <w:rFonts w:ascii="Arial" w:hAnsi="Arial" w:cs="Arial"/>
        </w:rPr>
        <w:t xml:space="preserve"> </w:t>
      </w:r>
      <w:r w:rsidR="00770EAF" w:rsidRPr="00770EAF">
        <w:rPr>
          <w:rFonts w:ascii="Arial" w:hAnsi="Arial" w:cs="Arial"/>
        </w:rPr>
        <w:t>Cette compensation devra ensuite être répartie entre la commune et le concessionnaire.</w:t>
      </w:r>
    </w:p>
    <w:p w14:paraId="4BD8CAD8" w14:textId="192164E0" w:rsidR="00770EAF" w:rsidRDefault="00770EAF" w:rsidP="00F84761">
      <w:pPr>
        <w:ind w:left="708"/>
        <w:jc w:val="both"/>
        <w:rPr>
          <w:rFonts w:ascii="Arial" w:eastAsia="Times New Roman" w:hAnsi="Arial" w:cs="Arial"/>
          <w:lang w:eastAsia="fr-BE"/>
        </w:rPr>
      </w:pPr>
      <w:r>
        <w:rPr>
          <w:rFonts w:ascii="Arial" w:eastAsia="Times New Roman" w:hAnsi="Arial" w:cs="Arial"/>
          <w:lang w:eastAsia="fr-BE"/>
        </w:rPr>
        <w:t>Pour être concret, voici un exemple :</w:t>
      </w:r>
    </w:p>
    <w:p w14:paraId="573F5372" w14:textId="529A0B29" w:rsidR="00770EAF" w:rsidRPr="00770EAF" w:rsidRDefault="00770EAF" w:rsidP="00770EAF">
      <w:pPr>
        <w:spacing w:after="0" w:line="240" w:lineRule="auto"/>
        <w:ind w:left="709"/>
        <w:rPr>
          <w:rFonts w:ascii="Calibri" w:hAnsi="Calibri" w:cs="Calibri"/>
        </w:rPr>
      </w:pPr>
      <w:r w:rsidRPr="00770EAF">
        <w:rPr>
          <w:rFonts w:ascii="Calibri" w:hAnsi="Calibri" w:cs="Calibri"/>
        </w:rPr>
        <w:t>Une commune concède la gestion de ses marchés hebdomadaires. C’est elle qui fixe le droit d’emplacement</w:t>
      </w:r>
      <w:r>
        <w:rPr>
          <w:rFonts w:ascii="Calibri" w:hAnsi="Calibri" w:cs="Calibri"/>
        </w:rPr>
        <w:t xml:space="preserve"> via un règlement-redevance et ce montant est repris dans le contrat de concession</w:t>
      </w:r>
      <w:r w:rsidRPr="00770EAF">
        <w:rPr>
          <w:rFonts w:ascii="Calibri" w:hAnsi="Calibri" w:cs="Calibri"/>
        </w:rPr>
        <w:t>.</w:t>
      </w:r>
    </w:p>
    <w:p w14:paraId="33710ED6" w14:textId="77777777" w:rsidR="00770EAF" w:rsidRPr="00770EAF" w:rsidRDefault="00770EAF" w:rsidP="00770EAF">
      <w:pPr>
        <w:spacing w:after="0" w:line="240" w:lineRule="auto"/>
        <w:ind w:left="709"/>
        <w:rPr>
          <w:rFonts w:ascii="Calibri" w:hAnsi="Calibri" w:cs="Calibri"/>
        </w:rPr>
      </w:pPr>
    </w:p>
    <w:p w14:paraId="1352FA17"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u w:val="single"/>
        </w:rPr>
        <w:t>En temps normal</w:t>
      </w:r>
      <w:r w:rsidRPr="00770EAF">
        <w:rPr>
          <w:rFonts w:ascii="Calibri" w:hAnsi="Calibri" w:cs="Calibri"/>
        </w:rPr>
        <w:t> :</w:t>
      </w:r>
    </w:p>
    <w:p w14:paraId="71510FBB"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rPr>
        <w:t xml:space="preserve">Le concessionnaire perçoit 100.000 euros de </w:t>
      </w:r>
      <w:r w:rsidRPr="00770EAF">
        <w:rPr>
          <w:rFonts w:ascii="Calibri" w:hAnsi="Calibri" w:cs="Calibri"/>
          <w:u w:val="single"/>
        </w:rPr>
        <w:t>droits d’emplacement</w:t>
      </w:r>
      <w:r w:rsidRPr="00770EAF">
        <w:rPr>
          <w:rFonts w:ascii="Calibri" w:hAnsi="Calibri" w:cs="Calibri"/>
        </w:rPr>
        <w:t xml:space="preserve"> et en ristourne 70.000 à la commune.</w:t>
      </w:r>
    </w:p>
    <w:p w14:paraId="4DD56ECC"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rPr>
        <w:t>Soit une recette de :</w:t>
      </w:r>
    </w:p>
    <w:p w14:paraId="10085750" w14:textId="77777777" w:rsidR="00770EAF" w:rsidRPr="00770EAF" w:rsidRDefault="00770EAF" w:rsidP="00770EAF">
      <w:pPr>
        <w:numPr>
          <w:ilvl w:val="0"/>
          <w:numId w:val="11"/>
        </w:numPr>
        <w:spacing w:after="0" w:line="240" w:lineRule="auto"/>
        <w:ind w:left="1134"/>
        <w:rPr>
          <w:rFonts w:ascii="Calibri" w:eastAsia="Times New Roman" w:hAnsi="Calibri" w:cs="Calibri"/>
        </w:rPr>
      </w:pPr>
      <w:r w:rsidRPr="00770EAF">
        <w:rPr>
          <w:rFonts w:ascii="Calibri" w:eastAsia="Times New Roman" w:hAnsi="Calibri" w:cs="Calibri"/>
        </w:rPr>
        <w:t>70.000 pour la commune</w:t>
      </w:r>
    </w:p>
    <w:p w14:paraId="2B0A4B51" w14:textId="77777777" w:rsidR="00770EAF" w:rsidRPr="00770EAF" w:rsidRDefault="00770EAF" w:rsidP="00770EAF">
      <w:pPr>
        <w:numPr>
          <w:ilvl w:val="0"/>
          <w:numId w:val="11"/>
        </w:numPr>
        <w:spacing w:after="0" w:line="240" w:lineRule="auto"/>
        <w:ind w:left="1134"/>
        <w:rPr>
          <w:rFonts w:ascii="Calibri" w:eastAsia="Times New Roman" w:hAnsi="Calibri" w:cs="Calibri"/>
        </w:rPr>
      </w:pPr>
      <w:r w:rsidRPr="00770EAF">
        <w:rPr>
          <w:rFonts w:ascii="Calibri" w:eastAsia="Times New Roman" w:hAnsi="Calibri" w:cs="Calibri"/>
        </w:rPr>
        <w:t>30.000 pour le concessionnaire</w:t>
      </w:r>
    </w:p>
    <w:p w14:paraId="44F81F31" w14:textId="77777777" w:rsidR="00770EAF" w:rsidRPr="00770EAF" w:rsidRDefault="00770EAF" w:rsidP="00770EAF">
      <w:pPr>
        <w:spacing w:after="0" w:line="240" w:lineRule="auto"/>
        <w:ind w:left="1134"/>
        <w:rPr>
          <w:rFonts w:ascii="Calibri" w:hAnsi="Calibri" w:cs="Calibri"/>
        </w:rPr>
      </w:pPr>
    </w:p>
    <w:p w14:paraId="7DD1808D"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u w:val="single"/>
        </w:rPr>
        <w:t xml:space="preserve">En temps </w:t>
      </w:r>
      <w:proofErr w:type="spellStart"/>
      <w:r w:rsidRPr="00770EAF">
        <w:rPr>
          <w:rFonts w:ascii="Calibri" w:hAnsi="Calibri" w:cs="Calibri"/>
          <w:u w:val="single"/>
        </w:rPr>
        <w:t>Covid</w:t>
      </w:r>
      <w:proofErr w:type="spellEnd"/>
      <w:r w:rsidRPr="00770EAF">
        <w:rPr>
          <w:rFonts w:ascii="Calibri" w:hAnsi="Calibri" w:cs="Calibri"/>
          <w:u w:val="single"/>
        </w:rPr>
        <w:t xml:space="preserve"> 2021</w:t>
      </w:r>
      <w:r w:rsidRPr="00770EAF">
        <w:rPr>
          <w:rFonts w:ascii="Calibri" w:hAnsi="Calibri" w:cs="Calibri"/>
        </w:rPr>
        <w:t> :</w:t>
      </w:r>
    </w:p>
    <w:p w14:paraId="693D94AF" w14:textId="52B8D859" w:rsidR="00770EAF" w:rsidRPr="00770EAF" w:rsidRDefault="00770EAF" w:rsidP="00770EAF">
      <w:pPr>
        <w:spacing w:after="0" w:line="240" w:lineRule="auto"/>
        <w:ind w:left="709"/>
        <w:rPr>
          <w:rFonts w:ascii="Calibri" w:hAnsi="Calibri" w:cs="Calibri"/>
        </w:rPr>
      </w:pPr>
      <w:r w:rsidRPr="00770EAF">
        <w:rPr>
          <w:rFonts w:ascii="Calibri" w:hAnsi="Calibri" w:cs="Calibri"/>
        </w:rPr>
        <w:t xml:space="preserve">La commune met le </w:t>
      </w:r>
      <w:r w:rsidRPr="00770EAF">
        <w:rPr>
          <w:rFonts w:ascii="Calibri" w:hAnsi="Calibri" w:cs="Calibri"/>
          <w:u w:val="single"/>
        </w:rPr>
        <w:t>droit d’emplacement</w:t>
      </w:r>
      <w:r w:rsidRPr="00770EAF">
        <w:rPr>
          <w:rFonts w:ascii="Calibri" w:hAnsi="Calibri" w:cs="Calibri"/>
        </w:rPr>
        <w:t xml:space="preserve"> à 0 via une délibération </w:t>
      </w:r>
      <w:r>
        <w:rPr>
          <w:rFonts w:ascii="Calibri" w:hAnsi="Calibri" w:cs="Calibri"/>
        </w:rPr>
        <w:t xml:space="preserve">« fiscale » (qui modifie le règlement-redevance sur les droits d’emplacement sur les marchés) </w:t>
      </w:r>
      <w:r w:rsidRPr="00770EAF">
        <w:rPr>
          <w:rFonts w:ascii="Calibri" w:hAnsi="Calibri" w:cs="Calibri"/>
        </w:rPr>
        <w:t xml:space="preserve">et rédige un avenant au contrat de concession qui prévoit que le droit d’emplacement est mis à 0 et qu’une contrepartie est versée au concessionnaire à concurrence du </w:t>
      </w:r>
      <w:r w:rsidRPr="00770EAF">
        <w:rPr>
          <w:rFonts w:ascii="Calibri" w:hAnsi="Calibri" w:cs="Calibri"/>
          <w:u w:val="single"/>
        </w:rPr>
        <w:t>manque à gagner sur les droits d’emplacement</w:t>
      </w:r>
      <w:r w:rsidRPr="00770EAF">
        <w:rPr>
          <w:rFonts w:ascii="Calibri" w:hAnsi="Calibri" w:cs="Calibri"/>
        </w:rPr>
        <w:t>, soit 30.000</w:t>
      </w:r>
    </w:p>
    <w:p w14:paraId="7A7DFA54"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rPr>
        <w:t>Le coût de cette mise à 0 est de 100.000 euros.</w:t>
      </w:r>
    </w:p>
    <w:p w14:paraId="4DF952EA"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rPr>
        <w:t>La Région compense 100.000 euros à la commune qui en ristourne 30.000 au concessionnaire.</w:t>
      </w:r>
    </w:p>
    <w:p w14:paraId="312799AD" w14:textId="77777777" w:rsidR="00770EAF" w:rsidRDefault="00770EAF" w:rsidP="00770EAF">
      <w:pPr>
        <w:ind w:left="709"/>
        <w:jc w:val="both"/>
        <w:rPr>
          <w:rFonts w:ascii="Arial" w:eastAsia="Times New Roman" w:hAnsi="Arial" w:cs="Arial"/>
          <w:lang w:eastAsia="fr-BE"/>
        </w:rPr>
      </w:pPr>
    </w:p>
    <w:p w14:paraId="7A785291" w14:textId="050E64A8" w:rsidR="009D61DB" w:rsidRDefault="00F84761" w:rsidP="009D61DB">
      <w:pPr>
        <w:pStyle w:val="Paragraphedeliste"/>
        <w:numPr>
          <w:ilvl w:val="0"/>
          <w:numId w:val="8"/>
        </w:numPr>
        <w:jc w:val="both"/>
        <w:rPr>
          <w:rFonts w:ascii="Arial" w:eastAsia="Times New Roman" w:hAnsi="Arial" w:cs="Arial"/>
          <w:u w:val="single"/>
          <w:lang w:eastAsia="fr-BE"/>
        </w:rPr>
      </w:pPr>
      <w:r>
        <w:rPr>
          <w:rFonts w:ascii="Arial" w:eastAsia="Times New Roman" w:hAnsi="Arial" w:cs="Arial"/>
          <w:u w:val="single"/>
          <w:lang w:eastAsia="fr-BE"/>
        </w:rPr>
        <w:t xml:space="preserve">Est-ce que cela vise la </w:t>
      </w:r>
      <w:r w:rsidRPr="00F84761">
        <w:rPr>
          <w:rFonts w:ascii="Arial" w:eastAsia="Times New Roman" w:hAnsi="Arial" w:cs="Arial"/>
          <w:u w:val="single"/>
          <w:lang w:eastAsia="fr-BE"/>
        </w:rPr>
        <w:t>redevance pour le raccordement électrique su</w:t>
      </w:r>
      <w:r>
        <w:rPr>
          <w:rFonts w:ascii="Arial" w:eastAsia="Times New Roman" w:hAnsi="Arial" w:cs="Arial"/>
          <w:u w:val="single"/>
          <w:lang w:eastAsia="fr-BE"/>
        </w:rPr>
        <w:t>r</w:t>
      </w:r>
      <w:r w:rsidRPr="00F84761">
        <w:rPr>
          <w:rFonts w:ascii="Arial" w:eastAsia="Times New Roman" w:hAnsi="Arial" w:cs="Arial"/>
          <w:u w:val="single"/>
          <w:lang w:eastAsia="fr-BE"/>
        </w:rPr>
        <w:t xml:space="preserve"> les marchés</w:t>
      </w:r>
      <w:r>
        <w:rPr>
          <w:rFonts w:ascii="Arial" w:eastAsia="Times New Roman" w:hAnsi="Arial" w:cs="Arial"/>
          <w:u w:val="single"/>
          <w:lang w:eastAsia="fr-BE"/>
        </w:rPr>
        <w:t> ?</w:t>
      </w:r>
    </w:p>
    <w:p w14:paraId="143837CF" w14:textId="67A5B828" w:rsidR="00F84761" w:rsidRDefault="00F84761" w:rsidP="00F84761">
      <w:pPr>
        <w:pStyle w:val="Paragraphedeliste"/>
        <w:ind w:left="786"/>
        <w:jc w:val="both"/>
        <w:rPr>
          <w:rFonts w:ascii="Arial" w:eastAsia="Times New Roman" w:hAnsi="Arial" w:cs="Arial"/>
          <w:lang w:eastAsia="fr-BE"/>
        </w:rPr>
      </w:pPr>
      <w:r w:rsidRPr="00F84761">
        <w:rPr>
          <w:rFonts w:ascii="Arial" w:eastAsia="Times New Roman" w:hAnsi="Arial" w:cs="Arial"/>
          <w:lang w:eastAsia="fr-BE"/>
        </w:rPr>
        <w:t>NON</w:t>
      </w:r>
    </w:p>
    <w:p w14:paraId="5B96CC04" w14:textId="431DAE76" w:rsidR="00EF6859" w:rsidRDefault="00EF6859" w:rsidP="00F84761">
      <w:pPr>
        <w:pStyle w:val="Paragraphedeliste"/>
        <w:ind w:left="786"/>
        <w:jc w:val="both"/>
        <w:rPr>
          <w:rFonts w:ascii="Arial" w:eastAsia="Times New Roman" w:hAnsi="Arial" w:cs="Arial"/>
          <w:lang w:eastAsia="fr-BE"/>
        </w:rPr>
      </w:pPr>
    </w:p>
    <w:p w14:paraId="4B1B6A84" w14:textId="16BCAE84" w:rsidR="00EF6859" w:rsidRDefault="00EF6859" w:rsidP="00EF6859">
      <w:pPr>
        <w:pStyle w:val="Paragraphedeliste"/>
        <w:numPr>
          <w:ilvl w:val="0"/>
          <w:numId w:val="6"/>
        </w:numPr>
        <w:ind w:left="426" w:hanging="426"/>
        <w:jc w:val="both"/>
        <w:rPr>
          <w:rFonts w:ascii="Arial" w:eastAsia="Times New Roman" w:hAnsi="Arial" w:cs="Arial"/>
          <w:u w:val="single"/>
          <w:lang w:eastAsia="fr-BE"/>
        </w:rPr>
      </w:pPr>
      <w:r w:rsidRPr="00371B43">
        <w:rPr>
          <w:rFonts w:ascii="Arial" w:eastAsia="Times New Roman" w:hAnsi="Arial" w:cs="Arial"/>
          <w:u w:val="single"/>
          <w:lang w:eastAsia="fr-BE"/>
        </w:rPr>
        <w:t xml:space="preserve">La </w:t>
      </w:r>
      <w:r>
        <w:rPr>
          <w:rFonts w:ascii="Arial" w:eastAsia="Times New Roman" w:hAnsi="Arial" w:cs="Arial"/>
          <w:u w:val="single"/>
          <w:lang w:eastAsia="fr-BE"/>
        </w:rPr>
        <w:t>mesure de suppression vise notamment la redevance d’occupation du domaine public par les terrasses, tables et chaises et la taxe sur les débits de boissons. Est-ce que cela vise aussi les friteries, snack et sandwicherie qui disposent aussi de tables, chaises et terrasses </w:t>
      </w:r>
      <w:r w:rsidR="00334461">
        <w:rPr>
          <w:rFonts w:ascii="Arial" w:eastAsia="Times New Roman" w:hAnsi="Arial" w:cs="Arial"/>
          <w:u w:val="single"/>
          <w:lang w:eastAsia="fr-BE"/>
        </w:rPr>
        <w:t xml:space="preserve">intérieur /extérieur </w:t>
      </w:r>
      <w:r>
        <w:rPr>
          <w:rFonts w:ascii="Arial" w:eastAsia="Times New Roman" w:hAnsi="Arial" w:cs="Arial"/>
          <w:u w:val="single"/>
          <w:lang w:eastAsia="fr-BE"/>
        </w:rPr>
        <w:t>?</w:t>
      </w:r>
    </w:p>
    <w:p w14:paraId="0866FAB1" w14:textId="1F766B88" w:rsidR="00EF6859" w:rsidRPr="004C3F45" w:rsidRDefault="00EF6859" w:rsidP="00EF6859">
      <w:pPr>
        <w:pStyle w:val="Paragraphedeliste"/>
        <w:ind w:left="426"/>
        <w:jc w:val="both"/>
        <w:rPr>
          <w:rFonts w:ascii="Arial" w:eastAsia="Times New Roman" w:hAnsi="Arial" w:cs="Arial"/>
          <w:lang w:eastAsia="fr-BE"/>
        </w:rPr>
      </w:pPr>
      <w:r w:rsidRPr="004C3F45">
        <w:rPr>
          <w:rFonts w:ascii="Arial" w:eastAsia="Times New Roman" w:hAnsi="Arial" w:cs="Arial"/>
          <w:lang w:eastAsia="fr-BE"/>
        </w:rPr>
        <w:t>OUI</w:t>
      </w:r>
    </w:p>
    <w:p w14:paraId="64BACC1E" w14:textId="77777777" w:rsidR="00EF6859" w:rsidRDefault="00EF6859" w:rsidP="00F84761">
      <w:pPr>
        <w:pStyle w:val="Paragraphedeliste"/>
        <w:ind w:left="786"/>
        <w:jc w:val="both"/>
        <w:rPr>
          <w:rFonts w:ascii="Arial" w:eastAsia="Times New Roman" w:hAnsi="Arial" w:cs="Arial"/>
          <w:lang w:eastAsia="fr-BE"/>
        </w:rPr>
      </w:pPr>
    </w:p>
    <w:sectPr w:rsidR="00EF68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718E1" w14:textId="77777777" w:rsidR="008627AD" w:rsidRDefault="008627AD" w:rsidP="008627AD">
      <w:pPr>
        <w:spacing w:after="0" w:line="240" w:lineRule="auto"/>
      </w:pPr>
      <w:r>
        <w:separator/>
      </w:r>
    </w:p>
  </w:endnote>
  <w:endnote w:type="continuationSeparator" w:id="0">
    <w:p w14:paraId="2CDB4466" w14:textId="77777777" w:rsidR="008627AD" w:rsidRDefault="008627AD" w:rsidP="0086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2D89" w14:textId="77777777" w:rsidR="008627AD" w:rsidRDefault="008627AD" w:rsidP="008627AD">
      <w:pPr>
        <w:spacing w:after="0" w:line="240" w:lineRule="auto"/>
      </w:pPr>
      <w:r>
        <w:separator/>
      </w:r>
    </w:p>
  </w:footnote>
  <w:footnote w:type="continuationSeparator" w:id="0">
    <w:p w14:paraId="6640A021" w14:textId="77777777" w:rsidR="008627AD" w:rsidRDefault="008627AD" w:rsidP="00862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4D6"/>
    <w:multiLevelType w:val="hybridMultilevel"/>
    <w:tmpl w:val="766EFCE2"/>
    <w:lvl w:ilvl="0" w:tplc="94227358">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DDA1EC0"/>
    <w:multiLevelType w:val="hybridMultilevel"/>
    <w:tmpl w:val="F04EA3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217F55"/>
    <w:multiLevelType w:val="hybridMultilevel"/>
    <w:tmpl w:val="BE4E2D90"/>
    <w:lvl w:ilvl="0" w:tplc="FAC87BB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657694C"/>
    <w:multiLevelType w:val="hybridMultilevel"/>
    <w:tmpl w:val="91B2EA20"/>
    <w:lvl w:ilvl="0" w:tplc="7388BD50">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40D612E0"/>
    <w:multiLevelType w:val="hybridMultilevel"/>
    <w:tmpl w:val="7D520EE6"/>
    <w:lvl w:ilvl="0" w:tplc="B058A7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5C0294"/>
    <w:multiLevelType w:val="hybridMultilevel"/>
    <w:tmpl w:val="ACC0EB72"/>
    <w:lvl w:ilvl="0" w:tplc="F5DCB62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27433E"/>
    <w:multiLevelType w:val="hybridMultilevel"/>
    <w:tmpl w:val="4B3A492E"/>
    <w:lvl w:ilvl="0" w:tplc="BBD2E42C">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66DB3607"/>
    <w:multiLevelType w:val="hybridMultilevel"/>
    <w:tmpl w:val="0CDCBC84"/>
    <w:lvl w:ilvl="0" w:tplc="BE94A9E4">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6AF15D3D"/>
    <w:multiLevelType w:val="hybridMultilevel"/>
    <w:tmpl w:val="6C4AAE4A"/>
    <w:lvl w:ilvl="0" w:tplc="C4D22F6C">
      <w:start w:val="1"/>
      <w:numFmt w:val="bullet"/>
      <w:lvlText w:val=""/>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5F04FE"/>
    <w:multiLevelType w:val="hybridMultilevel"/>
    <w:tmpl w:val="2C38AAD6"/>
    <w:lvl w:ilvl="0" w:tplc="CCD6A6A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D185194"/>
    <w:multiLevelType w:val="hybridMultilevel"/>
    <w:tmpl w:val="C1847E4E"/>
    <w:lvl w:ilvl="0" w:tplc="DE0E5168">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8"/>
  </w:num>
  <w:num w:numId="6">
    <w:abstractNumId w:val="1"/>
  </w:num>
  <w:num w:numId="7">
    <w:abstractNumId w:val="2"/>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72"/>
    <w:rsid w:val="000359A3"/>
    <w:rsid w:val="000919D1"/>
    <w:rsid w:val="000A018A"/>
    <w:rsid w:val="000B6B97"/>
    <w:rsid w:val="000C2025"/>
    <w:rsid w:val="000D2C04"/>
    <w:rsid w:val="00102ADC"/>
    <w:rsid w:val="001069DF"/>
    <w:rsid w:val="00120770"/>
    <w:rsid w:val="001335A2"/>
    <w:rsid w:val="001641CF"/>
    <w:rsid w:val="001A79C3"/>
    <w:rsid w:val="001B2452"/>
    <w:rsid w:val="001C25B7"/>
    <w:rsid w:val="0020509D"/>
    <w:rsid w:val="002071B6"/>
    <w:rsid w:val="00212363"/>
    <w:rsid w:val="002418D2"/>
    <w:rsid w:val="002852BB"/>
    <w:rsid w:val="002932D4"/>
    <w:rsid w:val="00310351"/>
    <w:rsid w:val="003329CB"/>
    <w:rsid w:val="003330B7"/>
    <w:rsid w:val="00333A93"/>
    <w:rsid w:val="00334461"/>
    <w:rsid w:val="00367453"/>
    <w:rsid w:val="00371B2A"/>
    <w:rsid w:val="00371B43"/>
    <w:rsid w:val="00384216"/>
    <w:rsid w:val="003A2B65"/>
    <w:rsid w:val="003A4ECA"/>
    <w:rsid w:val="003E447D"/>
    <w:rsid w:val="004448FB"/>
    <w:rsid w:val="004531CB"/>
    <w:rsid w:val="004547BD"/>
    <w:rsid w:val="004C142A"/>
    <w:rsid w:val="004C3F45"/>
    <w:rsid w:val="005226B6"/>
    <w:rsid w:val="00532254"/>
    <w:rsid w:val="0059106F"/>
    <w:rsid w:val="005A3D78"/>
    <w:rsid w:val="0060311E"/>
    <w:rsid w:val="00632E90"/>
    <w:rsid w:val="006532F7"/>
    <w:rsid w:val="006A0637"/>
    <w:rsid w:val="006A1773"/>
    <w:rsid w:val="006A4D05"/>
    <w:rsid w:val="006A6050"/>
    <w:rsid w:val="00712C94"/>
    <w:rsid w:val="00727AE3"/>
    <w:rsid w:val="00741FDD"/>
    <w:rsid w:val="00770EAF"/>
    <w:rsid w:val="00785BC5"/>
    <w:rsid w:val="00796822"/>
    <w:rsid w:val="00805D93"/>
    <w:rsid w:val="00814797"/>
    <w:rsid w:val="0083071A"/>
    <w:rsid w:val="00843E16"/>
    <w:rsid w:val="008459D8"/>
    <w:rsid w:val="008627AD"/>
    <w:rsid w:val="008B79BD"/>
    <w:rsid w:val="008B7DAC"/>
    <w:rsid w:val="008C01B1"/>
    <w:rsid w:val="008C6094"/>
    <w:rsid w:val="009143FB"/>
    <w:rsid w:val="00923E43"/>
    <w:rsid w:val="009D61DB"/>
    <w:rsid w:val="009F38A0"/>
    <w:rsid w:val="00A54FC6"/>
    <w:rsid w:val="00A60910"/>
    <w:rsid w:val="00A77CD1"/>
    <w:rsid w:val="00A94113"/>
    <w:rsid w:val="00A97031"/>
    <w:rsid w:val="00AA648F"/>
    <w:rsid w:val="00AB37F2"/>
    <w:rsid w:val="00AD2773"/>
    <w:rsid w:val="00B21A25"/>
    <w:rsid w:val="00B77484"/>
    <w:rsid w:val="00B91272"/>
    <w:rsid w:val="00BA1E8E"/>
    <w:rsid w:val="00BA3EC6"/>
    <w:rsid w:val="00C019E7"/>
    <w:rsid w:val="00C0315A"/>
    <w:rsid w:val="00C032A6"/>
    <w:rsid w:val="00C348B8"/>
    <w:rsid w:val="00C447A8"/>
    <w:rsid w:val="00C607AF"/>
    <w:rsid w:val="00C65E37"/>
    <w:rsid w:val="00C741D7"/>
    <w:rsid w:val="00CE5644"/>
    <w:rsid w:val="00CF0B65"/>
    <w:rsid w:val="00CF422D"/>
    <w:rsid w:val="00DB2EA7"/>
    <w:rsid w:val="00DC1118"/>
    <w:rsid w:val="00DC5D95"/>
    <w:rsid w:val="00DD09E9"/>
    <w:rsid w:val="00E17204"/>
    <w:rsid w:val="00E3328D"/>
    <w:rsid w:val="00E4260B"/>
    <w:rsid w:val="00E62307"/>
    <w:rsid w:val="00E8150D"/>
    <w:rsid w:val="00EA391C"/>
    <w:rsid w:val="00EA6C67"/>
    <w:rsid w:val="00EB597E"/>
    <w:rsid w:val="00EF5C70"/>
    <w:rsid w:val="00EF67EF"/>
    <w:rsid w:val="00EF6859"/>
    <w:rsid w:val="00F1106E"/>
    <w:rsid w:val="00F14541"/>
    <w:rsid w:val="00F268B8"/>
    <w:rsid w:val="00F83147"/>
    <w:rsid w:val="00F84761"/>
    <w:rsid w:val="00F85EAE"/>
    <w:rsid w:val="00FC64C9"/>
    <w:rsid w:val="00FD4A0D"/>
    <w:rsid w:val="00FE2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9B09C"/>
  <w15:chartTrackingRefBased/>
  <w15:docId w15:val="{516C805C-65F7-41F2-B8C8-266C84D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7A8"/>
    <w:pPr>
      <w:ind w:left="720"/>
      <w:contextualSpacing/>
    </w:pPr>
  </w:style>
  <w:style w:type="character" w:styleId="Lienhypertexte">
    <w:name w:val="Hyperlink"/>
    <w:basedOn w:val="Policepardfaut"/>
    <w:uiPriority w:val="99"/>
    <w:unhideWhenUsed/>
    <w:rsid w:val="00843E16"/>
    <w:rPr>
      <w:color w:val="0000FF" w:themeColor="hyperlink"/>
      <w:u w:val="single"/>
    </w:rPr>
  </w:style>
  <w:style w:type="character" w:styleId="Mentionnonrsolue">
    <w:name w:val="Unresolved Mention"/>
    <w:basedOn w:val="Policepardfaut"/>
    <w:uiPriority w:val="99"/>
    <w:semiHidden/>
    <w:unhideWhenUsed/>
    <w:rsid w:val="00843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663">
      <w:bodyDiv w:val="1"/>
      <w:marLeft w:val="0"/>
      <w:marRight w:val="0"/>
      <w:marTop w:val="0"/>
      <w:marBottom w:val="0"/>
      <w:divBdr>
        <w:top w:val="none" w:sz="0" w:space="0" w:color="auto"/>
        <w:left w:val="none" w:sz="0" w:space="0" w:color="auto"/>
        <w:bottom w:val="none" w:sz="0" w:space="0" w:color="auto"/>
        <w:right w:val="none" w:sz="0" w:space="0" w:color="auto"/>
      </w:divBdr>
    </w:div>
    <w:div w:id="34620236">
      <w:bodyDiv w:val="1"/>
      <w:marLeft w:val="0"/>
      <w:marRight w:val="0"/>
      <w:marTop w:val="0"/>
      <w:marBottom w:val="0"/>
      <w:divBdr>
        <w:top w:val="none" w:sz="0" w:space="0" w:color="auto"/>
        <w:left w:val="none" w:sz="0" w:space="0" w:color="auto"/>
        <w:bottom w:val="none" w:sz="0" w:space="0" w:color="auto"/>
        <w:right w:val="none" w:sz="0" w:space="0" w:color="auto"/>
      </w:divBdr>
    </w:div>
    <w:div w:id="131754577">
      <w:bodyDiv w:val="1"/>
      <w:marLeft w:val="0"/>
      <w:marRight w:val="0"/>
      <w:marTop w:val="0"/>
      <w:marBottom w:val="0"/>
      <w:divBdr>
        <w:top w:val="none" w:sz="0" w:space="0" w:color="auto"/>
        <w:left w:val="none" w:sz="0" w:space="0" w:color="auto"/>
        <w:bottom w:val="none" w:sz="0" w:space="0" w:color="auto"/>
        <w:right w:val="none" w:sz="0" w:space="0" w:color="auto"/>
      </w:divBdr>
    </w:div>
    <w:div w:id="167335952">
      <w:bodyDiv w:val="1"/>
      <w:marLeft w:val="0"/>
      <w:marRight w:val="0"/>
      <w:marTop w:val="0"/>
      <w:marBottom w:val="0"/>
      <w:divBdr>
        <w:top w:val="none" w:sz="0" w:space="0" w:color="auto"/>
        <w:left w:val="none" w:sz="0" w:space="0" w:color="auto"/>
        <w:bottom w:val="none" w:sz="0" w:space="0" w:color="auto"/>
        <w:right w:val="none" w:sz="0" w:space="0" w:color="auto"/>
      </w:divBdr>
    </w:div>
    <w:div w:id="295917926">
      <w:bodyDiv w:val="1"/>
      <w:marLeft w:val="0"/>
      <w:marRight w:val="0"/>
      <w:marTop w:val="0"/>
      <w:marBottom w:val="0"/>
      <w:divBdr>
        <w:top w:val="none" w:sz="0" w:space="0" w:color="auto"/>
        <w:left w:val="none" w:sz="0" w:space="0" w:color="auto"/>
        <w:bottom w:val="none" w:sz="0" w:space="0" w:color="auto"/>
        <w:right w:val="none" w:sz="0" w:space="0" w:color="auto"/>
      </w:divBdr>
    </w:div>
    <w:div w:id="315887883">
      <w:bodyDiv w:val="1"/>
      <w:marLeft w:val="0"/>
      <w:marRight w:val="0"/>
      <w:marTop w:val="0"/>
      <w:marBottom w:val="0"/>
      <w:divBdr>
        <w:top w:val="none" w:sz="0" w:space="0" w:color="auto"/>
        <w:left w:val="none" w:sz="0" w:space="0" w:color="auto"/>
        <w:bottom w:val="none" w:sz="0" w:space="0" w:color="auto"/>
        <w:right w:val="none" w:sz="0" w:space="0" w:color="auto"/>
      </w:divBdr>
    </w:div>
    <w:div w:id="397679556">
      <w:bodyDiv w:val="1"/>
      <w:marLeft w:val="0"/>
      <w:marRight w:val="0"/>
      <w:marTop w:val="0"/>
      <w:marBottom w:val="0"/>
      <w:divBdr>
        <w:top w:val="none" w:sz="0" w:space="0" w:color="auto"/>
        <w:left w:val="none" w:sz="0" w:space="0" w:color="auto"/>
        <w:bottom w:val="none" w:sz="0" w:space="0" w:color="auto"/>
        <w:right w:val="none" w:sz="0" w:space="0" w:color="auto"/>
      </w:divBdr>
    </w:div>
    <w:div w:id="473332865">
      <w:bodyDiv w:val="1"/>
      <w:marLeft w:val="0"/>
      <w:marRight w:val="0"/>
      <w:marTop w:val="0"/>
      <w:marBottom w:val="0"/>
      <w:divBdr>
        <w:top w:val="none" w:sz="0" w:space="0" w:color="auto"/>
        <w:left w:val="none" w:sz="0" w:space="0" w:color="auto"/>
        <w:bottom w:val="none" w:sz="0" w:space="0" w:color="auto"/>
        <w:right w:val="none" w:sz="0" w:space="0" w:color="auto"/>
      </w:divBdr>
    </w:div>
    <w:div w:id="547380224">
      <w:bodyDiv w:val="1"/>
      <w:marLeft w:val="0"/>
      <w:marRight w:val="0"/>
      <w:marTop w:val="0"/>
      <w:marBottom w:val="0"/>
      <w:divBdr>
        <w:top w:val="none" w:sz="0" w:space="0" w:color="auto"/>
        <w:left w:val="none" w:sz="0" w:space="0" w:color="auto"/>
        <w:bottom w:val="none" w:sz="0" w:space="0" w:color="auto"/>
        <w:right w:val="none" w:sz="0" w:space="0" w:color="auto"/>
      </w:divBdr>
    </w:div>
    <w:div w:id="685912025">
      <w:bodyDiv w:val="1"/>
      <w:marLeft w:val="0"/>
      <w:marRight w:val="0"/>
      <w:marTop w:val="0"/>
      <w:marBottom w:val="0"/>
      <w:divBdr>
        <w:top w:val="none" w:sz="0" w:space="0" w:color="auto"/>
        <w:left w:val="none" w:sz="0" w:space="0" w:color="auto"/>
        <w:bottom w:val="none" w:sz="0" w:space="0" w:color="auto"/>
        <w:right w:val="none" w:sz="0" w:space="0" w:color="auto"/>
      </w:divBdr>
    </w:div>
    <w:div w:id="776410736">
      <w:bodyDiv w:val="1"/>
      <w:marLeft w:val="0"/>
      <w:marRight w:val="0"/>
      <w:marTop w:val="0"/>
      <w:marBottom w:val="0"/>
      <w:divBdr>
        <w:top w:val="none" w:sz="0" w:space="0" w:color="auto"/>
        <w:left w:val="none" w:sz="0" w:space="0" w:color="auto"/>
        <w:bottom w:val="none" w:sz="0" w:space="0" w:color="auto"/>
        <w:right w:val="none" w:sz="0" w:space="0" w:color="auto"/>
      </w:divBdr>
    </w:div>
    <w:div w:id="826750627">
      <w:bodyDiv w:val="1"/>
      <w:marLeft w:val="0"/>
      <w:marRight w:val="0"/>
      <w:marTop w:val="0"/>
      <w:marBottom w:val="0"/>
      <w:divBdr>
        <w:top w:val="none" w:sz="0" w:space="0" w:color="auto"/>
        <w:left w:val="none" w:sz="0" w:space="0" w:color="auto"/>
        <w:bottom w:val="none" w:sz="0" w:space="0" w:color="auto"/>
        <w:right w:val="none" w:sz="0" w:space="0" w:color="auto"/>
      </w:divBdr>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83446853">
      <w:bodyDiv w:val="1"/>
      <w:marLeft w:val="0"/>
      <w:marRight w:val="0"/>
      <w:marTop w:val="0"/>
      <w:marBottom w:val="0"/>
      <w:divBdr>
        <w:top w:val="none" w:sz="0" w:space="0" w:color="auto"/>
        <w:left w:val="none" w:sz="0" w:space="0" w:color="auto"/>
        <w:bottom w:val="none" w:sz="0" w:space="0" w:color="auto"/>
        <w:right w:val="none" w:sz="0" w:space="0" w:color="auto"/>
      </w:divBdr>
    </w:div>
    <w:div w:id="970742318">
      <w:bodyDiv w:val="1"/>
      <w:marLeft w:val="0"/>
      <w:marRight w:val="0"/>
      <w:marTop w:val="0"/>
      <w:marBottom w:val="0"/>
      <w:divBdr>
        <w:top w:val="none" w:sz="0" w:space="0" w:color="auto"/>
        <w:left w:val="none" w:sz="0" w:space="0" w:color="auto"/>
        <w:bottom w:val="none" w:sz="0" w:space="0" w:color="auto"/>
        <w:right w:val="none" w:sz="0" w:space="0" w:color="auto"/>
      </w:divBdr>
    </w:div>
    <w:div w:id="1024477031">
      <w:bodyDiv w:val="1"/>
      <w:marLeft w:val="0"/>
      <w:marRight w:val="0"/>
      <w:marTop w:val="0"/>
      <w:marBottom w:val="0"/>
      <w:divBdr>
        <w:top w:val="none" w:sz="0" w:space="0" w:color="auto"/>
        <w:left w:val="none" w:sz="0" w:space="0" w:color="auto"/>
        <w:bottom w:val="none" w:sz="0" w:space="0" w:color="auto"/>
        <w:right w:val="none" w:sz="0" w:space="0" w:color="auto"/>
      </w:divBdr>
    </w:div>
    <w:div w:id="1047803158">
      <w:bodyDiv w:val="1"/>
      <w:marLeft w:val="0"/>
      <w:marRight w:val="0"/>
      <w:marTop w:val="0"/>
      <w:marBottom w:val="0"/>
      <w:divBdr>
        <w:top w:val="none" w:sz="0" w:space="0" w:color="auto"/>
        <w:left w:val="none" w:sz="0" w:space="0" w:color="auto"/>
        <w:bottom w:val="none" w:sz="0" w:space="0" w:color="auto"/>
        <w:right w:val="none" w:sz="0" w:space="0" w:color="auto"/>
      </w:divBdr>
    </w:div>
    <w:div w:id="1094329047">
      <w:bodyDiv w:val="1"/>
      <w:marLeft w:val="0"/>
      <w:marRight w:val="0"/>
      <w:marTop w:val="0"/>
      <w:marBottom w:val="0"/>
      <w:divBdr>
        <w:top w:val="none" w:sz="0" w:space="0" w:color="auto"/>
        <w:left w:val="none" w:sz="0" w:space="0" w:color="auto"/>
        <w:bottom w:val="none" w:sz="0" w:space="0" w:color="auto"/>
        <w:right w:val="none" w:sz="0" w:space="0" w:color="auto"/>
      </w:divBdr>
    </w:div>
    <w:div w:id="1112362961">
      <w:bodyDiv w:val="1"/>
      <w:marLeft w:val="0"/>
      <w:marRight w:val="0"/>
      <w:marTop w:val="0"/>
      <w:marBottom w:val="0"/>
      <w:divBdr>
        <w:top w:val="none" w:sz="0" w:space="0" w:color="auto"/>
        <w:left w:val="none" w:sz="0" w:space="0" w:color="auto"/>
        <w:bottom w:val="none" w:sz="0" w:space="0" w:color="auto"/>
        <w:right w:val="none" w:sz="0" w:space="0" w:color="auto"/>
      </w:divBdr>
    </w:div>
    <w:div w:id="1163929339">
      <w:bodyDiv w:val="1"/>
      <w:marLeft w:val="0"/>
      <w:marRight w:val="0"/>
      <w:marTop w:val="0"/>
      <w:marBottom w:val="0"/>
      <w:divBdr>
        <w:top w:val="none" w:sz="0" w:space="0" w:color="auto"/>
        <w:left w:val="none" w:sz="0" w:space="0" w:color="auto"/>
        <w:bottom w:val="none" w:sz="0" w:space="0" w:color="auto"/>
        <w:right w:val="none" w:sz="0" w:space="0" w:color="auto"/>
      </w:divBdr>
    </w:div>
    <w:div w:id="1236090960">
      <w:bodyDiv w:val="1"/>
      <w:marLeft w:val="0"/>
      <w:marRight w:val="0"/>
      <w:marTop w:val="0"/>
      <w:marBottom w:val="0"/>
      <w:divBdr>
        <w:top w:val="none" w:sz="0" w:space="0" w:color="auto"/>
        <w:left w:val="none" w:sz="0" w:space="0" w:color="auto"/>
        <w:bottom w:val="none" w:sz="0" w:space="0" w:color="auto"/>
        <w:right w:val="none" w:sz="0" w:space="0" w:color="auto"/>
      </w:divBdr>
    </w:div>
    <w:div w:id="1256985541">
      <w:bodyDiv w:val="1"/>
      <w:marLeft w:val="0"/>
      <w:marRight w:val="0"/>
      <w:marTop w:val="0"/>
      <w:marBottom w:val="0"/>
      <w:divBdr>
        <w:top w:val="none" w:sz="0" w:space="0" w:color="auto"/>
        <w:left w:val="none" w:sz="0" w:space="0" w:color="auto"/>
        <w:bottom w:val="none" w:sz="0" w:space="0" w:color="auto"/>
        <w:right w:val="none" w:sz="0" w:space="0" w:color="auto"/>
      </w:divBdr>
    </w:div>
    <w:div w:id="1259097521">
      <w:bodyDiv w:val="1"/>
      <w:marLeft w:val="0"/>
      <w:marRight w:val="0"/>
      <w:marTop w:val="0"/>
      <w:marBottom w:val="0"/>
      <w:divBdr>
        <w:top w:val="none" w:sz="0" w:space="0" w:color="auto"/>
        <w:left w:val="none" w:sz="0" w:space="0" w:color="auto"/>
        <w:bottom w:val="none" w:sz="0" w:space="0" w:color="auto"/>
        <w:right w:val="none" w:sz="0" w:space="0" w:color="auto"/>
      </w:divBdr>
    </w:div>
    <w:div w:id="1321426280">
      <w:bodyDiv w:val="1"/>
      <w:marLeft w:val="0"/>
      <w:marRight w:val="0"/>
      <w:marTop w:val="0"/>
      <w:marBottom w:val="0"/>
      <w:divBdr>
        <w:top w:val="none" w:sz="0" w:space="0" w:color="auto"/>
        <w:left w:val="none" w:sz="0" w:space="0" w:color="auto"/>
        <w:bottom w:val="none" w:sz="0" w:space="0" w:color="auto"/>
        <w:right w:val="none" w:sz="0" w:space="0" w:color="auto"/>
      </w:divBdr>
    </w:div>
    <w:div w:id="1370031131">
      <w:bodyDiv w:val="1"/>
      <w:marLeft w:val="0"/>
      <w:marRight w:val="0"/>
      <w:marTop w:val="0"/>
      <w:marBottom w:val="0"/>
      <w:divBdr>
        <w:top w:val="none" w:sz="0" w:space="0" w:color="auto"/>
        <w:left w:val="none" w:sz="0" w:space="0" w:color="auto"/>
        <w:bottom w:val="none" w:sz="0" w:space="0" w:color="auto"/>
        <w:right w:val="none" w:sz="0" w:space="0" w:color="auto"/>
      </w:divBdr>
    </w:div>
    <w:div w:id="1401097805">
      <w:bodyDiv w:val="1"/>
      <w:marLeft w:val="0"/>
      <w:marRight w:val="0"/>
      <w:marTop w:val="0"/>
      <w:marBottom w:val="0"/>
      <w:divBdr>
        <w:top w:val="none" w:sz="0" w:space="0" w:color="auto"/>
        <w:left w:val="none" w:sz="0" w:space="0" w:color="auto"/>
        <w:bottom w:val="none" w:sz="0" w:space="0" w:color="auto"/>
        <w:right w:val="none" w:sz="0" w:space="0" w:color="auto"/>
      </w:divBdr>
    </w:div>
    <w:div w:id="1485245937">
      <w:bodyDiv w:val="1"/>
      <w:marLeft w:val="0"/>
      <w:marRight w:val="0"/>
      <w:marTop w:val="0"/>
      <w:marBottom w:val="0"/>
      <w:divBdr>
        <w:top w:val="none" w:sz="0" w:space="0" w:color="auto"/>
        <w:left w:val="none" w:sz="0" w:space="0" w:color="auto"/>
        <w:bottom w:val="none" w:sz="0" w:space="0" w:color="auto"/>
        <w:right w:val="none" w:sz="0" w:space="0" w:color="auto"/>
      </w:divBdr>
    </w:div>
    <w:div w:id="1517226886">
      <w:bodyDiv w:val="1"/>
      <w:marLeft w:val="0"/>
      <w:marRight w:val="0"/>
      <w:marTop w:val="0"/>
      <w:marBottom w:val="0"/>
      <w:divBdr>
        <w:top w:val="none" w:sz="0" w:space="0" w:color="auto"/>
        <w:left w:val="none" w:sz="0" w:space="0" w:color="auto"/>
        <w:bottom w:val="none" w:sz="0" w:space="0" w:color="auto"/>
        <w:right w:val="none" w:sz="0" w:space="0" w:color="auto"/>
      </w:divBdr>
    </w:div>
    <w:div w:id="1532449767">
      <w:bodyDiv w:val="1"/>
      <w:marLeft w:val="0"/>
      <w:marRight w:val="0"/>
      <w:marTop w:val="0"/>
      <w:marBottom w:val="0"/>
      <w:divBdr>
        <w:top w:val="none" w:sz="0" w:space="0" w:color="auto"/>
        <w:left w:val="none" w:sz="0" w:space="0" w:color="auto"/>
        <w:bottom w:val="none" w:sz="0" w:space="0" w:color="auto"/>
        <w:right w:val="none" w:sz="0" w:space="0" w:color="auto"/>
      </w:divBdr>
    </w:div>
    <w:div w:id="1667660823">
      <w:bodyDiv w:val="1"/>
      <w:marLeft w:val="0"/>
      <w:marRight w:val="0"/>
      <w:marTop w:val="0"/>
      <w:marBottom w:val="0"/>
      <w:divBdr>
        <w:top w:val="none" w:sz="0" w:space="0" w:color="auto"/>
        <w:left w:val="none" w:sz="0" w:space="0" w:color="auto"/>
        <w:bottom w:val="none" w:sz="0" w:space="0" w:color="auto"/>
        <w:right w:val="none" w:sz="0" w:space="0" w:color="auto"/>
      </w:divBdr>
    </w:div>
    <w:div w:id="1736777826">
      <w:bodyDiv w:val="1"/>
      <w:marLeft w:val="0"/>
      <w:marRight w:val="0"/>
      <w:marTop w:val="0"/>
      <w:marBottom w:val="0"/>
      <w:divBdr>
        <w:top w:val="none" w:sz="0" w:space="0" w:color="auto"/>
        <w:left w:val="none" w:sz="0" w:space="0" w:color="auto"/>
        <w:bottom w:val="none" w:sz="0" w:space="0" w:color="auto"/>
        <w:right w:val="none" w:sz="0" w:space="0" w:color="auto"/>
      </w:divBdr>
    </w:div>
    <w:div w:id="1800564911">
      <w:bodyDiv w:val="1"/>
      <w:marLeft w:val="0"/>
      <w:marRight w:val="0"/>
      <w:marTop w:val="0"/>
      <w:marBottom w:val="0"/>
      <w:divBdr>
        <w:top w:val="none" w:sz="0" w:space="0" w:color="auto"/>
        <w:left w:val="none" w:sz="0" w:space="0" w:color="auto"/>
        <w:bottom w:val="none" w:sz="0" w:space="0" w:color="auto"/>
        <w:right w:val="none" w:sz="0" w:space="0" w:color="auto"/>
      </w:divBdr>
    </w:div>
    <w:div w:id="1825967475">
      <w:bodyDiv w:val="1"/>
      <w:marLeft w:val="0"/>
      <w:marRight w:val="0"/>
      <w:marTop w:val="0"/>
      <w:marBottom w:val="0"/>
      <w:divBdr>
        <w:top w:val="none" w:sz="0" w:space="0" w:color="auto"/>
        <w:left w:val="none" w:sz="0" w:space="0" w:color="auto"/>
        <w:bottom w:val="none" w:sz="0" w:space="0" w:color="auto"/>
        <w:right w:val="none" w:sz="0" w:space="0" w:color="auto"/>
      </w:divBdr>
    </w:div>
    <w:div w:id="1830513617">
      <w:bodyDiv w:val="1"/>
      <w:marLeft w:val="0"/>
      <w:marRight w:val="0"/>
      <w:marTop w:val="0"/>
      <w:marBottom w:val="0"/>
      <w:divBdr>
        <w:top w:val="none" w:sz="0" w:space="0" w:color="auto"/>
        <w:left w:val="none" w:sz="0" w:space="0" w:color="auto"/>
        <w:bottom w:val="none" w:sz="0" w:space="0" w:color="auto"/>
        <w:right w:val="none" w:sz="0" w:space="0" w:color="auto"/>
      </w:divBdr>
    </w:div>
    <w:div w:id="1850564122">
      <w:bodyDiv w:val="1"/>
      <w:marLeft w:val="0"/>
      <w:marRight w:val="0"/>
      <w:marTop w:val="0"/>
      <w:marBottom w:val="0"/>
      <w:divBdr>
        <w:top w:val="none" w:sz="0" w:space="0" w:color="auto"/>
        <w:left w:val="none" w:sz="0" w:space="0" w:color="auto"/>
        <w:bottom w:val="none" w:sz="0" w:space="0" w:color="auto"/>
        <w:right w:val="none" w:sz="0" w:space="0" w:color="auto"/>
      </w:divBdr>
    </w:div>
    <w:div w:id="1877113927">
      <w:bodyDiv w:val="1"/>
      <w:marLeft w:val="0"/>
      <w:marRight w:val="0"/>
      <w:marTop w:val="0"/>
      <w:marBottom w:val="0"/>
      <w:divBdr>
        <w:top w:val="none" w:sz="0" w:space="0" w:color="auto"/>
        <w:left w:val="none" w:sz="0" w:space="0" w:color="auto"/>
        <w:bottom w:val="none" w:sz="0" w:space="0" w:color="auto"/>
        <w:right w:val="none" w:sz="0" w:space="0" w:color="auto"/>
      </w:divBdr>
    </w:div>
    <w:div w:id="21403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sfin.dgo5@spw.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1504</Words>
  <Characters>8276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SCHWANEN France</dc:creator>
  <cp:keywords/>
  <dc:description/>
  <cp:lastModifiedBy>KNAPEN Philippe</cp:lastModifiedBy>
  <cp:revision>3</cp:revision>
  <dcterms:created xsi:type="dcterms:W3CDTF">2021-03-03T11:23:00Z</dcterms:created>
  <dcterms:modified xsi:type="dcterms:W3CDTF">2021-03-03T11:23:00Z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france.schwanen@spw.wallonie.be</vt:lpwstr>
  </property>
  <property fmtid="{D5CDD505-2E9C-101B-9397-08002B2CF9AE}" pid="5" name="MSIP_Label_e72a09c5-6e26-4737-a926-47ef1ab198ae_SetDate">
    <vt:lpwstr>2020-04-16T10:21:42.2864283Z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b49b96e4-6cb3-46a3-98e9-489b00b97a04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