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5787"/>
      </w:tblGrid>
      <w:tr w:rsidR="005B5028" w14:paraId="69F9E943" w14:textId="77777777" w:rsidTr="001F1234">
        <w:trPr>
          <w:trHeight w:val="1285"/>
        </w:trPr>
        <w:tc>
          <w:tcPr>
            <w:tcW w:w="3902" w:type="dxa"/>
          </w:tcPr>
          <w:p w14:paraId="07CA6842" w14:textId="77777777" w:rsidR="005B5028" w:rsidRDefault="005B5028" w:rsidP="000502FD">
            <w:pPr>
              <w:ind w:left="885"/>
              <w:rPr>
                <w:noProof/>
                <w:lang w:val="fr-BE" w:eastAsia="fr-BE"/>
              </w:rPr>
            </w:pPr>
          </w:p>
        </w:tc>
        <w:tc>
          <w:tcPr>
            <w:tcW w:w="5787" w:type="dxa"/>
          </w:tcPr>
          <w:p w14:paraId="7B52F159" w14:textId="77777777" w:rsidR="001A7DE4" w:rsidRDefault="001A7DE4" w:rsidP="40104EB1">
            <w:pPr>
              <w:ind w:left="1253"/>
              <w:rPr>
                <w:rFonts w:ascii="Century Gothic" w:hAnsi="Century Gothic" w:cs="Arial"/>
                <w:b/>
                <w:bCs/>
                <w:sz w:val="20"/>
                <w:szCs w:val="20"/>
                <w:highlight w:val="yellow"/>
              </w:rPr>
            </w:pPr>
          </w:p>
          <w:p w14:paraId="7B0E6033" w14:textId="487F7987" w:rsidR="005B5028" w:rsidRPr="0038220B" w:rsidRDefault="005B5028" w:rsidP="000502FD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38220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Nom du </w:t>
            </w:r>
            <w: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SPW</w:t>
            </w:r>
            <w:r w:rsidR="005F6282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/Département</w:t>
            </w:r>
            <w:r w:rsidR="00166497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/Direction</w:t>
            </w:r>
            <w:r w:rsidR="005F6282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ayant instruit le dossier</w:t>
            </w:r>
          </w:p>
          <w:p w14:paraId="718D7584" w14:textId="77777777" w:rsidR="005B5028" w:rsidRDefault="005B5028" w:rsidP="000502FD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  <w:r w:rsidRPr="0038220B">
              <w:rPr>
                <w:rFonts w:ascii="Century Gothic" w:hAnsi="Century Gothic" w:cs="Arial"/>
                <w:sz w:val="20"/>
                <w:szCs w:val="20"/>
                <w:highlight w:val="yellow"/>
              </w:rPr>
              <w:t>Adresse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AE245DB" w14:textId="77777777" w:rsidR="005B5028" w:rsidRPr="00C76002" w:rsidRDefault="005B5028" w:rsidP="000502FD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59EDAF8" w14:textId="77777777" w:rsidR="005B5028" w:rsidRPr="00C76002" w:rsidRDefault="005B5028" w:rsidP="000502FD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A4331F7" w14:textId="77777777" w:rsidR="005B5028" w:rsidRPr="00C76002" w:rsidRDefault="005B5028" w:rsidP="000502FD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EE08A59" w14:textId="77777777" w:rsidR="005B5028" w:rsidRPr="00C76002" w:rsidRDefault="005B5028" w:rsidP="000502FD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7286C52" w14:textId="77777777" w:rsidR="005B5028" w:rsidRDefault="005B5028" w:rsidP="000502FD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4D06686" w14:textId="77777777" w:rsidR="005B5028" w:rsidRPr="00C76002" w:rsidRDefault="005B5028" w:rsidP="000502F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2A3CDED" w14:textId="17AAAB90" w:rsidR="00CF712F" w:rsidRDefault="005B5028" w:rsidP="00223D07">
      <w:pPr>
        <w:tabs>
          <w:tab w:val="left" w:pos="743"/>
        </w:tabs>
        <w:spacing w:before="480"/>
        <w:ind w:left="1877" w:hanging="743"/>
        <w:jc w:val="both"/>
        <w:rPr>
          <w:rFonts w:ascii="Century Gothic" w:hAnsi="Century Gothic" w:cs="Arial"/>
          <w:sz w:val="21"/>
          <w:szCs w:val="21"/>
        </w:rPr>
      </w:pPr>
      <w:r w:rsidRPr="4266A64E">
        <w:rPr>
          <w:rFonts w:ascii="Century Gothic" w:hAnsi="Century Gothic" w:cs="Arial"/>
          <w:b/>
          <w:bCs/>
          <w:noProof/>
          <w:sz w:val="22"/>
          <w:szCs w:val="22"/>
          <w:lang w:eastAsia="en-US"/>
        </w:rPr>
        <w:t>Objet :</w:t>
      </w:r>
      <w:r w:rsidR="76154630" w:rsidRPr="4266A64E">
        <w:rPr>
          <w:rFonts w:ascii="Century Gothic" w:hAnsi="Century Gothic" w:cs="Arial"/>
          <w:b/>
          <w:bCs/>
          <w:noProof/>
          <w:sz w:val="22"/>
          <w:szCs w:val="22"/>
          <w:lang w:eastAsia="en-US"/>
        </w:rPr>
        <w:t xml:space="preserve"> </w:t>
      </w:r>
      <w:r w:rsidR="00223D07" w:rsidRPr="4266A64E">
        <w:rPr>
          <w:rFonts w:ascii="Century Gothic" w:hAnsi="Century Gothic" w:cs="CenturyGothic"/>
          <w:sz w:val="21"/>
          <w:szCs w:val="21"/>
        </w:rPr>
        <w:t>Dossier de demande d’expropriation de</w:t>
      </w:r>
      <w:r w:rsidR="00223D07" w:rsidRPr="4266A64E">
        <w:rPr>
          <w:rFonts w:ascii="Century Gothic" w:hAnsi="Century Gothic" w:cs="CenturyGothic"/>
          <w:sz w:val="21"/>
          <w:szCs w:val="21"/>
          <w:highlight w:val="yellow"/>
        </w:rPr>
        <w:t xml:space="preserve"> [nom expropriant]</w:t>
      </w:r>
      <w:r w:rsidR="00223D07" w:rsidRPr="4266A64E">
        <w:rPr>
          <w:rFonts w:ascii="Century Gothic" w:hAnsi="Century Gothic" w:cs="CenturyGothic"/>
          <w:sz w:val="21"/>
          <w:szCs w:val="21"/>
        </w:rPr>
        <w:t xml:space="preserve"> ayant pour objet </w:t>
      </w:r>
      <w:r w:rsidR="00223D07" w:rsidRPr="4266A64E">
        <w:rPr>
          <w:rFonts w:ascii="Century Gothic" w:hAnsi="Century Gothic" w:cs="CenturyGothic"/>
          <w:sz w:val="21"/>
          <w:szCs w:val="21"/>
          <w:highlight w:val="yellow"/>
        </w:rPr>
        <w:t>XXX</w:t>
      </w:r>
      <w:r w:rsidR="00223D07" w:rsidRPr="4266A64E">
        <w:rPr>
          <w:rFonts w:ascii="Century Gothic" w:hAnsi="Century Gothic" w:cs="Arial"/>
          <w:sz w:val="21"/>
          <w:szCs w:val="21"/>
        </w:rPr>
        <w:t xml:space="preserve"> </w:t>
      </w:r>
    </w:p>
    <w:p w14:paraId="33768D3A" w14:textId="3F9C0F49" w:rsidR="005B5028" w:rsidRPr="00BD14AF" w:rsidRDefault="00CF712F" w:rsidP="00CF712F">
      <w:pPr>
        <w:tabs>
          <w:tab w:val="left" w:pos="743"/>
        </w:tabs>
        <w:ind w:left="1877" w:hanging="743"/>
        <w:jc w:val="both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ab/>
      </w:r>
      <w:commentRangeStart w:id="0"/>
      <w:r>
        <w:rPr>
          <w:rFonts w:ascii="Century Gothic" w:hAnsi="Century Gothic" w:cs="Arial"/>
          <w:b/>
          <w:bCs/>
          <w:sz w:val="21"/>
          <w:szCs w:val="21"/>
        </w:rPr>
        <w:t>Défaut de notification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>
        <w:rPr>
          <w:rFonts w:ascii="Century Gothic" w:hAnsi="Century Gothic" w:cs="Arial"/>
          <w:b/>
          <w:bCs/>
          <w:sz w:val="21"/>
          <w:szCs w:val="21"/>
        </w:rPr>
        <w:t>par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E3178D">
        <w:rPr>
          <w:rFonts w:ascii="Century Gothic" w:hAnsi="Century Gothic" w:cs="Arial"/>
          <w:b/>
          <w:bCs/>
          <w:sz w:val="21"/>
          <w:szCs w:val="21"/>
        </w:rPr>
        <w:t>l</w:t>
      </w:r>
      <w:r w:rsidR="003363F0">
        <w:rPr>
          <w:rFonts w:ascii="Century Gothic" w:hAnsi="Century Gothic" w:cs="Arial"/>
          <w:b/>
          <w:bCs/>
          <w:sz w:val="21"/>
          <w:szCs w:val="21"/>
        </w:rPr>
        <w:t xml:space="preserve">’autorité compétente 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 xml:space="preserve">de </w:t>
      </w:r>
      <w:r>
        <w:rPr>
          <w:rFonts w:ascii="Century Gothic" w:hAnsi="Century Gothic" w:cs="Arial"/>
          <w:b/>
          <w:bCs/>
          <w:sz w:val="21"/>
          <w:szCs w:val="21"/>
        </w:rPr>
        <w:t>sa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 xml:space="preserve"> décision 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à l’expropriant 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>dans le délai repris à l’article 17, §1</w:t>
      </w:r>
      <w:r w:rsidR="00BD14AF" w:rsidRPr="4266A64E">
        <w:rPr>
          <w:rFonts w:ascii="Century Gothic" w:hAnsi="Century Gothic" w:cs="Arial"/>
          <w:b/>
          <w:bCs/>
          <w:sz w:val="21"/>
          <w:szCs w:val="21"/>
          <w:vertAlign w:val="superscript"/>
        </w:rPr>
        <w:t>er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>, alinéa 1</w:t>
      </w:r>
      <w:r w:rsidR="00BD14AF" w:rsidRPr="4266A64E">
        <w:rPr>
          <w:rFonts w:ascii="Century Gothic" w:hAnsi="Century Gothic" w:cs="Arial"/>
          <w:b/>
          <w:bCs/>
          <w:sz w:val="21"/>
          <w:szCs w:val="21"/>
          <w:vertAlign w:val="superscript"/>
        </w:rPr>
        <w:t>er</w:t>
      </w:r>
      <w:r w:rsidR="00BD14AF" w:rsidRPr="4266A64E">
        <w:rPr>
          <w:rFonts w:ascii="Century Gothic" w:hAnsi="Century Gothic" w:cs="Arial"/>
          <w:b/>
          <w:bCs/>
          <w:sz w:val="21"/>
          <w:szCs w:val="21"/>
        </w:rPr>
        <w:t xml:space="preserve"> du décret du 22 novembre 2018 relatif à la procédure d’expropriation</w:t>
      </w:r>
      <w:commentRangeEnd w:id="0"/>
      <w:r w:rsidR="003363F0">
        <w:rPr>
          <w:rStyle w:val="Marquedecommentaire"/>
        </w:rPr>
        <w:commentReference w:id="0"/>
      </w:r>
    </w:p>
    <w:p w14:paraId="6614B466" w14:textId="77777777" w:rsidR="005B5028" w:rsidRPr="00BD14AF" w:rsidRDefault="005B5028" w:rsidP="005B5028">
      <w:pPr>
        <w:tabs>
          <w:tab w:val="left" w:pos="743"/>
        </w:tabs>
        <w:ind w:left="1877" w:hanging="34"/>
        <w:rPr>
          <w:rFonts w:ascii="Century Gothic" w:eastAsia="Times New Roman" w:hAnsi="Century Gothic" w:cs="Times New Roman"/>
          <w:b/>
          <w:bCs/>
          <w:sz w:val="21"/>
          <w:szCs w:val="21"/>
        </w:rPr>
      </w:pPr>
      <w:r w:rsidRPr="00BD14AF">
        <w:rPr>
          <w:rFonts w:ascii="Century Gothic" w:hAnsi="Century Gothic" w:cs="Arial"/>
          <w:b/>
          <w:bCs/>
          <w:sz w:val="22"/>
          <w:szCs w:val="22"/>
        </w:rPr>
        <w:tab/>
      </w:r>
    </w:p>
    <w:p w14:paraId="43598E16" w14:textId="12C314BB" w:rsidR="005B5028" w:rsidRPr="005F6282" w:rsidRDefault="005F6282" w:rsidP="005B5028">
      <w:pPr>
        <w:pStyle w:val="Paragraphestandard"/>
        <w:spacing w:before="320" w:after="20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1D15C1">
        <w:rPr>
          <w:rFonts w:ascii="Century Gothic" w:hAnsi="Century Gothic" w:cs="CenturyGothic"/>
          <w:sz w:val="21"/>
          <w:szCs w:val="21"/>
          <w:highlight w:val="yellow"/>
        </w:rPr>
        <w:t>« </w:t>
      </w:r>
      <w:r w:rsidR="00FA4970">
        <w:rPr>
          <w:rFonts w:ascii="Century Gothic" w:hAnsi="Century Gothic" w:cs="CenturyGothic"/>
          <w:sz w:val="21"/>
          <w:szCs w:val="21"/>
          <w:highlight w:val="yellow"/>
        </w:rPr>
        <w:t>G</w:t>
      </w:r>
      <w:r w:rsidRPr="001D15C1">
        <w:rPr>
          <w:rFonts w:ascii="Century Gothic" w:hAnsi="Century Gothic" w:cs="CenturyGothic"/>
          <w:sz w:val="21"/>
          <w:szCs w:val="21"/>
          <w:highlight w:val="yellow"/>
        </w:rPr>
        <w:t>enre » « </w:t>
      </w:r>
      <w:r w:rsidR="00FA4970">
        <w:rPr>
          <w:rFonts w:ascii="Century Gothic" w:hAnsi="Century Gothic" w:cs="CenturyGothic"/>
          <w:sz w:val="21"/>
          <w:szCs w:val="21"/>
          <w:highlight w:val="yellow"/>
        </w:rPr>
        <w:t>P</w:t>
      </w:r>
      <w:r w:rsidR="00166497" w:rsidRPr="001D15C1">
        <w:rPr>
          <w:rFonts w:ascii="Century Gothic" w:hAnsi="Century Gothic" w:cs="CenturyGothic"/>
          <w:sz w:val="21"/>
          <w:szCs w:val="21"/>
          <w:highlight w:val="yellow"/>
        </w:rPr>
        <w:t>ronom</w:t>
      </w:r>
      <w:r w:rsidRPr="001D15C1">
        <w:rPr>
          <w:rFonts w:ascii="Century Gothic" w:hAnsi="Century Gothic" w:cs="CenturyGothic"/>
          <w:sz w:val="21"/>
          <w:szCs w:val="21"/>
          <w:highlight w:val="yellow"/>
        </w:rPr>
        <w:t> » « Titre »</w:t>
      </w:r>
      <w:r w:rsidR="00AD4E80">
        <w:rPr>
          <w:rFonts w:ascii="Century Gothic" w:hAnsi="Century Gothic" w:cs="CenturyGothic"/>
          <w:sz w:val="21"/>
          <w:szCs w:val="21"/>
        </w:rPr>
        <w:t>,</w:t>
      </w:r>
    </w:p>
    <w:p w14:paraId="5C1BEE68" w14:textId="4896CA53" w:rsidR="008C2593" w:rsidRDefault="005B5028" w:rsidP="005B5028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Arial"/>
          <w:sz w:val="21"/>
          <w:szCs w:val="21"/>
        </w:rPr>
      </w:pPr>
      <w:r w:rsidRPr="4266A64E">
        <w:rPr>
          <w:rFonts w:ascii="Century Gothic" w:hAnsi="Century Gothic" w:cs="CenturyGothic"/>
          <w:sz w:val="21"/>
          <w:szCs w:val="21"/>
        </w:rPr>
        <w:t>Par la présente,</w:t>
      </w:r>
      <w:r w:rsidR="000423DC" w:rsidRPr="4266A64E">
        <w:rPr>
          <w:rFonts w:ascii="Century Gothic" w:hAnsi="Century Gothic" w:cs="CenturyGothic"/>
          <w:sz w:val="21"/>
          <w:szCs w:val="21"/>
        </w:rPr>
        <w:t xml:space="preserve"> </w:t>
      </w:r>
      <w:r w:rsidR="00CF712F" w:rsidRPr="00E3178D">
        <w:rPr>
          <w:rFonts w:ascii="Century Gothic" w:hAnsi="Century Gothic" w:cs="CenturyGothic"/>
          <w:sz w:val="21"/>
          <w:szCs w:val="21"/>
        </w:rPr>
        <w:t>nous vous informons</w:t>
      </w:r>
      <w:r w:rsidR="000423DC" w:rsidRPr="00E3178D">
        <w:rPr>
          <w:rFonts w:ascii="Century Gothic" w:hAnsi="Century Gothic" w:cs="CenturyGothic"/>
          <w:sz w:val="21"/>
          <w:szCs w:val="21"/>
        </w:rPr>
        <w:t xml:space="preserve"> que</w:t>
      </w:r>
      <w:r w:rsidR="000423DC" w:rsidRPr="4266A64E">
        <w:rPr>
          <w:rFonts w:ascii="Century Gothic" w:hAnsi="Century Gothic" w:cs="CenturyGothic"/>
          <w:sz w:val="21"/>
          <w:szCs w:val="21"/>
        </w:rPr>
        <w:t xml:space="preserve"> </w:t>
      </w:r>
      <w:r w:rsidR="00223D07" w:rsidRPr="4266A64E">
        <w:rPr>
          <w:rFonts w:ascii="Century Gothic" w:hAnsi="Century Gothic" w:cs="CenturyGothic"/>
          <w:sz w:val="21"/>
          <w:szCs w:val="21"/>
        </w:rPr>
        <w:t xml:space="preserve">pour le dossier de demande d’expropriation visé sous objet, il y a lieu d’appliquer la procédure prévue en cas </w:t>
      </w:r>
      <w:r w:rsidR="00CF712F">
        <w:rPr>
          <w:rFonts w:ascii="Century Gothic" w:hAnsi="Century Gothic" w:cs="CenturyGothic"/>
          <w:sz w:val="21"/>
          <w:szCs w:val="21"/>
        </w:rPr>
        <w:t>de défaut</w:t>
      </w:r>
      <w:r w:rsidR="008C2593" w:rsidRPr="4266A64E">
        <w:rPr>
          <w:rFonts w:ascii="Century Gothic" w:hAnsi="Century Gothic" w:cs="CenturyGothic"/>
          <w:sz w:val="21"/>
          <w:szCs w:val="21"/>
        </w:rPr>
        <w:t xml:space="preserve"> </w:t>
      </w:r>
      <w:r w:rsidR="00223D07" w:rsidRPr="4266A64E">
        <w:rPr>
          <w:rFonts w:ascii="Century Gothic" w:hAnsi="Century Gothic" w:cs="CenturyGothic"/>
          <w:sz w:val="21"/>
          <w:szCs w:val="21"/>
        </w:rPr>
        <w:t xml:space="preserve">pour l’autorité compétente </w:t>
      </w:r>
      <w:r w:rsidR="008C2593" w:rsidRPr="4266A64E">
        <w:rPr>
          <w:rFonts w:ascii="Century Gothic" w:hAnsi="Century Gothic" w:cs="CenturyGothic"/>
          <w:sz w:val="21"/>
          <w:szCs w:val="21"/>
        </w:rPr>
        <w:t xml:space="preserve">de respecter le délai 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</w:rPr>
        <w:t>de 130 jours repris à l’article17, §1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  <w:vertAlign w:val="superscript"/>
        </w:rPr>
        <w:t>er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</w:rPr>
        <w:t>, alinéa 1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  <w:vertAlign w:val="superscript"/>
        </w:rPr>
        <w:t>er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</w:rPr>
        <w:t xml:space="preserve"> / de 160 jours repris à l’article17, §1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  <w:vertAlign w:val="superscript"/>
        </w:rPr>
        <w:t>er</w:t>
      </w:r>
      <w:r w:rsidR="00795CAB" w:rsidRPr="00795CAB">
        <w:rPr>
          <w:rFonts w:ascii="Century Gothic" w:hAnsi="Century Gothic" w:cs="CenturyGothic"/>
          <w:sz w:val="21"/>
          <w:szCs w:val="21"/>
          <w:highlight w:val="yellow"/>
        </w:rPr>
        <w:t>, alinéa 2</w:t>
      </w:r>
      <w:r w:rsidR="00795CAB" w:rsidRPr="00795CAB">
        <w:rPr>
          <w:rFonts w:ascii="Century Gothic" w:hAnsi="Century Gothic" w:cs="CenturyGothic"/>
          <w:sz w:val="21"/>
          <w:szCs w:val="21"/>
        </w:rPr>
        <w:t xml:space="preserve"> </w:t>
      </w:r>
      <w:r w:rsidR="008C2593" w:rsidRPr="4266A64E">
        <w:rPr>
          <w:rFonts w:ascii="Century Gothic" w:hAnsi="Century Gothic" w:cs="Arial"/>
          <w:sz w:val="21"/>
          <w:szCs w:val="21"/>
        </w:rPr>
        <w:t xml:space="preserve">du décret du 22 novembre 2018 relatif à la procédure d’expropriation (ci-après dénommé « le décret ») </w:t>
      </w:r>
      <w:r w:rsidR="00223D07" w:rsidRPr="4266A64E">
        <w:rPr>
          <w:rFonts w:ascii="Century Gothic" w:hAnsi="Century Gothic" w:cs="Arial"/>
          <w:sz w:val="21"/>
          <w:szCs w:val="21"/>
        </w:rPr>
        <w:t xml:space="preserve">prévu </w:t>
      </w:r>
      <w:r w:rsidR="008C2593" w:rsidRPr="4266A64E">
        <w:rPr>
          <w:rFonts w:ascii="Century Gothic" w:hAnsi="Century Gothic" w:cs="Arial"/>
          <w:sz w:val="21"/>
          <w:szCs w:val="21"/>
        </w:rPr>
        <w:t>pour notifier la décision à l’expropriant par envoi recommandé.</w:t>
      </w:r>
    </w:p>
    <w:p w14:paraId="7C1A82FA" w14:textId="15AC87BA" w:rsidR="009C097E" w:rsidRDefault="008C2593" w:rsidP="005B5028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4266A64E">
        <w:rPr>
          <w:rFonts w:ascii="Century Gothic" w:hAnsi="Century Gothic" w:cs="CenturyGothic"/>
          <w:sz w:val="21"/>
          <w:szCs w:val="21"/>
        </w:rPr>
        <w:t>Par conséquent, en vertu de l’article 17, §1</w:t>
      </w:r>
      <w:r w:rsidRPr="4266A64E">
        <w:rPr>
          <w:rFonts w:ascii="Century Gothic" w:hAnsi="Century Gothic" w:cs="CenturyGothic"/>
          <w:sz w:val="21"/>
          <w:szCs w:val="21"/>
          <w:vertAlign w:val="superscript"/>
        </w:rPr>
        <w:t>er</w:t>
      </w:r>
      <w:r w:rsidRPr="4266A64E">
        <w:rPr>
          <w:rFonts w:ascii="Century Gothic" w:hAnsi="Century Gothic" w:cs="CenturyGothic"/>
          <w:sz w:val="21"/>
          <w:szCs w:val="21"/>
        </w:rPr>
        <w:t xml:space="preserve">, alinéa </w:t>
      </w:r>
      <w:r w:rsidR="00CF712F">
        <w:rPr>
          <w:rFonts w:ascii="Century Gothic" w:hAnsi="Century Gothic" w:cs="CenturyGothic"/>
          <w:sz w:val="21"/>
          <w:szCs w:val="21"/>
        </w:rPr>
        <w:t>3</w:t>
      </w:r>
      <w:r w:rsidRPr="4266A64E">
        <w:rPr>
          <w:rFonts w:ascii="Century Gothic" w:hAnsi="Century Gothic" w:cs="CenturyGothic"/>
          <w:sz w:val="21"/>
          <w:szCs w:val="21"/>
        </w:rPr>
        <w:t xml:space="preserve"> du décret, la proposition de décision de l’Administration</w:t>
      </w:r>
      <w:r w:rsidR="00A32061" w:rsidRPr="4266A64E">
        <w:rPr>
          <w:rFonts w:ascii="Century Gothic" w:hAnsi="Century Gothic" w:cs="CenturyGothic"/>
          <w:sz w:val="21"/>
          <w:szCs w:val="21"/>
        </w:rPr>
        <w:t xml:space="preserve"> </w:t>
      </w:r>
      <w:r w:rsidR="00A32061" w:rsidRPr="4266A64E">
        <w:rPr>
          <w:rFonts w:ascii="Century Gothic" w:hAnsi="Century Gothic" w:cs="CenturyGothic"/>
          <w:sz w:val="21"/>
          <w:szCs w:val="21"/>
          <w:highlight w:val="yellow"/>
        </w:rPr>
        <w:t>autorisant</w:t>
      </w:r>
      <w:r w:rsidR="7CFEFF49" w:rsidRPr="4266A64E">
        <w:rPr>
          <w:rFonts w:ascii="Century Gothic" w:hAnsi="Century Gothic" w:cs="CenturyGothic"/>
          <w:sz w:val="21"/>
          <w:szCs w:val="21"/>
          <w:highlight w:val="yellow"/>
        </w:rPr>
        <w:t>/refusant</w:t>
      </w:r>
      <w:r w:rsidR="00A32061" w:rsidRPr="4266A64E">
        <w:rPr>
          <w:rFonts w:ascii="Century Gothic" w:hAnsi="Century Gothic" w:cs="CenturyGothic"/>
          <w:sz w:val="21"/>
          <w:szCs w:val="21"/>
          <w:highlight w:val="yellow"/>
        </w:rPr>
        <w:t xml:space="preserve"> la poursuite de l’expropriation</w:t>
      </w:r>
      <w:r w:rsidR="009C097E" w:rsidRPr="4266A64E">
        <w:rPr>
          <w:rFonts w:ascii="Century Gothic" w:hAnsi="Century Gothic" w:cs="CenturyGothic"/>
          <w:sz w:val="21"/>
          <w:szCs w:val="21"/>
        </w:rPr>
        <w:t xml:space="preserve">, qui nous a été transmise </w:t>
      </w:r>
      <w:r w:rsidR="00F141C7" w:rsidRPr="4266A64E">
        <w:rPr>
          <w:rFonts w:ascii="Century Gothic" w:hAnsi="Century Gothic" w:cs="CenturyGothic"/>
          <w:sz w:val="21"/>
          <w:szCs w:val="21"/>
        </w:rPr>
        <w:t xml:space="preserve">en date du </w:t>
      </w:r>
      <w:r w:rsidR="00CF712F" w:rsidRPr="00CF712F">
        <w:rPr>
          <w:rFonts w:ascii="Century Gothic" w:hAnsi="Century Gothic" w:cs="CenturyGothic"/>
          <w:sz w:val="21"/>
          <w:szCs w:val="21"/>
          <w:highlight w:val="yellow"/>
        </w:rPr>
        <w:t>XXX</w:t>
      </w:r>
      <w:r w:rsidR="009C097E" w:rsidRPr="4266A64E">
        <w:rPr>
          <w:rFonts w:ascii="Century Gothic" w:hAnsi="Century Gothic" w:cs="CenturyGothic"/>
          <w:sz w:val="21"/>
          <w:szCs w:val="21"/>
        </w:rPr>
        <w:t xml:space="preserve"> vaut décision.</w:t>
      </w:r>
    </w:p>
    <w:p w14:paraId="4D46E833" w14:textId="6A9EF6F0" w:rsidR="00CF712F" w:rsidRDefault="00CF712F" w:rsidP="00CF712F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CF712F">
        <w:rPr>
          <w:rFonts w:ascii="Century Gothic" w:hAnsi="Century Gothic" w:cs="CenturyGothic"/>
          <w:sz w:val="21"/>
          <w:szCs w:val="21"/>
        </w:rPr>
        <w:t>Celle-ci sortira ses effets le lendemain du délai prévu à l'article 17 § 1er du décret (</w:t>
      </w:r>
      <w:r>
        <w:rPr>
          <w:rFonts w:ascii="Century Gothic" w:hAnsi="Century Gothic" w:cs="CenturyGothic"/>
          <w:sz w:val="21"/>
          <w:szCs w:val="21"/>
        </w:rPr>
        <w:t xml:space="preserve">ou, </w:t>
      </w:r>
      <w:r w:rsidRPr="00CF712F">
        <w:rPr>
          <w:rFonts w:ascii="Century Gothic" w:hAnsi="Century Gothic" w:cs="CenturyGothic"/>
          <w:sz w:val="21"/>
          <w:szCs w:val="21"/>
        </w:rPr>
        <w:t>le cas échéant</w:t>
      </w:r>
      <w:r>
        <w:rPr>
          <w:rFonts w:ascii="Century Gothic" w:hAnsi="Century Gothic" w:cs="CenturyGothic"/>
          <w:sz w:val="21"/>
          <w:szCs w:val="21"/>
        </w:rPr>
        <w:t>,</w:t>
      </w:r>
      <w:r w:rsidRPr="00CF712F">
        <w:rPr>
          <w:rFonts w:ascii="Century Gothic" w:hAnsi="Century Gothic" w:cs="CenturyGothic"/>
          <w:sz w:val="21"/>
          <w:szCs w:val="21"/>
        </w:rPr>
        <w:t xml:space="preserve"> </w:t>
      </w:r>
      <w:r>
        <w:rPr>
          <w:rFonts w:ascii="Century Gothic" w:hAnsi="Century Gothic" w:cs="CenturyGothic"/>
          <w:sz w:val="21"/>
          <w:szCs w:val="21"/>
        </w:rPr>
        <w:t>prévu à</w:t>
      </w:r>
      <w:r w:rsidRPr="00CF712F">
        <w:rPr>
          <w:rFonts w:ascii="Century Gothic" w:hAnsi="Century Gothic" w:cs="CenturyGothic"/>
          <w:sz w:val="21"/>
          <w:szCs w:val="21"/>
        </w:rPr>
        <w:t xml:space="preserve"> l'article 5</w:t>
      </w:r>
      <w:r>
        <w:rPr>
          <w:rFonts w:ascii="Century Gothic" w:hAnsi="Century Gothic" w:cs="CenturyGothic"/>
          <w:sz w:val="21"/>
          <w:szCs w:val="21"/>
        </w:rPr>
        <w:t>, 5°</w:t>
      </w:r>
      <w:r w:rsidRPr="00CF712F">
        <w:rPr>
          <w:rFonts w:ascii="Century Gothic" w:hAnsi="Century Gothic" w:cs="CenturyGothic"/>
          <w:sz w:val="21"/>
          <w:szCs w:val="21"/>
        </w:rPr>
        <w:t xml:space="preserve">) soit le </w:t>
      </w:r>
      <w:r w:rsidR="001F1234" w:rsidRPr="001F1234">
        <w:rPr>
          <w:rFonts w:ascii="Century Gothic" w:hAnsi="Century Gothic" w:cs="CenturyGothic"/>
          <w:sz w:val="21"/>
          <w:szCs w:val="21"/>
          <w:highlight w:val="yellow"/>
        </w:rPr>
        <w:t>[date]</w:t>
      </w:r>
      <w:r w:rsidRPr="00CF712F">
        <w:rPr>
          <w:rFonts w:ascii="Century Gothic" w:hAnsi="Century Gothic" w:cs="CenturyGothic"/>
          <w:sz w:val="21"/>
          <w:szCs w:val="21"/>
        </w:rPr>
        <w:t>.</w:t>
      </w:r>
    </w:p>
    <w:p w14:paraId="4D5E78D0" w14:textId="5D38B4BE" w:rsidR="00CF712F" w:rsidRPr="00CF712F" w:rsidRDefault="00CF712F" w:rsidP="005B5028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b/>
          <w:bCs/>
          <w:sz w:val="21"/>
          <w:szCs w:val="21"/>
          <w:u w:val="single"/>
        </w:rPr>
      </w:pPr>
      <w:proofErr w:type="gramStart"/>
      <w:r w:rsidRPr="00CF712F">
        <w:rPr>
          <w:rFonts w:ascii="Century Gothic" w:hAnsi="Century Gothic" w:cs="CenturyGothic"/>
          <w:b/>
          <w:bCs/>
          <w:sz w:val="21"/>
          <w:szCs w:val="21"/>
          <w:u w:val="single"/>
        </w:rPr>
        <w:t>OU</w:t>
      </w:r>
      <w:proofErr w:type="gramEnd"/>
    </w:p>
    <w:p w14:paraId="637AB9A2" w14:textId="68481DBD" w:rsidR="00CF712F" w:rsidRDefault="00CF712F" w:rsidP="005B5028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 xml:space="preserve">Par conséquent, en l’absence de transmission du rapport de synthèse par l’Administration à l’autorité compétente dans le délai prévu à l’article 16 du décret et </w:t>
      </w:r>
      <w:r w:rsidRPr="4266A64E">
        <w:rPr>
          <w:rFonts w:ascii="Century Gothic" w:hAnsi="Century Gothic" w:cs="CenturyGothic"/>
          <w:sz w:val="21"/>
          <w:szCs w:val="21"/>
        </w:rPr>
        <w:t>en vertu de l’article 17, §1</w:t>
      </w:r>
      <w:r w:rsidRPr="4266A64E">
        <w:rPr>
          <w:rFonts w:ascii="Century Gothic" w:hAnsi="Century Gothic" w:cs="CenturyGothic"/>
          <w:sz w:val="21"/>
          <w:szCs w:val="21"/>
          <w:vertAlign w:val="superscript"/>
        </w:rPr>
        <w:t>er</w:t>
      </w:r>
      <w:r w:rsidRPr="4266A64E">
        <w:rPr>
          <w:rFonts w:ascii="Century Gothic" w:hAnsi="Century Gothic" w:cs="CenturyGothic"/>
          <w:sz w:val="21"/>
          <w:szCs w:val="21"/>
        </w:rPr>
        <w:t>,</w:t>
      </w:r>
      <w:r>
        <w:rPr>
          <w:rFonts w:ascii="Century Gothic" w:hAnsi="Century Gothic" w:cs="CenturyGothic"/>
          <w:sz w:val="21"/>
          <w:szCs w:val="21"/>
        </w:rPr>
        <w:t xml:space="preserve"> alinéa 4, l’expropriation demandée est réputée refusée. </w:t>
      </w:r>
    </w:p>
    <w:p w14:paraId="7A5E88CC" w14:textId="29432419" w:rsidR="00AD4E80" w:rsidRDefault="007B1331" w:rsidP="005B5028">
      <w:pPr>
        <w:pStyle w:val="Paragraphestandard"/>
        <w:spacing w:after="12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E3178D">
        <w:rPr>
          <w:rFonts w:ascii="Century Gothic" w:hAnsi="Century Gothic" w:cs="CenturyGothic"/>
          <w:sz w:val="21"/>
          <w:szCs w:val="21"/>
        </w:rPr>
        <w:t>Dès lors, nous vous saurons gré</w:t>
      </w:r>
      <w:r w:rsidR="00131B59" w:rsidRPr="00E3178D">
        <w:rPr>
          <w:rFonts w:ascii="Century Gothic" w:hAnsi="Century Gothic" w:cs="CenturyGothic"/>
          <w:sz w:val="21"/>
          <w:szCs w:val="21"/>
        </w:rPr>
        <w:t xml:space="preserve"> d’en assurer le suivi prévu par </w:t>
      </w:r>
      <w:r w:rsidRPr="00E3178D">
        <w:rPr>
          <w:rFonts w:ascii="Century Gothic" w:hAnsi="Century Gothic" w:cs="CenturyGothic"/>
          <w:sz w:val="21"/>
          <w:szCs w:val="21"/>
        </w:rPr>
        <w:t>les articles 17, §2, alinéa 1</w:t>
      </w:r>
      <w:r w:rsidRPr="00E3178D">
        <w:rPr>
          <w:rFonts w:ascii="Century Gothic" w:hAnsi="Century Gothic" w:cs="CenturyGothic"/>
          <w:sz w:val="21"/>
          <w:szCs w:val="21"/>
          <w:vertAlign w:val="superscript"/>
        </w:rPr>
        <w:t>er</w:t>
      </w:r>
      <w:r w:rsidRPr="00E3178D">
        <w:rPr>
          <w:rFonts w:ascii="Century Gothic" w:hAnsi="Century Gothic" w:cs="CenturyGothic"/>
          <w:sz w:val="21"/>
          <w:szCs w:val="21"/>
        </w:rPr>
        <w:t xml:space="preserve"> et 17, §3 du décret.</w:t>
      </w:r>
      <w:r>
        <w:rPr>
          <w:rFonts w:ascii="Century Gothic" w:hAnsi="Century Gothic" w:cs="CenturyGothic"/>
          <w:sz w:val="21"/>
          <w:szCs w:val="21"/>
        </w:rPr>
        <w:t xml:space="preserve"> </w:t>
      </w:r>
    </w:p>
    <w:p w14:paraId="71A8AFA8" w14:textId="77777777" w:rsidR="00131B59" w:rsidRDefault="00131B59" w:rsidP="005B5028">
      <w:pPr>
        <w:pStyle w:val="Paragraphestandard"/>
        <w:spacing w:after="12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0E374207" w14:textId="21FCCD59" w:rsidR="005B5028" w:rsidRDefault="005B5028" w:rsidP="005B5028">
      <w:pPr>
        <w:pStyle w:val="Paragraphestandard"/>
        <w:spacing w:after="120" w:line="240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 xml:space="preserve">Je vous prie de recevoir, </w:t>
      </w:r>
      <w:r w:rsidRPr="001D15C1">
        <w:rPr>
          <w:rFonts w:ascii="Century Gothic" w:hAnsi="Century Gothic" w:cs="CenturyGothic"/>
          <w:sz w:val="21"/>
          <w:szCs w:val="21"/>
          <w:highlight w:val="yellow"/>
        </w:rPr>
        <w:t>…</w:t>
      </w:r>
      <w:proofErr w:type="gramStart"/>
      <w:r w:rsidRPr="001D15C1">
        <w:rPr>
          <w:rFonts w:ascii="Century Gothic" w:hAnsi="Century Gothic" w:cs="CenturyGothic"/>
          <w:sz w:val="21"/>
          <w:szCs w:val="21"/>
          <w:highlight w:val="yellow"/>
        </w:rPr>
        <w:t>…….</w:t>
      </w:r>
      <w:proofErr w:type="gramEnd"/>
      <w:r w:rsidRPr="001D15C1">
        <w:rPr>
          <w:rFonts w:ascii="Century Gothic" w:hAnsi="Century Gothic" w:cs="CenturyGothic"/>
          <w:sz w:val="21"/>
          <w:szCs w:val="21"/>
          <w:highlight w:val="yellow"/>
        </w:rPr>
        <w:t>…,</w:t>
      </w:r>
      <w:r>
        <w:rPr>
          <w:rFonts w:ascii="Century Gothic" w:hAnsi="Century Gothic" w:cs="CenturyGothic"/>
          <w:sz w:val="21"/>
          <w:szCs w:val="21"/>
        </w:rPr>
        <w:t xml:space="preserve"> l’assurance de mes sentiments les meilleurs.</w:t>
      </w:r>
    </w:p>
    <w:p w14:paraId="78ECAE8D" w14:textId="33AB250D" w:rsidR="005B5028" w:rsidRDefault="005B5028" w:rsidP="005B5028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47B93EE9" w14:textId="28AF4CA9" w:rsidR="00795CAB" w:rsidRDefault="00795CAB" w:rsidP="005B5028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681CA4F7" w14:textId="77777777" w:rsidR="00795CAB" w:rsidRDefault="00795CAB" w:rsidP="005B5028">
      <w:pPr>
        <w:pStyle w:val="Paragraphestandard"/>
        <w:spacing w:line="240" w:lineRule="auto"/>
        <w:jc w:val="both"/>
        <w:rPr>
          <w:rFonts w:ascii="Century Gothic" w:hAnsi="Century Gothic" w:cs="CenturyGothic"/>
          <w:sz w:val="21"/>
          <w:szCs w:val="21"/>
        </w:rPr>
      </w:pPr>
    </w:p>
    <w:p w14:paraId="53D25B1C" w14:textId="3EAA3ED4" w:rsidR="00E3178D" w:rsidRDefault="00E3178D" w:rsidP="005B5028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>
        <w:rPr>
          <w:rFonts w:ascii="Century Gothic" w:hAnsi="Century Gothic" w:cs="CenturyGothic"/>
          <w:sz w:val="21"/>
          <w:szCs w:val="21"/>
          <w:highlight w:val="yellow"/>
        </w:rPr>
        <w:lastRenderedPageBreak/>
        <w:t xml:space="preserve">Bourgmestre </w:t>
      </w:r>
    </w:p>
    <w:p w14:paraId="7D759032" w14:textId="4A5A5897" w:rsidR="00E3178D" w:rsidRDefault="00E3178D" w:rsidP="005B5028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>
        <w:rPr>
          <w:rFonts w:ascii="Century Gothic" w:hAnsi="Century Gothic" w:cs="CenturyGothic"/>
          <w:sz w:val="21"/>
          <w:szCs w:val="21"/>
          <w:highlight w:val="yellow"/>
        </w:rPr>
        <w:t>Signature</w:t>
      </w:r>
    </w:p>
    <w:p w14:paraId="6CE0AD67" w14:textId="367A140D" w:rsidR="001D15C1" w:rsidRDefault="00E3178D" w:rsidP="005B5028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>
        <w:rPr>
          <w:rFonts w:ascii="Century Gothic" w:hAnsi="Century Gothic" w:cs="CenturyGothic"/>
          <w:sz w:val="21"/>
          <w:szCs w:val="21"/>
          <w:highlight w:val="yellow"/>
        </w:rPr>
        <w:t xml:space="preserve">Directeur général </w:t>
      </w:r>
    </w:p>
    <w:p w14:paraId="1796013E" w14:textId="204235FB" w:rsidR="001D15C1" w:rsidRDefault="001D15C1" w:rsidP="005B5028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>
        <w:rPr>
          <w:rFonts w:ascii="Century Gothic" w:hAnsi="Century Gothic" w:cs="CenturyGothic"/>
          <w:sz w:val="21"/>
          <w:szCs w:val="21"/>
          <w:highlight w:val="yellow"/>
        </w:rPr>
        <w:t xml:space="preserve">Signature </w:t>
      </w:r>
    </w:p>
    <w:p w14:paraId="39A6B68C" w14:textId="77777777" w:rsidR="002D7E57" w:rsidRDefault="002D7E57"/>
    <w:sectPr w:rsidR="002D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USSEAU Amandine" w:date="2021-04-06T11:20:00Z" w:initials="RA">
    <w:p w14:paraId="30C9DFCC" w14:textId="1C98ABB2" w:rsidR="003363F0" w:rsidRDefault="003363F0">
      <w:pPr>
        <w:pStyle w:val="Commentaire"/>
      </w:pPr>
      <w:r>
        <w:rPr>
          <w:rStyle w:val="Marquedecommentaire"/>
        </w:rPr>
        <w:annotationRef/>
      </w:r>
      <w:r>
        <w:t>Modèle version Conseil communal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C9DF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C268" w16cex:dateUtc="2021-04-06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9DFCC" w16cid:durableId="2416C2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D367" w14:textId="77777777" w:rsidR="00306D72" w:rsidRDefault="00306D72" w:rsidP="005B5028">
      <w:r>
        <w:separator/>
      </w:r>
    </w:p>
  </w:endnote>
  <w:endnote w:type="continuationSeparator" w:id="0">
    <w:p w14:paraId="594ECDBD" w14:textId="77777777" w:rsidR="00306D72" w:rsidRDefault="00306D72" w:rsidP="005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F036" w14:textId="77777777" w:rsidR="00306D72" w:rsidRDefault="00306D72" w:rsidP="005B5028">
      <w:r>
        <w:separator/>
      </w:r>
    </w:p>
  </w:footnote>
  <w:footnote w:type="continuationSeparator" w:id="0">
    <w:p w14:paraId="546B2338" w14:textId="77777777" w:rsidR="00306D72" w:rsidRDefault="00306D72" w:rsidP="005B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USSEAU Amandine">
    <w15:presenceInfo w15:providerId="AD" w15:userId="S::amandine.rousseau@spw.wallonie.be::738e692e-87ec-46b7-8b09-9d66826811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8"/>
    <w:rsid w:val="000423DC"/>
    <w:rsid w:val="00131B59"/>
    <w:rsid w:val="00147DDA"/>
    <w:rsid w:val="00166497"/>
    <w:rsid w:val="001A7DE4"/>
    <w:rsid w:val="001C2A58"/>
    <w:rsid w:val="001D15C1"/>
    <w:rsid w:val="001F1234"/>
    <w:rsid w:val="00223D07"/>
    <w:rsid w:val="002B35D6"/>
    <w:rsid w:val="002D7D6C"/>
    <w:rsid w:val="002D7E57"/>
    <w:rsid w:val="00306D72"/>
    <w:rsid w:val="003363F0"/>
    <w:rsid w:val="0040631A"/>
    <w:rsid w:val="004C674B"/>
    <w:rsid w:val="005B5028"/>
    <w:rsid w:val="005F6282"/>
    <w:rsid w:val="00657AAC"/>
    <w:rsid w:val="0078691F"/>
    <w:rsid w:val="00795CAB"/>
    <w:rsid w:val="007B1331"/>
    <w:rsid w:val="008C2593"/>
    <w:rsid w:val="00984693"/>
    <w:rsid w:val="009C097E"/>
    <w:rsid w:val="009F195E"/>
    <w:rsid w:val="00A32061"/>
    <w:rsid w:val="00A626E6"/>
    <w:rsid w:val="00AB15C9"/>
    <w:rsid w:val="00AD4E80"/>
    <w:rsid w:val="00BA61BC"/>
    <w:rsid w:val="00BD14AF"/>
    <w:rsid w:val="00BD5D4D"/>
    <w:rsid w:val="00C45AEA"/>
    <w:rsid w:val="00C86262"/>
    <w:rsid w:val="00CF712F"/>
    <w:rsid w:val="00DC5EA2"/>
    <w:rsid w:val="00E3178D"/>
    <w:rsid w:val="00E340E4"/>
    <w:rsid w:val="00EB0AF0"/>
    <w:rsid w:val="00F141C7"/>
    <w:rsid w:val="00F20005"/>
    <w:rsid w:val="00F43D3F"/>
    <w:rsid w:val="00F56E8A"/>
    <w:rsid w:val="00FA4970"/>
    <w:rsid w:val="199C80E5"/>
    <w:rsid w:val="1A6D2087"/>
    <w:rsid w:val="1C397B3A"/>
    <w:rsid w:val="20973946"/>
    <w:rsid w:val="3240A96E"/>
    <w:rsid w:val="3AD20C5A"/>
    <w:rsid w:val="40104EB1"/>
    <w:rsid w:val="411A9219"/>
    <w:rsid w:val="4266A64E"/>
    <w:rsid w:val="499E089A"/>
    <w:rsid w:val="546DB37A"/>
    <w:rsid w:val="559880F1"/>
    <w:rsid w:val="57848ECB"/>
    <w:rsid w:val="64BE6E98"/>
    <w:rsid w:val="6B4F0D05"/>
    <w:rsid w:val="6CB05820"/>
    <w:rsid w:val="706EBF92"/>
    <w:rsid w:val="7349E032"/>
    <w:rsid w:val="76154630"/>
    <w:rsid w:val="7CFEFF49"/>
    <w:rsid w:val="7DC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8D91A9"/>
  <w15:chartTrackingRefBased/>
  <w15:docId w15:val="{9C7C6819-4CAC-402D-8797-5EB5CF39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28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5B5028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character" w:styleId="Lienhypertexte">
    <w:name w:val="Hyperlink"/>
    <w:basedOn w:val="Policepardfaut"/>
    <w:uiPriority w:val="99"/>
    <w:unhideWhenUsed/>
    <w:rsid w:val="005B502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5028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5B50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5B50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character" w:customStyle="1" w:styleId="Hyperlien">
    <w:name w:val="Hyperlien"/>
    <w:uiPriority w:val="99"/>
    <w:rsid w:val="005B5028"/>
    <w:rPr>
      <w:color w:val="3D5B97"/>
      <w:u w:val="thick"/>
    </w:rPr>
  </w:style>
  <w:style w:type="character" w:styleId="Marquedecommentaire">
    <w:name w:val="annotation reference"/>
    <w:basedOn w:val="Policepardfaut"/>
    <w:uiPriority w:val="99"/>
    <w:semiHidden/>
    <w:unhideWhenUsed/>
    <w:rsid w:val="005B5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0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028"/>
    <w:rPr>
      <w:rFonts w:eastAsiaTheme="minorEastAsia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0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028"/>
    <w:rPr>
      <w:rFonts w:ascii="Segoe UI" w:eastAsiaTheme="minorEastAsia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20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0005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20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005"/>
    <w:rPr>
      <w:rFonts w:eastAsiaTheme="minorEastAsia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5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593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E6FEF-08F8-42D8-BD02-97C365249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4A34E-267F-41A9-B333-9D22C7B9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107BF-071D-4DED-BDB2-D43FAA21B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A5E31-7956-475A-849B-FE4EFC35E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Clémentine</dc:creator>
  <cp:keywords/>
  <dc:description/>
  <cp:lastModifiedBy>ROUSSEAU Amandine</cp:lastModifiedBy>
  <cp:revision>14</cp:revision>
  <dcterms:created xsi:type="dcterms:W3CDTF">2020-11-18T09:44:00Z</dcterms:created>
  <dcterms:modified xsi:type="dcterms:W3CDTF">2021-04-06T09:30:00Z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  <property fmtid="{D5CDD505-2E9C-101B-9397-08002B2CF9AE}" pid="3" name="MSIP_Label_8903f633-4a78-4eed-bb49-365e45b1f3e8_Enabled">
    <vt:lpwstr>true</vt:lpwstr>
  </property>
  <property fmtid="{D5CDD505-2E9C-101B-9397-08002B2CF9AE}" pid="4" name="MSIP_Label_8903f633-4a78-4eed-bb49-365e45b1f3e8_SetDate">
    <vt:lpwstr>2021-03-29T13:46:40Z</vt:lpwstr>
  </property>
  <property fmtid="{D5CDD505-2E9C-101B-9397-08002B2CF9AE}" pid="5" name="MSIP_Label_8903f633-4a78-4eed-bb49-365e45b1f3e8_Method">
    <vt:lpwstr>Privileged</vt:lpwstr>
  </property>
  <property fmtid="{D5CDD505-2E9C-101B-9397-08002B2CF9AE}" pid="6" name="MSIP_Label_8903f633-4a78-4eed-bb49-365e45b1f3e8_Name">
    <vt:lpwstr>8903f633-4a78-4eed-bb49-365e45b1f3e8</vt:lpwstr>
  </property>
  <property fmtid="{D5CDD505-2E9C-101B-9397-08002B2CF9AE}" pid="7" name="MSIP_Label_8903f633-4a78-4eed-bb49-365e45b1f3e8_SiteId">
    <vt:lpwstr>1f816a84-7aa6-4a56-b22a-7b3452fa8681</vt:lpwstr>
  </property>
  <property fmtid="{D5CDD505-2E9C-101B-9397-08002B2CF9AE}" pid="8" name="MSIP_Label_8903f633-4a78-4eed-bb49-365e45b1f3e8_ActionId">
    <vt:lpwstr>78033d98-403b-497b-8f2c-cc2bc251e398</vt:lpwstr>
  </property>
  <property fmtid="{D5CDD505-2E9C-101B-9397-08002B2CF9AE}" pid="9" name="MSIP_Label_8903f633-4a78-4eed-bb49-365e45b1f3e8_ContentBits">
    <vt:lpwstr>0</vt:lpwstr>
  </property>
</Properties>
</file>