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0C0C" w14:textId="2702659B" w:rsidR="00974639" w:rsidRPr="00CB40BE" w:rsidRDefault="0018292F" w:rsidP="00CB40BE">
      <w:pPr>
        <w:jc w:val="both"/>
        <w:rPr>
          <w:rFonts w:ascii="Century Gothic" w:eastAsia="Times New Roman" w:hAnsi="Century Gothic" w:cs="Times New Roman"/>
          <w:b/>
          <w:bCs/>
          <w:color w:val="000000" w:themeColor="text1"/>
          <w:kern w:val="36"/>
          <w:sz w:val="40"/>
          <w:szCs w:val="40"/>
          <w:lang w:val="fr-FR" w:eastAsia="fr-FR"/>
        </w:rPr>
      </w:pPr>
      <w:r w:rsidRPr="00CB40BE">
        <w:rPr>
          <w:rFonts w:ascii="Century Gothic" w:eastAsia="Times New Roman" w:hAnsi="Century Gothic" w:cs="Times New Roman"/>
          <w:b/>
          <w:bCs/>
          <w:color w:val="000000" w:themeColor="text1"/>
          <w:kern w:val="36"/>
          <w:sz w:val="40"/>
          <w:szCs w:val="40"/>
          <w:lang w:val="fr-FR" w:eastAsia="fr-FR"/>
        </w:rPr>
        <w:t xml:space="preserve">Recouvrement amiable de dettes : </w:t>
      </w:r>
      <w:r w:rsidR="00674424">
        <w:rPr>
          <w:rFonts w:ascii="Century Gothic" w:eastAsia="Times New Roman" w:hAnsi="Century Gothic" w:cs="Times New Roman"/>
          <w:b/>
          <w:bCs/>
          <w:color w:val="000000" w:themeColor="text1"/>
          <w:kern w:val="36"/>
          <w:sz w:val="40"/>
          <w:szCs w:val="40"/>
          <w:lang w:val="fr-FR" w:eastAsia="fr-FR"/>
        </w:rPr>
        <w:t>l</w:t>
      </w:r>
      <w:r w:rsidRPr="00CB40BE">
        <w:rPr>
          <w:rFonts w:ascii="Century Gothic" w:eastAsia="Times New Roman" w:hAnsi="Century Gothic" w:cs="Times New Roman"/>
          <w:b/>
          <w:bCs/>
          <w:color w:val="000000" w:themeColor="text1"/>
          <w:kern w:val="36"/>
          <w:sz w:val="40"/>
          <w:szCs w:val="40"/>
          <w:lang w:val="fr-FR" w:eastAsia="fr-FR"/>
        </w:rPr>
        <w:t>a loi du 4 mai 2023 (M.B. 23.05.2023) établit de nouvelles règles</w:t>
      </w:r>
      <w:r w:rsidR="00387C2A">
        <w:rPr>
          <w:rFonts w:ascii="Century Gothic" w:eastAsia="Times New Roman" w:hAnsi="Century Gothic" w:cs="Times New Roman"/>
          <w:b/>
          <w:bCs/>
          <w:color w:val="000000" w:themeColor="text1"/>
          <w:kern w:val="36"/>
          <w:sz w:val="40"/>
          <w:szCs w:val="40"/>
          <w:lang w:val="fr-FR" w:eastAsia="fr-FR"/>
        </w:rPr>
        <w:t xml:space="preserve"> – FAQ </w:t>
      </w:r>
    </w:p>
    <w:p w14:paraId="61FADD90" w14:textId="66BC60C2" w:rsidR="0018292F" w:rsidRPr="00CB40BE" w:rsidRDefault="0018292F" w:rsidP="00CB40BE">
      <w:pPr>
        <w:jc w:val="both"/>
        <w:rPr>
          <w:rFonts w:ascii="Century Gothic" w:eastAsia="Times New Roman" w:hAnsi="Century Gothic" w:cs="Times New Roman"/>
          <w:b/>
          <w:bCs/>
          <w:color w:val="000000" w:themeColor="text1"/>
          <w:kern w:val="36"/>
          <w:sz w:val="40"/>
          <w:szCs w:val="40"/>
          <w:lang w:val="fr-FR" w:eastAsia="fr-FR"/>
        </w:rPr>
      </w:pPr>
    </w:p>
    <w:p w14:paraId="63D8E411" w14:textId="0075E630" w:rsidR="00193001" w:rsidRPr="00CB40BE" w:rsidRDefault="00193001" w:rsidP="00CB40BE">
      <w:pPr>
        <w:jc w:val="both"/>
        <w:rPr>
          <w:rFonts w:ascii="Century Gothic" w:eastAsia="Times New Roman" w:hAnsi="Century Gothic" w:cs="Times New Roman"/>
          <w:color w:val="000000" w:themeColor="text1"/>
          <w:kern w:val="36"/>
          <w:lang w:val="fr-FR" w:eastAsia="fr-FR"/>
        </w:rPr>
      </w:pPr>
      <w:r w:rsidRPr="00CB40BE">
        <w:rPr>
          <w:rFonts w:ascii="Century Gothic" w:eastAsia="Times New Roman" w:hAnsi="Century Gothic" w:cs="Times New Roman"/>
          <w:color w:val="000000" w:themeColor="text1"/>
          <w:kern w:val="36"/>
          <w:lang w:val="fr-FR" w:eastAsia="fr-FR"/>
        </w:rPr>
        <w:t>Cette loi du 4 mai 2023 crée dans le Code de droit économique (CDE) un livre XIX intitulé « Dettes du consommateur ».</w:t>
      </w:r>
    </w:p>
    <w:p w14:paraId="460C6A39" w14:textId="0F446209" w:rsidR="00906E38" w:rsidRDefault="00906E38" w:rsidP="00CB40BE">
      <w:pPr>
        <w:jc w:val="both"/>
        <w:rPr>
          <w:rFonts w:ascii="Century Gothic" w:eastAsia="Times New Roman" w:hAnsi="Century Gothic" w:cs="Times New Roman"/>
          <w:color w:val="FF0000"/>
          <w:kern w:val="36"/>
          <w:lang w:val="fr-FR" w:eastAsia="fr-FR"/>
        </w:rPr>
      </w:pPr>
      <w:r w:rsidRPr="00CB40BE">
        <w:rPr>
          <w:rFonts w:ascii="Century Gothic" w:eastAsia="Times New Roman" w:hAnsi="Century Gothic" w:cs="Times New Roman"/>
          <w:color w:val="000000" w:themeColor="text1"/>
          <w:kern w:val="36"/>
          <w:lang w:val="fr-FR" w:eastAsia="fr-FR"/>
        </w:rPr>
        <w:t>Cette loi suscit</w:t>
      </w:r>
      <w:r w:rsidR="00387C2A">
        <w:rPr>
          <w:rFonts w:ascii="Century Gothic" w:eastAsia="Times New Roman" w:hAnsi="Century Gothic" w:cs="Times New Roman"/>
          <w:color w:val="000000" w:themeColor="text1"/>
          <w:kern w:val="36"/>
          <w:lang w:val="fr-FR" w:eastAsia="fr-FR"/>
        </w:rPr>
        <w:t>e</w:t>
      </w:r>
      <w:r w:rsidRPr="00CB40BE">
        <w:rPr>
          <w:rFonts w:ascii="Century Gothic" w:eastAsia="Times New Roman" w:hAnsi="Century Gothic" w:cs="Times New Roman"/>
          <w:color w:val="000000" w:themeColor="text1"/>
          <w:kern w:val="36"/>
          <w:lang w:val="fr-FR" w:eastAsia="fr-FR"/>
        </w:rPr>
        <w:t xml:space="preserve"> quelques interrogations. En </w:t>
      </w:r>
      <w:r w:rsidR="008F72D5">
        <w:rPr>
          <w:rFonts w:ascii="Century Gothic" w:eastAsia="Times New Roman" w:hAnsi="Century Gothic" w:cs="Times New Roman"/>
          <w:color w:val="000000" w:themeColor="text1"/>
          <w:kern w:val="36"/>
          <w:lang w:val="fr-FR" w:eastAsia="fr-FR"/>
        </w:rPr>
        <w:t>collaboration</w:t>
      </w:r>
      <w:r w:rsidRPr="00CB40BE">
        <w:rPr>
          <w:rFonts w:ascii="Century Gothic" w:eastAsia="Times New Roman" w:hAnsi="Century Gothic" w:cs="Times New Roman"/>
          <w:color w:val="000000" w:themeColor="text1"/>
          <w:kern w:val="36"/>
          <w:lang w:val="fr-FR" w:eastAsia="fr-FR"/>
        </w:rPr>
        <w:t xml:space="preserve"> avec l’UVCW </w:t>
      </w:r>
      <w:r w:rsidR="009F4CD4" w:rsidRPr="009F4CD4">
        <w:rPr>
          <w:rFonts w:ascii="Century Gothic" w:eastAsia="Times New Roman" w:hAnsi="Century Gothic" w:cs="Times New Roman"/>
          <w:color w:val="000000" w:themeColor="text1"/>
          <w:kern w:val="36"/>
          <w:lang w:val="fr-FR" w:eastAsia="fr-FR"/>
        </w:rPr>
        <w:t>mais également sur la base d’échanges avec le SPF Economie</w:t>
      </w:r>
      <w:r w:rsidRPr="00CB40BE">
        <w:rPr>
          <w:rFonts w:ascii="Century Gothic" w:eastAsia="Times New Roman" w:hAnsi="Century Gothic" w:cs="Times New Roman"/>
          <w:color w:val="000000" w:themeColor="text1"/>
          <w:kern w:val="36"/>
          <w:lang w:val="fr-FR" w:eastAsia="fr-FR"/>
        </w:rPr>
        <w:t xml:space="preserve">, </w:t>
      </w:r>
      <w:r w:rsidR="00D169B0" w:rsidRPr="00BF6166">
        <w:rPr>
          <w:rFonts w:ascii="Century Gothic" w:eastAsia="Times New Roman" w:hAnsi="Century Gothic" w:cs="Times New Roman"/>
          <w:kern w:val="36"/>
          <w:lang w:val="fr-FR" w:eastAsia="fr-FR"/>
        </w:rPr>
        <w:t xml:space="preserve">vous trouverez ci-dessous </w:t>
      </w:r>
      <w:r w:rsidRPr="00BF6166">
        <w:rPr>
          <w:rFonts w:ascii="Century Gothic" w:eastAsia="Times New Roman" w:hAnsi="Century Gothic" w:cs="Times New Roman"/>
          <w:kern w:val="36"/>
          <w:lang w:val="fr-FR" w:eastAsia="fr-FR"/>
        </w:rPr>
        <w:t xml:space="preserve"> </w:t>
      </w:r>
      <w:r w:rsidRPr="00CB40BE">
        <w:rPr>
          <w:rFonts w:ascii="Century Gothic" w:eastAsia="Times New Roman" w:hAnsi="Century Gothic" w:cs="Times New Roman"/>
          <w:color w:val="000000" w:themeColor="text1"/>
          <w:kern w:val="36"/>
          <w:lang w:val="fr-FR" w:eastAsia="fr-FR"/>
        </w:rPr>
        <w:t>la réponse aux questions les plus fréquentes que se posent les pouvoirs locaux</w:t>
      </w:r>
      <w:r w:rsidR="00D169B0">
        <w:rPr>
          <w:rFonts w:ascii="Century Gothic" w:eastAsia="Times New Roman" w:hAnsi="Century Gothic" w:cs="Times New Roman"/>
          <w:color w:val="000000" w:themeColor="text1"/>
          <w:kern w:val="36"/>
          <w:lang w:val="fr-FR" w:eastAsia="fr-FR"/>
        </w:rPr>
        <w:t> </w:t>
      </w:r>
      <w:r w:rsidR="00D169B0" w:rsidRPr="00D169B0">
        <w:rPr>
          <w:rFonts w:ascii="Century Gothic" w:eastAsia="Times New Roman" w:hAnsi="Century Gothic" w:cs="Times New Roman"/>
          <w:color w:val="FF0000"/>
          <w:kern w:val="36"/>
          <w:lang w:val="fr-FR" w:eastAsia="fr-FR"/>
        </w:rPr>
        <w:t>:</w:t>
      </w:r>
    </w:p>
    <w:p w14:paraId="1D58B094" w14:textId="0796DD6E"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Qu’est-ce que le recouvrement amiable de dette ?</w:t>
      </w:r>
    </w:p>
    <w:p w14:paraId="19F282F6" w14:textId="7D551614"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Qu’est-ce qu’une entreprise ?</w:t>
      </w:r>
    </w:p>
    <w:p w14:paraId="443D0B41" w14:textId="6C0434B1"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Les pouvoirs locaux sont-ils visés ?</w:t>
      </w:r>
    </w:p>
    <w:p w14:paraId="786667E1" w14:textId="00131BFD"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 xml:space="preserve">Qu’est-ce qu’un consommateur ?  </w:t>
      </w:r>
    </w:p>
    <w:p w14:paraId="7825754D" w14:textId="34432650"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Quelle dette est concernée ?</w:t>
      </w:r>
    </w:p>
    <w:p w14:paraId="0F2196AB" w14:textId="20803F25"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Cette loi est-elle compatible avec L1124-40 du CDLD ?</w:t>
      </w:r>
    </w:p>
    <w:p w14:paraId="7303236A" w14:textId="598C8540"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Le recouvrement amiable est-il obligatoire pour les communes ?</w:t>
      </w:r>
    </w:p>
    <w:p w14:paraId="7EE0C874" w14:textId="0FA8321F"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Le recouvrement amiable est-il recommandé pour les pouvoirs locaux ?</w:t>
      </w:r>
    </w:p>
    <w:p w14:paraId="42978BE1" w14:textId="51C93AD2"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Le recouvrement amiable doit-il être expressément prévu dans le règlement-redevance relatif à une activité « économique » ?</w:t>
      </w:r>
    </w:p>
    <w:p w14:paraId="2FE25FDC" w14:textId="014ACB40"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Quelle mise en demeure doit obligatoirement être appliquée au niveau communal ?</w:t>
      </w:r>
    </w:p>
    <w:p w14:paraId="2D641005" w14:textId="67EC8E7C"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Quand et comment faire le premier rappel gratuit ?</w:t>
      </w:r>
    </w:p>
    <w:p w14:paraId="792306E8" w14:textId="02D54A30"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Quel rappel est concerné par la limite de 7,50 euros prévue à l’article XIX.2 §2 alinéa 2 du CDE ?</w:t>
      </w:r>
    </w:p>
    <w:p w14:paraId="4B8BC09E" w14:textId="23EBE86B"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Quel montant pour les clauses indemnitaires ?</w:t>
      </w:r>
    </w:p>
    <w:p w14:paraId="2C40132F" w14:textId="7408E408"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Quid des clauses indemnitaires qui ne respecteraient pas les montants maximums fixés ?</w:t>
      </w:r>
    </w:p>
    <w:p w14:paraId="1420F2E2" w14:textId="62B886A5"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La commune doit-elle s’inscrire préalablement auprès du SPF Economie pour faire du recouvrement amiable ?</w:t>
      </w:r>
    </w:p>
    <w:p w14:paraId="5C1260A6" w14:textId="460D1A87" w:rsidR="00D169B0" w:rsidRPr="00BF6166" w:rsidRDefault="00D169B0" w:rsidP="00D169B0">
      <w:pPr>
        <w:pStyle w:val="Paragraphedeliste"/>
        <w:numPr>
          <w:ilvl w:val="0"/>
          <w:numId w:val="6"/>
        </w:numPr>
        <w:jc w:val="both"/>
        <w:rPr>
          <w:rFonts w:ascii="Century Gothic" w:eastAsia="Times New Roman" w:hAnsi="Century Gothic" w:cs="Times New Roman"/>
          <w:b/>
          <w:bCs/>
          <w:kern w:val="36"/>
          <w:lang w:val="fr-FR" w:eastAsia="fr-FR"/>
        </w:rPr>
      </w:pPr>
      <w:r w:rsidRPr="00BF6166">
        <w:rPr>
          <w:rFonts w:ascii="Century Gothic" w:eastAsia="Times New Roman" w:hAnsi="Century Gothic" w:cs="Times New Roman"/>
          <w:b/>
          <w:bCs/>
          <w:kern w:val="36"/>
          <w:lang w:val="fr-FR" w:eastAsia="fr-FR"/>
        </w:rPr>
        <w:t>Qu’en retenir ?</w:t>
      </w:r>
    </w:p>
    <w:p w14:paraId="4D71AF23" w14:textId="77777777" w:rsidR="00D169B0" w:rsidRPr="00CB40BE" w:rsidRDefault="00D169B0" w:rsidP="00CB40BE">
      <w:pPr>
        <w:jc w:val="both"/>
        <w:rPr>
          <w:rFonts w:ascii="Century Gothic" w:eastAsia="Times New Roman" w:hAnsi="Century Gothic" w:cs="Times New Roman"/>
          <w:color w:val="000000" w:themeColor="text1"/>
          <w:kern w:val="36"/>
          <w:lang w:val="fr-FR" w:eastAsia="fr-FR"/>
        </w:rPr>
      </w:pPr>
    </w:p>
    <w:p w14:paraId="3FCAEB94" w14:textId="77777777" w:rsidR="00193001" w:rsidRPr="00674424" w:rsidRDefault="00193001" w:rsidP="00CB40BE">
      <w:pPr>
        <w:jc w:val="both"/>
        <w:rPr>
          <w:rFonts w:ascii="Century Gothic" w:eastAsia="Times New Roman" w:hAnsi="Century Gothic" w:cs="Times New Roman"/>
          <w:b/>
          <w:bCs/>
          <w:color w:val="000000" w:themeColor="text1"/>
          <w:kern w:val="36"/>
          <w:lang w:val="fr-FR" w:eastAsia="fr-FR"/>
        </w:rPr>
      </w:pPr>
    </w:p>
    <w:p w14:paraId="7C1660E1" w14:textId="48836990" w:rsidR="00193001" w:rsidRPr="00CB40BE" w:rsidRDefault="005253F4" w:rsidP="00CB40BE">
      <w:pPr>
        <w:jc w:val="both"/>
        <w:rPr>
          <w:rFonts w:ascii="Century Gothic" w:eastAsia="Times New Roman" w:hAnsi="Century Gothic" w:cs="Times New Roman"/>
          <w:b/>
          <w:bCs/>
          <w:color w:val="000000" w:themeColor="text1"/>
          <w:kern w:val="36"/>
          <w:lang w:val="fr-FR" w:eastAsia="fr-FR"/>
        </w:rPr>
      </w:pPr>
      <w:r>
        <w:rPr>
          <w:rFonts w:ascii="Century Gothic" w:eastAsia="Times New Roman" w:hAnsi="Century Gothic" w:cs="Times New Roman"/>
          <w:b/>
          <w:bCs/>
          <w:color w:val="000000" w:themeColor="text1"/>
          <w:kern w:val="36"/>
          <w:lang w:val="fr-FR" w:eastAsia="fr-FR"/>
        </w:rPr>
        <w:t xml:space="preserve">1. </w:t>
      </w:r>
      <w:r w:rsidR="00193001" w:rsidRPr="00CB40BE">
        <w:rPr>
          <w:rFonts w:ascii="Century Gothic" w:eastAsia="Times New Roman" w:hAnsi="Century Gothic" w:cs="Times New Roman"/>
          <w:b/>
          <w:bCs/>
          <w:color w:val="000000" w:themeColor="text1"/>
          <w:kern w:val="36"/>
          <w:lang w:val="fr-FR" w:eastAsia="fr-FR"/>
        </w:rPr>
        <w:t>Qu’est-ce que le recouvrement amiable de dette ?</w:t>
      </w:r>
    </w:p>
    <w:p w14:paraId="5FDFE49D" w14:textId="0A4853BD" w:rsidR="00193001" w:rsidRPr="00CB40BE" w:rsidRDefault="00193001" w:rsidP="4F9431BD">
      <w:pPr>
        <w:jc w:val="both"/>
        <w:rPr>
          <w:rFonts w:ascii="Century Gothic" w:eastAsia="Times New Roman" w:hAnsi="Century Gothic"/>
          <w:color w:val="000000" w:themeColor="text1"/>
          <w:kern w:val="36"/>
          <w:lang w:val="fr-FR" w:eastAsia="fr-FR"/>
        </w:rPr>
      </w:pPr>
      <w:r w:rsidRPr="00CB40BE">
        <w:rPr>
          <w:rFonts w:ascii="Century Gothic" w:eastAsia="Times New Roman" w:hAnsi="Century Gothic" w:cs="Times New Roman"/>
          <w:color w:val="000000" w:themeColor="text1"/>
          <w:kern w:val="36"/>
          <w:lang w:val="fr-FR" w:eastAsia="fr-FR"/>
        </w:rPr>
        <w:t>L’article I.22/1,1° du CDE le définit comme « </w:t>
      </w:r>
      <w:r w:rsidRPr="4F9431BD">
        <w:rPr>
          <w:rFonts w:ascii="Century Gothic" w:eastAsia="Times New Roman" w:hAnsi="Century Gothic"/>
          <w:i/>
          <w:iCs/>
          <w:color w:val="000000" w:themeColor="text1"/>
          <w:lang w:val="fr-FR" w:eastAsia="fr-FR"/>
        </w:rPr>
        <w:t xml:space="preserve">tout acte ou pratique d’une </w:t>
      </w:r>
      <w:r w:rsidRPr="4F9431BD">
        <w:rPr>
          <w:rFonts w:ascii="Century Gothic" w:eastAsia="Times New Roman" w:hAnsi="Century Gothic"/>
          <w:b/>
          <w:bCs/>
          <w:i/>
          <w:iCs/>
          <w:color w:val="000000" w:themeColor="text1"/>
          <w:lang w:val="fr-FR" w:eastAsia="fr-FR"/>
        </w:rPr>
        <w:t>entreprise</w:t>
      </w:r>
      <w:r w:rsidRPr="4F9431BD">
        <w:rPr>
          <w:rFonts w:ascii="Century Gothic" w:eastAsia="Times New Roman" w:hAnsi="Century Gothic"/>
          <w:i/>
          <w:iCs/>
          <w:color w:val="000000" w:themeColor="text1"/>
          <w:lang w:val="fr-FR" w:eastAsia="fr-FR"/>
        </w:rPr>
        <w:t xml:space="preserve"> qui a pour but d’obtenir le paiement d’une dette impayée par le </w:t>
      </w:r>
      <w:r w:rsidRPr="4F9431BD">
        <w:rPr>
          <w:rFonts w:ascii="Century Gothic" w:eastAsia="Times New Roman" w:hAnsi="Century Gothic"/>
          <w:b/>
          <w:bCs/>
          <w:i/>
          <w:iCs/>
          <w:color w:val="000000" w:themeColor="text1"/>
          <w:lang w:val="fr-FR" w:eastAsia="fr-FR"/>
        </w:rPr>
        <w:t>consommateur</w:t>
      </w:r>
      <w:r w:rsidRPr="4F9431BD">
        <w:rPr>
          <w:rFonts w:ascii="Century Gothic" w:eastAsia="Times New Roman" w:hAnsi="Century Gothic"/>
          <w:i/>
          <w:iCs/>
          <w:color w:val="000000" w:themeColor="text1"/>
          <w:lang w:val="fr-FR" w:eastAsia="fr-FR"/>
        </w:rPr>
        <w:t xml:space="preserve">, </w:t>
      </w:r>
      <w:r w:rsidRPr="4F9431BD">
        <w:rPr>
          <w:rFonts w:ascii="Century Gothic" w:eastAsia="Times New Roman" w:hAnsi="Century Gothic"/>
          <w:b/>
          <w:bCs/>
          <w:i/>
          <w:iCs/>
          <w:color w:val="000000" w:themeColor="text1"/>
          <w:lang w:val="fr-FR" w:eastAsia="fr-FR"/>
        </w:rPr>
        <w:t>à l’exception de tout recouvrement sur la base d’un titre exécutoire</w:t>
      </w:r>
      <w:r w:rsidRPr="4F9431BD">
        <w:rPr>
          <w:rFonts w:ascii="Century Gothic" w:eastAsia="Times New Roman" w:hAnsi="Century Gothic"/>
          <w:color w:val="000000" w:themeColor="text1"/>
          <w:lang w:val="fr-FR" w:eastAsia="fr-FR"/>
        </w:rPr>
        <w:t> ».</w:t>
      </w:r>
    </w:p>
    <w:p w14:paraId="1ED139BB" w14:textId="48888A39" w:rsidR="00FF6D95" w:rsidRDefault="00FF6D95" w:rsidP="00CB40BE">
      <w:pPr>
        <w:jc w:val="both"/>
        <w:rPr>
          <w:rFonts w:ascii="Century Gothic" w:eastAsia="Times New Roman" w:hAnsi="Century Gothic" w:cs="Times New Roman"/>
          <w:color w:val="000000" w:themeColor="text1"/>
          <w:kern w:val="36"/>
          <w:lang w:val="fr-FR" w:eastAsia="fr-FR"/>
        </w:rPr>
      </w:pPr>
      <w:r w:rsidRPr="00CB40BE">
        <w:rPr>
          <w:rFonts w:ascii="Century Gothic" w:eastAsia="Times New Roman" w:hAnsi="Century Gothic" w:cs="Times New Roman"/>
          <w:color w:val="000000" w:themeColor="text1"/>
          <w:kern w:val="36"/>
          <w:lang w:val="fr-FR" w:eastAsia="fr-FR"/>
        </w:rPr>
        <w:t>Les notions principales sont donc celle</w:t>
      </w:r>
      <w:r w:rsidR="009F4CD4">
        <w:rPr>
          <w:rFonts w:ascii="Century Gothic" w:eastAsia="Times New Roman" w:hAnsi="Century Gothic" w:cs="Times New Roman"/>
          <w:color w:val="000000" w:themeColor="text1"/>
          <w:kern w:val="36"/>
          <w:lang w:val="fr-FR" w:eastAsia="fr-FR"/>
        </w:rPr>
        <w:t>s</w:t>
      </w:r>
      <w:r w:rsidRPr="00CB40BE">
        <w:rPr>
          <w:rFonts w:ascii="Century Gothic" w:eastAsia="Times New Roman" w:hAnsi="Century Gothic" w:cs="Times New Roman"/>
          <w:color w:val="000000" w:themeColor="text1"/>
          <w:kern w:val="36"/>
          <w:lang w:val="fr-FR" w:eastAsia="fr-FR"/>
        </w:rPr>
        <w:t xml:space="preserve"> de l’entreprise </w:t>
      </w:r>
      <w:r w:rsidR="7C17818B" w:rsidRPr="00CB40BE">
        <w:rPr>
          <w:rFonts w:ascii="Century Gothic" w:eastAsia="Times New Roman" w:hAnsi="Century Gothic" w:cs="Times New Roman"/>
          <w:color w:val="000000" w:themeColor="text1"/>
          <w:kern w:val="36"/>
          <w:lang w:val="fr-FR" w:eastAsia="fr-FR"/>
        </w:rPr>
        <w:t>et de</w:t>
      </w:r>
      <w:r w:rsidRPr="00CB40BE">
        <w:rPr>
          <w:rFonts w:ascii="Century Gothic" w:eastAsia="Times New Roman" w:hAnsi="Century Gothic" w:cs="Times New Roman"/>
          <w:color w:val="000000" w:themeColor="text1"/>
          <w:kern w:val="36"/>
          <w:lang w:val="fr-FR" w:eastAsia="fr-FR"/>
        </w:rPr>
        <w:t xml:space="preserve"> dette.</w:t>
      </w:r>
    </w:p>
    <w:p w14:paraId="268E2B32" w14:textId="77777777" w:rsidR="00091331" w:rsidRPr="00CB40BE" w:rsidRDefault="00091331" w:rsidP="00CB40BE">
      <w:pPr>
        <w:jc w:val="both"/>
        <w:rPr>
          <w:rFonts w:ascii="Century Gothic" w:eastAsia="Times New Roman" w:hAnsi="Century Gothic" w:cs="Times New Roman"/>
          <w:color w:val="000000" w:themeColor="text1"/>
          <w:kern w:val="36"/>
          <w:lang w:val="fr-FR" w:eastAsia="fr-FR"/>
        </w:rPr>
      </w:pPr>
    </w:p>
    <w:p w14:paraId="2CC2904B" w14:textId="1410A547" w:rsidR="00193001" w:rsidRPr="00CB40BE" w:rsidRDefault="005253F4" w:rsidP="00CB40BE">
      <w:pPr>
        <w:jc w:val="both"/>
        <w:rPr>
          <w:rFonts w:ascii="Century Gothic" w:hAnsi="Century Gothic"/>
          <w:color w:val="000000" w:themeColor="text1"/>
        </w:rPr>
      </w:pPr>
      <w:r>
        <w:rPr>
          <w:rFonts w:ascii="Century Gothic" w:eastAsia="Times New Roman" w:hAnsi="Century Gothic" w:cs="Times New Roman"/>
          <w:b/>
          <w:bCs/>
          <w:color w:val="000000" w:themeColor="text1"/>
          <w:kern w:val="36"/>
          <w:lang w:val="fr-FR" w:eastAsia="fr-FR"/>
        </w:rPr>
        <w:lastRenderedPageBreak/>
        <w:t xml:space="preserve">2. </w:t>
      </w:r>
      <w:r w:rsidR="00FF6D95" w:rsidRPr="00CB40BE">
        <w:rPr>
          <w:rFonts w:ascii="Century Gothic" w:eastAsia="Times New Roman" w:hAnsi="Century Gothic" w:cs="Times New Roman"/>
          <w:b/>
          <w:bCs/>
          <w:color w:val="000000" w:themeColor="text1"/>
          <w:kern w:val="36"/>
          <w:lang w:val="fr-FR" w:eastAsia="fr-FR"/>
        </w:rPr>
        <w:t>Qu’est-ce qu’une entreprise ?</w:t>
      </w:r>
      <w:r w:rsidR="00FF6D95" w:rsidRPr="00CB40BE">
        <w:rPr>
          <w:rFonts w:ascii="Century Gothic" w:eastAsia="Times New Roman" w:hAnsi="Century Gothic" w:cs="Times New Roman"/>
          <w:color w:val="000000" w:themeColor="text1"/>
          <w:kern w:val="36"/>
          <w:lang w:val="fr-FR" w:eastAsia="fr-FR"/>
        </w:rPr>
        <w:t xml:space="preserve"> </w:t>
      </w:r>
      <w:r w:rsidR="00193001" w:rsidRPr="00CB40BE">
        <w:rPr>
          <w:rFonts w:ascii="Century Gothic" w:eastAsia="Times New Roman" w:hAnsi="Century Gothic" w:cs="Times New Roman"/>
          <w:color w:val="000000" w:themeColor="text1"/>
          <w:kern w:val="36"/>
          <w:lang w:val="fr-FR" w:eastAsia="fr-FR"/>
        </w:rPr>
        <w:t>Le CDE</w:t>
      </w:r>
      <w:r w:rsidR="00193001" w:rsidRPr="00CB40BE">
        <w:rPr>
          <w:rFonts w:ascii="Century Gothic" w:hAnsi="Century Gothic"/>
          <w:color w:val="000000" w:themeColor="text1"/>
        </w:rPr>
        <w:t xml:space="preserve"> prévoit une définition fonctionnelle de la notion d’entreprise et les travaux préparatoires précisent à cet égard ce qui suit :</w:t>
      </w:r>
    </w:p>
    <w:p w14:paraId="3F266882" w14:textId="14AFFEC7" w:rsidR="00193001" w:rsidRDefault="00193001" w:rsidP="4F9431BD">
      <w:pPr>
        <w:jc w:val="both"/>
        <w:rPr>
          <w:rFonts w:ascii="Century Gothic" w:hAnsi="Century Gothic"/>
          <w:i/>
          <w:iCs/>
          <w:color w:val="000000" w:themeColor="text1"/>
        </w:rPr>
      </w:pPr>
      <w:r w:rsidRPr="4F9431BD">
        <w:rPr>
          <w:rFonts w:ascii="Century Gothic" w:hAnsi="Century Gothic"/>
          <w:color w:val="000000" w:themeColor="text1"/>
        </w:rPr>
        <w:t xml:space="preserve">« </w:t>
      </w:r>
      <w:r w:rsidRPr="4F9431BD">
        <w:rPr>
          <w:rFonts w:ascii="Century Gothic" w:hAnsi="Century Gothic"/>
          <w:i/>
          <w:iCs/>
          <w:color w:val="000000" w:themeColor="text1"/>
        </w:rPr>
        <w:t xml:space="preserve">La notion d’entreprise est à interpréter de manière très large car elle fait référence à toute activité économique exercée de manière durable et récurrente. On entend par activité économique, l’offre de biens ou de services sur un marché. Il s’agit donc de toute personne physique ou morale qui offre des biens ou des services et participe de cette manière à la vie des affaires. L’activité indique qu’il ne doit pas s’agir d’une action ponctuelle mais plutôt d’une activité durable sur le marché, créant une concurrence avec d’autres entreprises. </w:t>
      </w:r>
      <w:r w:rsidRPr="4F9431BD">
        <w:rPr>
          <w:rFonts w:ascii="Century Gothic" w:hAnsi="Century Gothic"/>
          <w:i/>
          <w:iCs/>
          <w:color w:val="000000" w:themeColor="text1"/>
          <w:u w:val="single"/>
        </w:rPr>
        <w:t>Ni la forme juridique ni le mode de financement de l’entreprise ne jouent un rôle</w:t>
      </w:r>
      <w:r w:rsidRPr="4F9431BD">
        <w:rPr>
          <w:rFonts w:ascii="Century Gothic" w:hAnsi="Century Gothic"/>
          <w:i/>
          <w:iCs/>
          <w:color w:val="000000" w:themeColor="text1"/>
        </w:rPr>
        <w:t xml:space="preserve">. Il peut s’agir à la fois d’une personne physique, d’une personne morale, d’une association ou d’une personne publique. Par conséquent, </w:t>
      </w:r>
      <w:r w:rsidRPr="4F9431BD">
        <w:rPr>
          <w:rFonts w:ascii="Century Gothic" w:hAnsi="Century Gothic"/>
          <w:i/>
          <w:iCs/>
          <w:color w:val="000000" w:themeColor="text1"/>
          <w:u w:val="single"/>
        </w:rPr>
        <w:t>toute entité exerçant une activité économique de manière durable peut être considérée comme une entreprise. Ce qui peut aussi être le cas d’un organisme public.</w:t>
      </w:r>
      <w:r w:rsidR="00906E38" w:rsidRPr="4F9431BD">
        <w:rPr>
          <w:rFonts w:ascii="Century Gothic" w:hAnsi="Century Gothic"/>
          <w:i/>
          <w:iCs/>
          <w:color w:val="000000" w:themeColor="text1"/>
        </w:rPr>
        <w:t> »</w:t>
      </w:r>
    </w:p>
    <w:p w14:paraId="6F42ACFE" w14:textId="77777777" w:rsidR="002301C8" w:rsidRDefault="002301C8" w:rsidP="00CB40BE">
      <w:pPr>
        <w:jc w:val="both"/>
        <w:rPr>
          <w:rFonts w:ascii="Century Gothic" w:hAnsi="Century Gothic"/>
          <w:color w:val="000000" w:themeColor="text1"/>
        </w:rPr>
      </w:pPr>
    </w:p>
    <w:p w14:paraId="3E9E751B" w14:textId="1D4260CF" w:rsidR="002301C8" w:rsidRPr="00CB40BE" w:rsidRDefault="005253F4" w:rsidP="002301C8">
      <w:pPr>
        <w:jc w:val="both"/>
        <w:rPr>
          <w:rFonts w:ascii="Century Gothic" w:eastAsia="Times New Roman" w:hAnsi="Century Gothic" w:cs="Times New Roman"/>
          <w:b/>
          <w:bCs/>
          <w:color w:val="000000" w:themeColor="text1"/>
          <w:kern w:val="36"/>
          <w:lang w:val="fr-FR" w:eastAsia="fr-FR"/>
        </w:rPr>
      </w:pPr>
      <w:r>
        <w:rPr>
          <w:rFonts w:ascii="Century Gothic" w:eastAsia="Times New Roman" w:hAnsi="Century Gothic" w:cs="Times New Roman"/>
          <w:b/>
          <w:bCs/>
          <w:color w:val="000000" w:themeColor="text1"/>
          <w:kern w:val="36"/>
          <w:lang w:eastAsia="fr-FR"/>
        </w:rPr>
        <w:t xml:space="preserve">3. </w:t>
      </w:r>
      <w:bookmarkStart w:id="0" w:name="_Hlk145504033"/>
      <w:r w:rsidR="00674424">
        <w:rPr>
          <w:rFonts w:ascii="Century Gothic" w:eastAsia="Times New Roman" w:hAnsi="Century Gothic" w:cs="Times New Roman"/>
          <w:b/>
          <w:bCs/>
          <w:color w:val="000000" w:themeColor="text1"/>
          <w:kern w:val="36"/>
          <w:lang w:val="fr-FR" w:eastAsia="fr-FR"/>
        </w:rPr>
        <w:t>Les</w:t>
      </w:r>
      <w:r w:rsidR="002301C8" w:rsidRPr="00CB40BE">
        <w:rPr>
          <w:rFonts w:ascii="Century Gothic" w:eastAsia="Times New Roman" w:hAnsi="Century Gothic" w:cs="Times New Roman"/>
          <w:b/>
          <w:bCs/>
          <w:color w:val="000000" w:themeColor="text1"/>
          <w:kern w:val="36"/>
          <w:lang w:val="fr-FR" w:eastAsia="fr-FR"/>
        </w:rPr>
        <w:t xml:space="preserve"> pouvoirs locaux</w:t>
      </w:r>
      <w:r w:rsidR="00674424">
        <w:rPr>
          <w:rFonts w:ascii="Century Gothic" w:eastAsia="Times New Roman" w:hAnsi="Century Gothic" w:cs="Times New Roman"/>
          <w:b/>
          <w:bCs/>
          <w:color w:val="000000" w:themeColor="text1"/>
          <w:kern w:val="36"/>
          <w:lang w:val="fr-FR" w:eastAsia="fr-FR"/>
        </w:rPr>
        <w:t xml:space="preserve"> sont-ils visés</w:t>
      </w:r>
      <w:r w:rsidR="002301C8" w:rsidRPr="00CB40BE">
        <w:rPr>
          <w:rFonts w:ascii="Century Gothic" w:eastAsia="Times New Roman" w:hAnsi="Century Gothic" w:cs="Times New Roman"/>
          <w:b/>
          <w:bCs/>
          <w:color w:val="000000" w:themeColor="text1"/>
          <w:kern w:val="36"/>
          <w:lang w:val="fr-FR" w:eastAsia="fr-FR"/>
        </w:rPr>
        <w:t> ?</w:t>
      </w:r>
      <w:bookmarkEnd w:id="0"/>
    </w:p>
    <w:p w14:paraId="5FFF5AA8" w14:textId="3F052A20" w:rsidR="002301C8" w:rsidRPr="00CB40BE" w:rsidRDefault="002301C8" w:rsidP="4F9431BD">
      <w:pPr>
        <w:spacing w:after="100" w:afterAutospacing="1" w:line="240" w:lineRule="auto"/>
        <w:jc w:val="both"/>
        <w:rPr>
          <w:rFonts w:ascii="Century Gothic" w:eastAsia="Times New Roman" w:hAnsi="Century Gothic" w:cs="Times New Roman"/>
          <w:i/>
          <w:iCs/>
          <w:color w:val="000000" w:themeColor="text1"/>
          <w:lang w:val="fr-FR" w:eastAsia="fr-FR"/>
        </w:rPr>
      </w:pPr>
      <w:r w:rsidRPr="00EE00DA">
        <w:rPr>
          <w:rFonts w:ascii="Century Gothic" w:eastAsia="Times New Roman" w:hAnsi="Century Gothic" w:cs="Times New Roman"/>
          <w:color w:val="000000" w:themeColor="text1"/>
          <w:kern w:val="36"/>
          <w:u w:val="single"/>
          <w:lang w:val="fr-FR" w:eastAsia="fr-FR"/>
        </w:rPr>
        <w:t>Oui</w:t>
      </w:r>
      <w:r w:rsidRPr="00CB40BE">
        <w:rPr>
          <w:rFonts w:ascii="Century Gothic" w:eastAsia="Times New Roman" w:hAnsi="Century Gothic" w:cs="Times New Roman"/>
          <w:color w:val="000000" w:themeColor="text1"/>
          <w:kern w:val="36"/>
          <w:lang w:val="fr-FR" w:eastAsia="fr-FR"/>
        </w:rPr>
        <w:t>, les travaux préparatoire</w:t>
      </w:r>
      <w:r>
        <w:rPr>
          <w:rFonts w:ascii="Century Gothic" w:eastAsia="Times New Roman" w:hAnsi="Century Gothic" w:cs="Times New Roman"/>
          <w:color w:val="000000" w:themeColor="text1"/>
          <w:kern w:val="36"/>
          <w:lang w:val="fr-FR" w:eastAsia="fr-FR"/>
        </w:rPr>
        <w:t>s</w:t>
      </w:r>
      <w:r w:rsidRPr="00CB40BE">
        <w:rPr>
          <w:rFonts w:ascii="Century Gothic" w:eastAsia="Times New Roman" w:hAnsi="Century Gothic" w:cs="Times New Roman"/>
          <w:color w:val="000000" w:themeColor="text1"/>
          <w:kern w:val="36"/>
          <w:lang w:val="fr-FR" w:eastAsia="fr-FR"/>
        </w:rPr>
        <w:t xml:space="preserve"> de la loi sont clairs : </w:t>
      </w:r>
      <w:r w:rsidRPr="4F9431BD">
        <w:rPr>
          <w:rFonts w:ascii="Century Gothic" w:eastAsia="Times New Roman" w:hAnsi="Century Gothic" w:cs="Times New Roman"/>
          <w:i/>
          <w:iCs/>
          <w:color w:val="000000" w:themeColor="text1"/>
          <w:lang w:val="fr-FR" w:eastAsia="fr-FR"/>
        </w:rPr>
        <w:t>les organismes publics sont considérés comme des entreprises en ce qui concerne leurs activités qui ne font pas partie de leur mission légale d’intérêt général.</w:t>
      </w:r>
    </w:p>
    <w:p w14:paraId="6245D4AB" w14:textId="6E971086" w:rsidR="002301C8" w:rsidRPr="00CB40BE" w:rsidRDefault="002301C8" w:rsidP="4F9431BD">
      <w:pPr>
        <w:spacing w:after="100" w:afterAutospacing="1" w:line="240" w:lineRule="auto"/>
        <w:jc w:val="both"/>
        <w:rPr>
          <w:rFonts w:ascii="Century Gothic" w:eastAsia="Times New Roman" w:hAnsi="Century Gothic" w:cs="Times New Roman"/>
          <w:i/>
          <w:iCs/>
          <w:color w:val="000000" w:themeColor="text1"/>
          <w:lang w:val="fr-FR" w:eastAsia="fr-FR"/>
        </w:rPr>
      </w:pPr>
      <w:r w:rsidRPr="4F9431BD">
        <w:rPr>
          <w:rFonts w:ascii="Century Gothic" w:eastAsia="Times New Roman" w:hAnsi="Century Gothic" w:cs="Times New Roman"/>
          <w:i/>
          <w:iCs/>
          <w:color w:val="000000" w:themeColor="text1"/>
          <w:lang w:val="fr-FR" w:eastAsia="fr-FR"/>
        </w:rPr>
        <w:t xml:space="preserve">Ainsi, les pouvoirs locaux sont </w:t>
      </w:r>
      <w:r w:rsidRPr="4F9431BD">
        <w:rPr>
          <w:rFonts w:ascii="Century Gothic" w:eastAsia="Times New Roman" w:hAnsi="Century Gothic" w:cs="Times New Roman"/>
          <w:b/>
          <w:bCs/>
          <w:color w:val="000000" w:themeColor="text1"/>
          <w:lang w:val="fr-FR" w:eastAsia="fr-FR"/>
        </w:rPr>
        <w:t xml:space="preserve">soumis à la loi pour toutes les </w:t>
      </w:r>
      <w:r w:rsidR="417D5484" w:rsidRPr="4F9431BD">
        <w:rPr>
          <w:rFonts w:ascii="Century Gothic" w:eastAsia="Times New Roman" w:hAnsi="Century Gothic" w:cs="Times New Roman"/>
          <w:b/>
          <w:bCs/>
          <w:color w:val="000000" w:themeColor="text1"/>
          <w:lang w:val="fr-FR" w:eastAsia="fr-FR"/>
        </w:rPr>
        <w:t>activités qui</w:t>
      </w:r>
      <w:r w:rsidRPr="4F9431BD">
        <w:rPr>
          <w:rFonts w:ascii="Century Gothic" w:eastAsia="Times New Roman" w:hAnsi="Century Gothic" w:cs="Times New Roman"/>
          <w:b/>
          <w:bCs/>
          <w:color w:val="000000" w:themeColor="text1"/>
          <w:lang w:val="fr-FR" w:eastAsia="fr-FR"/>
        </w:rPr>
        <w:t xml:space="preserve"> ne font pas partie de leur mission légale d’intérêt général.</w:t>
      </w:r>
    </w:p>
    <w:p w14:paraId="2BFC84B5" w14:textId="14A8E3E1" w:rsidR="002301C8" w:rsidRPr="00CB40BE" w:rsidRDefault="002301C8" w:rsidP="002301C8">
      <w:pPr>
        <w:jc w:val="both"/>
        <w:rPr>
          <w:rFonts w:ascii="Century Gothic" w:eastAsia="Times New Roman" w:hAnsi="Century Gothic" w:cs="Times New Roman"/>
          <w:color w:val="000000" w:themeColor="text1"/>
          <w:kern w:val="36"/>
          <w:lang w:val="fr-FR" w:eastAsia="fr-FR"/>
        </w:rPr>
      </w:pPr>
      <w:r w:rsidRPr="4F9431BD">
        <w:rPr>
          <w:rFonts w:ascii="Century Gothic" w:eastAsia="Times New Roman" w:hAnsi="Century Gothic" w:cs="Times New Roman"/>
          <w:color w:val="000000" w:themeColor="text1"/>
          <w:lang w:val="fr-FR" w:eastAsia="fr-FR"/>
        </w:rPr>
        <w:t>A titre d’exemple le commentaire cite</w:t>
      </w:r>
      <w:r w:rsidR="1AFF9E0C" w:rsidRPr="4F9431BD">
        <w:rPr>
          <w:rFonts w:ascii="Century Gothic" w:eastAsia="Times New Roman" w:hAnsi="Century Gothic" w:cs="Times New Roman"/>
          <w:color w:val="000000" w:themeColor="text1"/>
          <w:lang w:val="fr-FR" w:eastAsia="fr-FR"/>
        </w:rPr>
        <w:t xml:space="preserve"> notamment</w:t>
      </w:r>
      <w:r w:rsidRPr="00CB40BE">
        <w:rPr>
          <w:rFonts w:ascii="Century Gothic" w:eastAsia="Times New Roman" w:hAnsi="Century Gothic" w:cs="Times New Roman"/>
          <w:color w:val="000000" w:themeColor="text1"/>
          <w:kern w:val="36"/>
          <w:lang w:val="fr-FR" w:eastAsia="fr-FR"/>
        </w:rPr>
        <w:t xml:space="preserve"> ceux-ci :</w:t>
      </w:r>
    </w:p>
    <w:p w14:paraId="117BCC67" w14:textId="77777777" w:rsidR="002301C8" w:rsidRPr="00CB40BE" w:rsidRDefault="002301C8" w:rsidP="002301C8">
      <w:pPr>
        <w:pStyle w:val="Paragraphedeliste"/>
        <w:numPr>
          <w:ilvl w:val="0"/>
          <w:numId w:val="2"/>
        </w:numPr>
        <w:jc w:val="both"/>
        <w:rPr>
          <w:rFonts w:ascii="Century Gothic" w:eastAsia="Times New Roman" w:hAnsi="Century Gothic" w:cs="Times New Roman"/>
          <w:color w:val="000000" w:themeColor="text1"/>
          <w:kern w:val="36"/>
          <w:lang w:val="fr-FR" w:eastAsia="fr-FR"/>
        </w:rPr>
      </w:pPr>
      <w:r w:rsidRPr="4F9431BD">
        <w:rPr>
          <w:rFonts w:ascii="Century Gothic" w:eastAsia="Times New Roman" w:hAnsi="Century Gothic" w:cs="Times New Roman"/>
          <w:color w:val="000000" w:themeColor="text1"/>
          <w:lang w:val="fr-FR" w:eastAsia="fr-FR"/>
        </w:rPr>
        <w:t>une commune qui gère une piscine, une bibliothèque ou un centre culturel, sera considérée comme “entreprise” pour ces types d’activités ;</w:t>
      </w:r>
    </w:p>
    <w:p w14:paraId="555D4B2E" w14:textId="77777777" w:rsidR="002301C8" w:rsidRPr="00CB40BE" w:rsidRDefault="002301C8" w:rsidP="002301C8">
      <w:pPr>
        <w:pStyle w:val="Paragraphedeliste"/>
        <w:numPr>
          <w:ilvl w:val="0"/>
          <w:numId w:val="2"/>
        </w:numPr>
        <w:jc w:val="both"/>
        <w:rPr>
          <w:rFonts w:ascii="Century Gothic" w:eastAsia="Times New Roman" w:hAnsi="Century Gothic" w:cs="Times New Roman"/>
          <w:color w:val="000000" w:themeColor="text1"/>
          <w:kern w:val="36"/>
          <w:lang w:val="fr-FR" w:eastAsia="fr-FR"/>
        </w:rPr>
      </w:pPr>
      <w:r w:rsidRPr="4F9431BD">
        <w:rPr>
          <w:rFonts w:ascii="Century Gothic" w:eastAsia="Times New Roman" w:hAnsi="Century Gothic" w:cs="Times New Roman"/>
          <w:color w:val="000000" w:themeColor="text1"/>
          <w:lang w:val="fr-FR" w:eastAsia="fr-FR"/>
        </w:rPr>
        <w:t>une commune qui encaissera les frais d’émission d’une carte d’identité, ne sera pas considérée comme “entreprise” car cette activité relève de ses missions de service public et n’a de ce fait, pas de caractère « économique » ;</w:t>
      </w:r>
    </w:p>
    <w:p w14:paraId="771A13A7" w14:textId="77777777" w:rsidR="002301C8" w:rsidRPr="00CB40BE" w:rsidRDefault="002301C8" w:rsidP="4F9431BD">
      <w:pPr>
        <w:pStyle w:val="Paragraphedeliste"/>
        <w:numPr>
          <w:ilvl w:val="0"/>
          <w:numId w:val="2"/>
        </w:numPr>
        <w:spacing w:after="100" w:afterAutospacing="1" w:line="240" w:lineRule="auto"/>
        <w:jc w:val="both"/>
        <w:rPr>
          <w:rFonts w:ascii="Century Gothic" w:eastAsia="Times New Roman" w:hAnsi="Century Gothic" w:cs="Times New Roman"/>
          <w:color w:val="000000" w:themeColor="text1"/>
          <w:lang w:val="fr-FR" w:eastAsia="fr-FR"/>
        </w:rPr>
      </w:pPr>
      <w:r w:rsidRPr="4F9431BD">
        <w:rPr>
          <w:rFonts w:ascii="Century Gothic" w:eastAsia="Times New Roman" w:hAnsi="Century Gothic" w:cs="Times New Roman"/>
          <w:color w:val="000000" w:themeColor="text1"/>
          <w:lang w:val="fr-FR" w:eastAsia="fr-FR"/>
        </w:rPr>
        <w:t>un établissement d’enseignement public n’est pas considéré comme une entreprise lorsqu’il dispense l’enseignement (mission d’intérêt public), mais bien lorsque, par exemple, il loue ses locaux à des particuliers ;</w:t>
      </w:r>
    </w:p>
    <w:p w14:paraId="09C4BF68" w14:textId="77777777" w:rsidR="002301C8" w:rsidRPr="00CB40BE" w:rsidRDefault="002301C8" w:rsidP="002301C8">
      <w:pPr>
        <w:pStyle w:val="Paragraphedeliste"/>
        <w:numPr>
          <w:ilvl w:val="0"/>
          <w:numId w:val="2"/>
        </w:numPr>
        <w:jc w:val="both"/>
        <w:rPr>
          <w:rFonts w:ascii="Century Gothic" w:eastAsia="Times New Roman" w:hAnsi="Century Gothic" w:cs="Times New Roman"/>
          <w:color w:val="000000" w:themeColor="text1"/>
          <w:kern w:val="36"/>
          <w:lang w:val="fr-FR" w:eastAsia="fr-FR"/>
        </w:rPr>
      </w:pPr>
      <w:r w:rsidRPr="4F9431BD">
        <w:rPr>
          <w:rFonts w:ascii="Century Gothic" w:eastAsia="Times New Roman" w:hAnsi="Century Gothic" w:cs="Times New Roman"/>
          <w:color w:val="000000" w:themeColor="text1"/>
          <w:lang w:val="fr-FR" w:eastAsia="fr-FR"/>
        </w:rPr>
        <w:t>un</w:t>
      </w:r>
      <w:r w:rsidRPr="00CB40BE">
        <w:rPr>
          <w:rFonts w:ascii="Century Gothic" w:eastAsia="Times New Roman" w:hAnsi="Century Gothic" w:cs="Times New Roman"/>
          <w:color w:val="000000" w:themeColor="text1"/>
          <w:kern w:val="36"/>
          <w:lang w:val="fr-FR" w:eastAsia="fr-FR"/>
        </w:rPr>
        <w:t xml:space="preserve"> hôpital est une entreprise selon la jurisprudence (Cour d’appel de Gand du 4 janvier 2012, 3 mars 2004 et 4 mars 2003 et Juge de paix de Liège du 25 octobre 2018)</w:t>
      </w:r>
    </w:p>
    <w:p w14:paraId="056E9C00" w14:textId="77777777" w:rsidR="002301C8" w:rsidRPr="002301C8" w:rsidRDefault="002301C8" w:rsidP="00CB40BE">
      <w:pPr>
        <w:jc w:val="both"/>
        <w:rPr>
          <w:rFonts w:ascii="Century Gothic" w:hAnsi="Century Gothic"/>
          <w:color w:val="000000" w:themeColor="text1"/>
          <w:lang w:val="fr-FR"/>
        </w:rPr>
      </w:pPr>
    </w:p>
    <w:p w14:paraId="425C73F7" w14:textId="2B6838A4" w:rsidR="002301C8" w:rsidDel="002301C8" w:rsidRDefault="005253F4" w:rsidP="4F9431BD">
      <w:pPr>
        <w:jc w:val="both"/>
        <w:rPr>
          <w:rFonts w:ascii="Century Gothic" w:eastAsia="Times New Roman" w:hAnsi="Century Gothic" w:cs="Times New Roman"/>
          <w:color w:val="000000" w:themeColor="text1"/>
          <w:lang w:eastAsia="fr-FR"/>
        </w:rPr>
      </w:pPr>
      <w:r>
        <w:rPr>
          <w:rFonts w:ascii="Century Gothic" w:hAnsi="Century Gothic"/>
          <w:b/>
          <w:bCs/>
          <w:color w:val="000000" w:themeColor="text1"/>
        </w:rPr>
        <w:t xml:space="preserve">4. </w:t>
      </w:r>
      <w:r w:rsidR="002301C8" w:rsidRPr="002301C8">
        <w:rPr>
          <w:rFonts w:ascii="Century Gothic" w:hAnsi="Century Gothic"/>
          <w:b/>
          <w:bCs/>
          <w:color w:val="000000" w:themeColor="text1"/>
        </w:rPr>
        <w:t>Qu’est-ce qu’un consommateur ?</w:t>
      </w:r>
      <w:r w:rsidR="002301C8">
        <w:rPr>
          <w:rFonts w:ascii="Century Gothic" w:hAnsi="Century Gothic"/>
          <w:color w:val="000000" w:themeColor="text1"/>
        </w:rPr>
        <w:t xml:space="preserve"> </w:t>
      </w:r>
      <w:r w:rsidR="002301C8" w:rsidRPr="002301C8">
        <w:rPr>
          <w:rFonts w:ascii="Century Gothic" w:hAnsi="Century Gothic"/>
          <w:color w:val="000000" w:themeColor="text1"/>
        </w:rPr>
        <w:t xml:space="preserve"> </w:t>
      </w:r>
      <w:r w:rsidR="002301C8" w:rsidRPr="00CB40BE">
        <w:rPr>
          <w:rFonts w:ascii="Century Gothic" w:eastAsia="Times New Roman" w:hAnsi="Century Gothic" w:cs="Times New Roman"/>
          <w:color w:val="000000" w:themeColor="text1"/>
          <w:kern w:val="36"/>
          <w:lang w:eastAsia="fr-FR"/>
        </w:rPr>
        <w:t xml:space="preserve">L’article I.1,2° </w:t>
      </w:r>
      <w:r w:rsidR="002301C8" w:rsidRPr="00CB40BE">
        <w:rPr>
          <w:rFonts w:ascii="Century Gothic" w:eastAsia="Times New Roman" w:hAnsi="Century Gothic" w:cs="Times New Roman"/>
          <w:color w:val="000000" w:themeColor="text1"/>
          <w:kern w:val="36"/>
          <w:lang w:val="fr-FR" w:eastAsia="fr-FR"/>
        </w:rPr>
        <w:t xml:space="preserve">du </w:t>
      </w:r>
      <w:r w:rsidR="002301C8" w:rsidRPr="00CB40BE">
        <w:rPr>
          <w:rFonts w:ascii="Century Gothic" w:eastAsia="Times New Roman" w:hAnsi="Century Gothic" w:cs="Times New Roman"/>
          <w:color w:val="000000" w:themeColor="text1"/>
          <w:kern w:val="36"/>
          <w:lang w:eastAsia="fr-FR"/>
        </w:rPr>
        <w:t xml:space="preserve">CDE définit le consommateur comme « </w:t>
      </w:r>
      <w:r w:rsidR="002301C8" w:rsidRPr="4F9431BD">
        <w:rPr>
          <w:rFonts w:ascii="Century Gothic" w:eastAsia="Times New Roman" w:hAnsi="Century Gothic" w:cs="Times New Roman"/>
          <w:i/>
          <w:iCs/>
          <w:color w:val="000000" w:themeColor="text1"/>
          <w:kern w:val="36"/>
          <w:lang w:eastAsia="fr-FR"/>
        </w:rPr>
        <w:t>toute personne physique qui agit à des fins qui n'entrent pas dans le cadre de son activité commerciale, industrielle, artisanale ou libérale</w:t>
      </w:r>
      <w:r w:rsidR="002301C8" w:rsidRPr="00CB40BE">
        <w:rPr>
          <w:rFonts w:ascii="Century Gothic" w:eastAsia="Times New Roman" w:hAnsi="Century Gothic" w:cs="Times New Roman"/>
          <w:color w:val="000000" w:themeColor="text1"/>
          <w:kern w:val="36"/>
          <w:lang w:eastAsia="fr-FR"/>
        </w:rPr>
        <w:t xml:space="preserve"> ».</w:t>
      </w:r>
      <w:r w:rsidR="002301C8">
        <w:rPr>
          <w:rFonts w:ascii="Century Gothic" w:hAnsi="Century Gothic"/>
          <w:color w:val="000000" w:themeColor="text1"/>
        </w:rPr>
        <w:t xml:space="preserve"> Une entreprise, un indépendant personne physique ou encore une ASBL ne sont pas des consommateurs.</w:t>
      </w:r>
    </w:p>
    <w:p w14:paraId="699FB9A7" w14:textId="77777777" w:rsidR="00906E38" w:rsidRPr="00CB40BE" w:rsidRDefault="00906E38" w:rsidP="00CB40BE">
      <w:pPr>
        <w:jc w:val="both"/>
        <w:rPr>
          <w:rFonts w:ascii="Century Gothic" w:hAnsi="Century Gothic"/>
          <w:color w:val="000000" w:themeColor="text1"/>
        </w:rPr>
      </w:pPr>
    </w:p>
    <w:p w14:paraId="735655AA" w14:textId="1C7950F2" w:rsidR="00193001" w:rsidRPr="00CB40BE" w:rsidRDefault="005253F4" w:rsidP="00CB40BE">
      <w:pPr>
        <w:jc w:val="both"/>
        <w:rPr>
          <w:rFonts w:ascii="Century Gothic" w:eastAsia="Times New Roman" w:hAnsi="Century Gothic" w:cs="Times New Roman"/>
          <w:b/>
          <w:bCs/>
          <w:color w:val="000000" w:themeColor="text1"/>
          <w:kern w:val="36"/>
          <w:lang w:eastAsia="fr-FR"/>
        </w:rPr>
      </w:pPr>
      <w:r>
        <w:rPr>
          <w:rFonts w:ascii="Century Gothic" w:eastAsia="Times New Roman" w:hAnsi="Century Gothic" w:cs="Times New Roman"/>
          <w:b/>
          <w:bCs/>
          <w:color w:val="000000" w:themeColor="text1"/>
          <w:kern w:val="36"/>
          <w:lang w:eastAsia="fr-FR"/>
        </w:rPr>
        <w:t xml:space="preserve">5. </w:t>
      </w:r>
      <w:r w:rsidR="00FF6D95" w:rsidRPr="00CB40BE">
        <w:rPr>
          <w:rFonts w:ascii="Century Gothic" w:eastAsia="Times New Roman" w:hAnsi="Century Gothic" w:cs="Times New Roman"/>
          <w:b/>
          <w:bCs/>
          <w:color w:val="000000" w:themeColor="text1"/>
          <w:kern w:val="36"/>
          <w:lang w:eastAsia="fr-FR"/>
        </w:rPr>
        <w:t xml:space="preserve">Quelle dette est concernée ? </w:t>
      </w:r>
    </w:p>
    <w:p w14:paraId="5F8AE93D" w14:textId="03026EE5" w:rsidR="00FF6D95" w:rsidRPr="00CB40BE" w:rsidRDefault="00FF6D95" w:rsidP="00CB40BE">
      <w:pPr>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b/>
          <w:bCs/>
          <w:color w:val="000000" w:themeColor="text1"/>
          <w:kern w:val="36"/>
          <w:lang w:eastAsia="fr-FR"/>
        </w:rPr>
        <w:lastRenderedPageBreak/>
        <w:t xml:space="preserve">Pas les taxes, </w:t>
      </w:r>
      <w:r w:rsidRPr="002301C8">
        <w:rPr>
          <w:rFonts w:ascii="Century Gothic" w:eastAsia="Times New Roman" w:hAnsi="Century Gothic" w:cs="Times New Roman"/>
          <w:b/>
          <w:bCs/>
          <w:color w:val="000000" w:themeColor="text1"/>
          <w:kern w:val="36"/>
          <w:lang w:eastAsia="fr-FR"/>
        </w:rPr>
        <w:t>car</w:t>
      </w:r>
      <w:r w:rsidRPr="00CB40BE">
        <w:rPr>
          <w:rFonts w:ascii="Century Gothic" w:eastAsia="Times New Roman" w:hAnsi="Century Gothic" w:cs="Times New Roman"/>
          <w:color w:val="000000" w:themeColor="text1"/>
          <w:kern w:val="36"/>
          <w:lang w:eastAsia="fr-FR"/>
        </w:rPr>
        <w:t xml:space="preserve"> </w:t>
      </w:r>
      <w:r w:rsidR="002301C8" w:rsidRPr="4F9431BD">
        <w:rPr>
          <w:rFonts w:ascii="Century Gothic" w:eastAsia="Times New Roman" w:hAnsi="Century Gothic" w:cs="Times New Roman"/>
          <w:color w:val="000000" w:themeColor="text1"/>
          <w:lang w:eastAsia="fr-FR"/>
        </w:rPr>
        <w:t xml:space="preserve"> –</w:t>
      </w:r>
      <w:r w:rsidR="002301C8">
        <w:rPr>
          <w:rFonts w:ascii="Century Gothic" w:eastAsia="Times New Roman" w:hAnsi="Century Gothic" w:cs="Times New Roman"/>
          <w:color w:val="000000" w:themeColor="text1"/>
          <w:kern w:val="36"/>
          <w:lang w:eastAsia="fr-FR"/>
        </w:rPr>
        <w:t xml:space="preserve"> visées par</w:t>
      </w:r>
      <w:r w:rsidRPr="00CB40BE">
        <w:rPr>
          <w:rFonts w:ascii="Century Gothic" w:eastAsia="Times New Roman" w:hAnsi="Century Gothic" w:cs="Times New Roman"/>
          <w:color w:val="000000" w:themeColor="text1"/>
          <w:kern w:val="36"/>
          <w:lang w:eastAsia="fr-FR"/>
        </w:rPr>
        <w:t xml:space="preserve"> les articles L3321-1 à 12 du Code de la démocratie locale et de la décentralisation </w:t>
      </w:r>
      <w:r w:rsidR="00C12AD2">
        <w:rPr>
          <w:rFonts w:ascii="Century Gothic" w:eastAsia="Times New Roman" w:hAnsi="Century Gothic" w:cs="Times New Roman"/>
          <w:color w:val="000000" w:themeColor="text1"/>
          <w:kern w:val="36"/>
          <w:lang w:eastAsia="fr-FR"/>
        </w:rPr>
        <w:t xml:space="preserve">(CDLD) </w:t>
      </w:r>
      <w:r w:rsidR="002301C8">
        <w:rPr>
          <w:rFonts w:ascii="Century Gothic" w:eastAsia="Times New Roman" w:hAnsi="Century Gothic" w:cs="Times New Roman"/>
          <w:color w:val="000000" w:themeColor="text1"/>
          <w:kern w:val="36"/>
          <w:lang w:eastAsia="fr-FR"/>
        </w:rPr>
        <w:t xml:space="preserve">–, </w:t>
      </w:r>
      <w:r w:rsidR="002301C8" w:rsidRPr="00EE5F68">
        <w:rPr>
          <w:rFonts w:ascii="Century Gothic" w:eastAsia="Times New Roman" w:hAnsi="Century Gothic" w:cs="Times New Roman"/>
          <w:b/>
          <w:bCs/>
          <w:color w:val="000000" w:themeColor="text1"/>
          <w:kern w:val="36"/>
          <w:lang w:eastAsia="fr-FR"/>
        </w:rPr>
        <w:t>elles reposent</w:t>
      </w:r>
      <w:r w:rsidR="002301C8">
        <w:rPr>
          <w:rFonts w:ascii="Century Gothic" w:eastAsia="Times New Roman" w:hAnsi="Century Gothic" w:cs="Times New Roman"/>
          <w:color w:val="000000" w:themeColor="text1"/>
          <w:kern w:val="36"/>
          <w:lang w:eastAsia="fr-FR"/>
        </w:rPr>
        <w:t xml:space="preserve"> </w:t>
      </w:r>
      <w:r w:rsidRPr="00CB40BE">
        <w:rPr>
          <w:rFonts w:ascii="Century Gothic" w:eastAsia="Times New Roman" w:hAnsi="Century Gothic" w:cs="Times New Roman"/>
          <w:b/>
          <w:bCs/>
          <w:color w:val="000000" w:themeColor="text1"/>
          <w:kern w:val="36"/>
          <w:lang w:eastAsia="fr-FR"/>
        </w:rPr>
        <w:t>sur un titre exécutoire</w:t>
      </w:r>
      <w:r w:rsidR="002301C8">
        <w:rPr>
          <w:rFonts w:ascii="Century Gothic" w:eastAsia="Times New Roman" w:hAnsi="Century Gothic" w:cs="Times New Roman"/>
          <w:b/>
          <w:bCs/>
          <w:color w:val="000000" w:themeColor="text1"/>
          <w:kern w:val="36"/>
          <w:lang w:eastAsia="fr-FR"/>
        </w:rPr>
        <w:t xml:space="preserve"> </w:t>
      </w:r>
      <w:r w:rsidR="002301C8" w:rsidRPr="00EE5F68">
        <w:rPr>
          <w:rFonts w:ascii="Century Gothic" w:eastAsia="Times New Roman" w:hAnsi="Century Gothic" w:cs="Times New Roman"/>
          <w:color w:val="000000" w:themeColor="text1"/>
          <w:kern w:val="36"/>
          <w:lang w:eastAsia="fr-FR"/>
        </w:rPr>
        <w:t>(en l’occurrence le rôle arrêté par le collège communal)</w:t>
      </w:r>
      <w:r w:rsidR="002301C8">
        <w:rPr>
          <w:rFonts w:ascii="Century Gothic" w:eastAsia="Times New Roman" w:hAnsi="Century Gothic" w:cs="Times New Roman"/>
          <w:color w:val="000000" w:themeColor="text1"/>
          <w:kern w:val="36"/>
          <w:lang w:eastAsia="fr-FR"/>
        </w:rPr>
        <w:t xml:space="preserve">. Et pour la même raison, pas non plus </w:t>
      </w:r>
      <w:r w:rsidRPr="00CB40BE">
        <w:rPr>
          <w:rFonts w:ascii="Century Gothic" w:eastAsia="Times New Roman" w:hAnsi="Century Gothic" w:cs="Times New Roman"/>
          <w:color w:val="000000" w:themeColor="text1"/>
          <w:kern w:val="36"/>
          <w:lang w:eastAsia="fr-FR"/>
        </w:rPr>
        <w:t>les amendes administratives</w:t>
      </w:r>
      <w:r w:rsidR="002301C8">
        <w:rPr>
          <w:rFonts w:ascii="Century Gothic" w:eastAsia="Times New Roman" w:hAnsi="Century Gothic" w:cs="Times New Roman"/>
          <w:color w:val="000000" w:themeColor="text1"/>
          <w:kern w:val="36"/>
          <w:lang w:eastAsia="fr-FR"/>
        </w:rPr>
        <w:t xml:space="preserve"> communales</w:t>
      </w:r>
      <w:r w:rsidRPr="00CB40BE">
        <w:rPr>
          <w:rFonts w:ascii="Century Gothic" w:eastAsia="Times New Roman" w:hAnsi="Century Gothic" w:cs="Times New Roman"/>
          <w:color w:val="000000" w:themeColor="text1"/>
          <w:kern w:val="36"/>
          <w:lang w:eastAsia="fr-FR"/>
        </w:rPr>
        <w:t>.</w:t>
      </w:r>
    </w:p>
    <w:p w14:paraId="27462FCF" w14:textId="35A25C3F" w:rsidR="00404D7C" w:rsidRPr="00CB40BE" w:rsidRDefault="00F06FB1" w:rsidP="00CB40BE">
      <w:pPr>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b/>
          <w:bCs/>
          <w:color w:val="000000" w:themeColor="text1"/>
          <w:kern w:val="36"/>
          <w:lang w:eastAsia="fr-FR"/>
        </w:rPr>
        <w:t>Pas les dettes régies par des législations sectorielles fédérales</w:t>
      </w:r>
      <w:r w:rsidRPr="00CB40BE">
        <w:rPr>
          <w:rFonts w:ascii="Century Gothic" w:eastAsia="Times New Roman" w:hAnsi="Century Gothic" w:cs="Times New Roman"/>
          <w:color w:val="000000" w:themeColor="text1"/>
          <w:kern w:val="36"/>
          <w:lang w:eastAsia="fr-FR"/>
        </w:rPr>
        <w:t xml:space="preserve"> (comme la loi du 13 juin 2005 relative aux communications électroniques, les articles VII.106, § 2, VII147/22 et VII.147/23 </w:t>
      </w:r>
      <w:r w:rsidR="00FA289C">
        <w:rPr>
          <w:rFonts w:ascii="Century Gothic" w:eastAsia="Times New Roman" w:hAnsi="Century Gothic" w:cs="Times New Roman"/>
          <w:color w:val="000000" w:themeColor="text1"/>
          <w:kern w:val="36"/>
          <w:lang w:eastAsia="fr-FR"/>
        </w:rPr>
        <w:t>du CDE</w:t>
      </w:r>
      <w:r w:rsidR="00FA289C" w:rsidRPr="00CB40BE">
        <w:rPr>
          <w:rFonts w:ascii="Century Gothic" w:eastAsia="Times New Roman" w:hAnsi="Century Gothic" w:cs="Times New Roman"/>
          <w:color w:val="000000" w:themeColor="text1"/>
          <w:kern w:val="36"/>
          <w:lang w:eastAsia="fr-FR"/>
        </w:rPr>
        <w:t xml:space="preserve"> </w:t>
      </w:r>
      <w:r w:rsidRPr="00CB40BE">
        <w:rPr>
          <w:rFonts w:ascii="Century Gothic" w:eastAsia="Times New Roman" w:hAnsi="Century Gothic" w:cs="Times New Roman"/>
          <w:color w:val="000000" w:themeColor="text1"/>
          <w:kern w:val="36"/>
          <w:lang w:eastAsia="fr-FR"/>
        </w:rPr>
        <w:t xml:space="preserve">pour le crédit à la consommation et le crédit hypothécaire) </w:t>
      </w:r>
      <w:r w:rsidRPr="00CB40BE">
        <w:rPr>
          <w:rFonts w:ascii="Century Gothic" w:eastAsia="Times New Roman" w:hAnsi="Century Gothic" w:cs="Times New Roman"/>
          <w:b/>
          <w:bCs/>
          <w:color w:val="000000" w:themeColor="text1"/>
          <w:kern w:val="36"/>
          <w:lang w:eastAsia="fr-FR"/>
        </w:rPr>
        <w:t>et régionales</w:t>
      </w:r>
      <w:r w:rsidRPr="00CB40BE">
        <w:rPr>
          <w:rFonts w:ascii="Century Gothic" w:eastAsia="Times New Roman" w:hAnsi="Century Gothic" w:cs="Times New Roman"/>
          <w:color w:val="000000" w:themeColor="text1"/>
          <w:kern w:val="36"/>
          <w:lang w:eastAsia="fr-FR"/>
        </w:rPr>
        <w:t xml:space="preserve"> (dans les secteurs de l’énergie et de l’eau) qui réglementent certains aspects du recouvrement amiable d’une dette impayée.</w:t>
      </w:r>
      <w:r w:rsidR="00404D7C" w:rsidRPr="00CB40BE">
        <w:rPr>
          <w:rFonts w:ascii="Century Gothic" w:eastAsia="Times New Roman" w:hAnsi="Century Gothic" w:cs="Times New Roman"/>
          <w:color w:val="000000" w:themeColor="text1"/>
          <w:kern w:val="36"/>
          <w:lang w:eastAsia="fr-FR"/>
        </w:rPr>
        <w:t xml:space="preserve"> </w:t>
      </w:r>
      <w:r w:rsidR="00534F4E" w:rsidRPr="00CB40BE">
        <w:rPr>
          <w:rFonts w:ascii="Century Gothic" w:eastAsia="Times New Roman" w:hAnsi="Century Gothic" w:cs="Times New Roman"/>
          <w:color w:val="000000" w:themeColor="text1"/>
          <w:kern w:val="36"/>
          <w:lang w:eastAsia="fr-FR"/>
        </w:rPr>
        <w:t xml:space="preserve">Ceci ressort clairement de </w:t>
      </w:r>
      <w:r w:rsidRPr="00CB40BE">
        <w:rPr>
          <w:rFonts w:ascii="Century Gothic" w:eastAsia="Times New Roman" w:hAnsi="Century Gothic" w:cs="Times New Roman"/>
          <w:color w:val="000000" w:themeColor="text1"/>
          <w:kern w:val="36"/>
          <w:lang w:eastAsia="fr-FR"/>
        </w:rPr>
        <w:t>l’exposé des motifs de la loi</w:t>
      </w:r>
      <w:r w:rsidR="00404D7C" w:rsidRPr="00CB40BE">
        <w:rPr>
          <w:rFonts w:ascii="Century Gothic" w:eastAsia="Times New Roman" w:hAnsi="Century Gothic" w:cs="Times New Roman"/>
          <w:color w:val="000000" w:themeColor="text1"/>
          <w:kern w:val="36"/>
          <w:lang w:eastAsia="fr-FR"/>
        </w:rPr>
        <w:t xml:space="preserve"> lequel précise notamment : </w:t>
      </w:r>
    </w:p>
    <w:p w14:paraId="4AA4E3A7" w14:textId="77777777" w:rsidR="00404D7C" w:rsidRPr="00CB40BE" w:rsidRDefault="00404D7C" w:rsidP="00CB40BE">
      <w:pPr>
        <w:spacing w:after="100" w:afterAutospacing="1" w:line="240" w:lineRule="auto"/>
        <w:jc w:val="both"/>
        <w:rPr>
          <w:rFonts w:ascii="Century Gothic" w:eastAsia="Times New Roman" w:hAnsi="Century Gothic" w:cs="Times New Roman"/>
          <w:color w:val="000000" w:themeColor="text1"/>
          <w:lang w:val="fr-FR" w:eastAsia="fr-FR"/>
        </w:rPr>
      </w:pPr>
      <w:r w:rsidRPr="00CB40BE">
        <w:rPr>
          <w:rFonts w:ascii="Century Gothic" w:eastAsia="Times New Roman" w:hAnsi="Century Gothic" w:cs="Times New Roman"/>
          <w:color w:val="000000" w:themeColor="text1"/>
          <w:kern w:val="36"/>
          <w:lang w:eastAsia="fr-FR"/>
        </w:rPr>
        <w:t>« </w:t>
      </w:r>
      <w:r w:rsidRPr="00CB40BE">
        <w:rPr>
          <w:rFonts w:ascii="Century Gothic" w:eastAsia="Times New Roman" w:hAnsi="Century Gothic" w:cs="Times New Roman"/>
          <w:i/>
          <w:iCs/>
          <w:color w:val="000000" w:themeColor="text1"/>
          <w:lang w:val="fr-FR" w:eastAsia="fr-FR"/>
        </w:rPr>
        <w:t xml:space="preserve">Le cadre normatif général mis en œuvre par le présent projet l’est </w:t>
      </w:r>
      <w:r w:rsidRPr="00CB40BE">
        <w:rPr>
          <w:rFonts w:ascii="Century Gothic" w:eastAsia="Times New Roman" w:hAnsi="Century Gothic" w:cs="Times New Roman"/>
          <w:b/>
          <w:bCs/>
          <w:i/>
          <w:iCs/>
          <w:color w:val="000000" w:themeColor="text1"/>
          <w:lang w:val="fr-FR" w:eastAsia="fr-FR"/>
        </w:rPr>
        <w:t>sans préjudice de l’ensemble de ces législations</w:t>
      </w:r>
      <w:r w:rsidRPr="00CB40BE">
        <w:rPr>
          <w:rFonts w:ascii="Century Gothic" w:eastAsia="Times New Roman" w:hAnsi="Century Gothic" w:cs="Times New Roman"/>
          <w:i/>
          <w:iCs/>
          <w:color w:val="000000" w:themeColor="text1"/>
          <w:lang w:val="fr-FR" w:eastAsia="fr-FR"/>
        </w:rPr>
        <w:t xml:space="preserve"> particulières qui continuent de s’appliquer étant donné l’objectif de protection particulière qu’elles poursuivent et les services spécifiques visés. L’eau, l’énergie et les services télécoms sont aujourd’hui indispensables au consommateur.</w:t>
      </w:r>
    </w:p>
    <w:p w14:paraId="32BE5423" w14:textId="77777777" w:rsidR="00404D7C" w:rsidRPr="00CB40BE" w:rsidRDefault="00404D7C" w:rsidP="00CB40BE">
      <w:pPr>
        <w:spacing w:after="100" w:afterAutospacing="1" w:line="240" w:lineRule="auto"/>
        <w:jc w:val="both"/>
        <w:rPr>
          <w:rFonts w:ascii="Century Gothic" w:eastAsia="Times New Roman" w:hAnsi="Century Gothic" w:cs="Times New Roman"/>
          <w:b/>
          <w:bCs/>
          <w:color w:val="000000" w:themeColor="text1"/>
          <w:lang w:val="fr-FR" w:eastAsia="fr-FR"/>
        </w:rPr>
      </w:pPr>
      <w:r w:rsidRPr="00CB40BE">
        <w:rPr>
          <w:rFonts w:ascii="Century Gothic" w:eastAsia="Times New Roman" w:hAnsi="Century Gothic" w:cs="Times New Roman"/>
          <w:i/>
          <w:iCs/>
          <w:color w:val="000000" w:themeColor="text1"/>
          <w:lang w:val="fr-FR" w:eastAsia="fr-FR"/>
        </w:rPr>
        <w:t xml:space="preserve">Le présent cadre normatif s’appliquera toutefois à ces mêmes services puisque les règles générales et spécifiques s’appliquent simultanément à une même situation. </w:t>
      </w:r>
      <w:r w:rsidRPr="00CB40BE">
        <w:rPr>
          <w:rFonts w:ascii="Century Gothic" w:eastAsia="Times New Roman" w:hAnsi="Century Gothic" w:cs="Times New Roman"/>
          <w:b/>
          <w:bCs/>
          <w:i/>
          <w:iCs/>
          <w:color w:val="000000" w:themeColor="text1"/>
          <w:lang w:val="fr-FR" w:eastAsia="fr-FR"/>
        </w:rPr>
        <w:t>En principe, elles sont alors appliquées de manière cumulative</w:t>
      </w:r>
      <w:r w:rsidRPr="00CB40BE">
        <w:rPr>
          <w:rFonts w:ascii="Century Gothic" w:eastAsia="Times New Roman" w:hAnsi="Century Gothic" w:cs="Times New Roman"/>
          <w:i/>
          <w:iCs/>
          <w:color w:val="000000" w:themeColor="text1"/>
          <w:lang w:val="fr-FR" w:eastAsia="fr-FR"/>
        </w:rPr>
        <w:t xml:space="preserve">. </w:t>
      </w:r>
      <w:r w:rsidRPr="00CB40BE">
        <w:rPr>
          <w:rFonts w:ascii="Century Gothic" w:eastAsia="Times New Roman" w:hAnsi="Century Gothic" w:cs="Times New Roman"/>
          <w:b/>
          <w:bCs/>
          <w:i/>
          <w:iCs/>
          <w:color w:val="000000" w:themeColor="text1"/>
          <w:lang w:val="fr-FR" w:eastAsia="fr-FR"/>
        </w:rPr>
        <w:t>Si une application cumulative n’est pas possible,</w:t>
      </w:r>
      <w:r w:rsidRPr="00CB40BE">
        <w:rPr>
          <w:rFonts w:ascii="Century Gothic" w:eastAsia="Times New Roman" w:hAnsi="Century Gothic" w:cs="Times New Roman"/>
          <w:i/>
          <w:iCs/>
          <w:color w:val="000000" w:themeColor="text1"/>
          <w:lang w:val="fr-FR" w:eastAsia="fr-FR"/>
        </w:rPr>
        <w:t xml:space="preserve"> la relation entre le droit général et le droit spécifique est généralement régie par le </w:t>
      </w:r>
      <w:r w:rsidRPr="00CB40BE">
        <w:rPr>
          <w:rFonts w:ascii="Century Gothic" w:eastAsia="Times New Roman" w:hAnsi="Century Gothic" w:cs="Times New Roman"/>
          <w:b/>
          <w:bCs/>
          <w:i/>
          <w:iCs/>
          <w:color w:val="000000" w:themeColor="text1"/>
          <w:lang w:val="fr-FR" w:eastAsia="fr-FR"/>
        </w:rPr>
        <w:t>principe “</w:t>
      </w:r>
      <w:proofErr w:type="spellStart"/>
      <w:r w:rsidRPr="00CB40BE">
        <w:rPr>
          <w:rFonts w:ascii="Century Gothic" w:eastAsia="Times New Roman" w:hAnsi="Century Gothic" w:cs="Times New Roman"/>
          <w:b/>
          <w:bCs/>
          <w:i/>
          <w:iCs/>
          <w:color w:val="000000" w:themeColor="text1"/>
          <w:lang w:val="fr-FR" w:eastAsia="fr-FR"/>
        </w:rPr>
        <w:t>lex</w:t>
      </w:r>
      <w:proofErr w:type="spellEnd"/>
      <w:r w:rsidRPr="00CB40BE">
        <w:rPr>
          <w:rFonts w:ascii="Century Gothic" w:eastAsia="Times New Roman" w:hAnsi="Century Gothic" w:cs="Times New Roman"/>
          <w:b/>
          <w:bCs/>
          <w:i/>
          <w:iCs/>
          <w:color w:val="000000" w:themeColor="text1"/>
          <w:lang w:val="fr-FR" w:eastAsia="fr-FR"/>
        </w:rPr>
        <w:t xml:space="preserve"> </w:t>
      </w:r>
      <w:proofErr w:type="spellStart"/>
      <w:r w:rsidRPr="00CB40BE">
        <w:rPr>
          <w:rFonts w:ascii="Century Gothic" w:eastAsia="Times New Roman" w:hAnsi="Century Gothic" w:cs="Times New Roman"/>
          <w:b/>
          <w:bCs/>
          <w:i/>
          <w:iCs/>
          <w:color w:val="000000" w:themeColor="text1"/>
          <w:lang w:val="fr-FR" w:eastAsia="fr-FR"/>
        </w:rPr>
        <w:t>specialis</w:t>
      </w:r>
      <w:proofErr w:type="spellEnd"/>
      <w:r w:rsidRPr="00CB40BE">
        <w:rPr>
          <w:rFonts w:ascii="Century Gothic" w:eastAsia="Times New Roman" w:hAnsi="Century Gothic" w:cs="Times New Roman"/>
          <w:b/>
          <w:bCs/>
          <w:i/>
          <w:iCs/>
          <w:color w:val="000000" w:themeColor="text1"/>
          <w:lang w:val="fr-FR" w:eastAsia="fr-FR"/>
        </w:rPr>
        <w:t xml:space="preserve"> </w:t>
      </w:r>
      <w:proofErr w:type="spellStart"/>
      <w:r w:rsidRPr="00CB40BE">
        <w:rPr>
          <w:rFonts w:ascii="Century Gothic" w:eastAsia="Times New Roman" w:hAnsi="Century Gothic" w:cs="Times New Roman"/>
          <w:b/>
          <w:bCs/>
          <w:i/>
          <w:iCs/>
          <w:color w:val="000000" w:themeColor="text1"/>
          <w:lang w:val="fr-FR" w:eastAsia="fr-FR"/>
        </w:rPr>
        <w:t>derogat</w:t>
      </w:r>
      <w:proofErr w:type="spellEnd"/>
      <w:r w:rsidRPr="00CB40BE">
        <w:rPr>
          <w:rFonts w:ascii="Century Gothic" w:eastAsia="Times New Roman" w:hAnsi="Century Gothic" w:cs="Times New Roman"/>
          <w:b/>
          <w:bCs/>
          <w:i/>
          <w:iCs/>
          <w:color w:val="000000" w:themeColor="text1"/>
          <w:lang w:val="fr-FR" w:eastAsia="fr-FR"/>
        </w:rPr>
        <w:t xml:space="preserve"> </w:t>
      </w:r>
      <w:proofErr w:type="spellStart"/>
      <w:r w:rsidRPr="00CB40BE">
        <w:rPr>
          <w:rFonts w:ascii="Century Gothic" w:eastAsia="Times New Roman" w:hAnsi="Century Gothic" w:cs="Times New Roman"/>
          <w:b/>
          <w:bCs/>
          <w:i/>
          <w:iCs/>
          <w:color w:val="000000" w:themeColor="text1"/>
          <w:lang w:val="fr-FR" w:eastAsia="fr-FR"/>
        </w:rPr>
        <w:t>legi</w:t>
      </w:r>
      <w:proofErr w:type="spellEnd"/>
      <w:r w:rsidRPr="00CB40BE">
        <w:rPr>
          <w:rFonts w:ascii="Century Gothic" w:eastAsia="Times New Roman" w:hAnsi="Century Gothic" w:cs="Times New Roman"/>
          <w:b/>
          <w:bCs/>
          <w:i/>
          <w:iCs/>
          <w:color w:val="000000" w:themeColor="text1"/>
          <w:lang w:val="fr-FR" w:eastAsia="fr-FR"/>
        </w:rPr>
        <w:t xml:space="preserve"> </w:t>
      </w:r>
      <w:proofErr w:type="spellStart"/>
      <w:r w:rsidRPr="00CB40BE">
        <w:rPr>
          <w:rFonts w:ascii="Century Gothic" w:eastAsia="Times New Roman" w:hAnsi="Century Gothic" w:cs="Times New Roman"/>
          <w:b/>
          <w:bCs/>
          <w:i/>
          <w:iCs/>
          <w:color w:val="000000" w:themeColor="text1"/>
          <w:lang w:val="fr-FR" w:eastAsia="fr-FR"/>
        </w:rPr>
        <w:t>generali</w:t>
      </w:r>
      <w:proofErr w:type="spellEnd"/>
      <w:r w:rsidRPr="00CB40BE">
        <w:rPr>
          <w:rFonts w:ascii="Century Gothic" w:eastAsia="Times New Roman" w:hAnsi="Century Gothic" w:cs="Times New Roman"/>
          <w:b/>
          <w:bCs/>
          <w:i/>
          <w:iCs/>
          <w:color w:val="000000" w:themeColor="text1"/>
          <w:lang w:val="fr-FR" w:eastAsia="fr-FR"/>
        </w:rPr>
        <w:t>”. Ce principe implique qu’une loi spécifique a la priorité sur une loi générale.</w:t>
      </w:r>
      <w:r w:rsidRPr="00CB40BE">
        <w:rPr>
          <w:rFonts w:ascii="Century Gothic" w:eastAsia="Times New Roman" w:hAnsi="Century Gothic" w:cs="Times New Roman"/>
          <w:b/>
          <w:bCs/>
          <w:color w:val="000000" w:themeColor="text1"/>
          <w:lang w:val="fr-FR" w:eastAsia="fr-FR"/>
        </w:rPr>
        <w:t> »</w:t>
      </w:r>
    </w:p>
    <w:p w14:paraId="4993F18D" w14:textId="69A64B3F" w:rsidR="00534F4E" w:rsidRPr="00CB40BE" w:rsidRDefault="00534F4E" w:rsidP="00CB40BE">
      <w:pPr>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color w:val="000000" w:themeColor="text1"/>
          <w:kern w:val="36"/>
          <w:lang w:eastAsia="fr-FR"/>
        </w:rPr>
        <w:t>Selon le SPF Economie :</w:t>
      </w:r>
    </w:p>
    <w:p w14:paraId="384FA807" w14:textId="793DEAB6" w:rsidR="00534F4E" w:rsidRPr="00CB40BE" w:rsidRDefault="00534F4E" w:rsidP="00FA289C">
      <w:pPr>
        <w:ind w:left="142" w:hanging="142"/>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color w:val="000000" w:themeColor="text1"/>
          <w:kern w:val="36"/>
          <w:lang w:eastAsia="fr-FR"/>
        </w:rPr>
        <w:t>- Lorsque la loi particulière a un champ d’application plus limité que le livre XIX</w:t>
      </w:r>
      <w:r w:rsidR="00FA289C">
        <w:rPr>
          <w:rFonts w:ascii="Century Gothic" w:eastAsia="Times New Roman" w:hAnsi="Century Gothic" w:cs="Times New Roman"/>
          <w:color w:val="000000" w:themeColor="text1"/>
          <w:kern w:val="36"/>
          <w:lang w:eastAsia="fr-FR"/>
        </w:rPr>
        <w:t xml:space="preserve"> </w:t>
      </w:r>
      <w:bookmarkStart w:id="1" w:name="_Hlk144808497"/>
      <w:r w:rsidR="00FA289C">
        <w:rPr>
          <w:rFonts w:ascii="Century Gothic" w:eastAsia="Times New Roman" w:hAnsi="Century Gothic" w:cs="Times New Roman"/>
          <w:color w:val="000000" w:themeColor="text1"/>
          <w:kern w:val="36"/>
          <w:lang w:eastAsia="fr-FR"/>
        </w:rPr>
        <w:t>du CDE</w:t>
      </w:r>
      <w:bookmarkEnd w:id="1"/>
      <w:r w:rsidRPr="00CB40BE">
        <w:rPr>
          <w:rFonts w:ascii="Century Gothic" w:eastAsia="Times New Roman" w:hAnsi="Century Gothic" w:cs="Times New Roman"/>
          <w:color w:val="000000" w:themeColor="text1"/>
          <w:kern w:val="36"/>
          <w:lang w:eastAsia="fr-FR"/>
        </w:rPr>
        <w:t>, alors ce dernier s’applique à plein lorsque la matière n’est pas régie par la loi particulière</w:t>
      </w:r>
      <w:r w:rsidR="00FA289C">
        <w:rPr>
          <w:rFonts w:ascii="Century Gothic" w:eastAsia="Times New Roman" w:hAnsi="Century Gothic" w:cs="Times New Roman"/>
          <w:color w:val="000000" w:themeColor="text1"/>
          <w:kern w:val="36"/>
          <w:lang w:eastAsia="fr-FR"/>
        </w:rPr>
        <w:t> ;</w:t>
      </w:r>
    </w:p>
    <w:p w14:paraId="62EDDC06" w14:textId="4A7B058E" w:rsidR="00534F4E" w:rsidRPr="00CB40BE" w:rsidRDefault="00534F4E" w:rsidP="00FA289C">
      <w:pPr>
        <w:ind w:left="142" w:hanging="142"/>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color w:val="000000" w:themeColor="text1"/>
          <w:kern w:val="36"/>
          <w:lang w:eastAsia="fr-FR"/>
        </w:rPr>
        <w:t>- Lorsque la loi particulière prévoit une procédure spécifique, alors celle-ci s’applique</w:t>
      </w:r>
      <w:r w:rsidR="00C12AD2">
        <w:rPr>
          <w:rFonts w:ascii="Century Gothic" w:eastAsia="Times New Roman" w:hAnsi="Century Gothic" w:cs="Times New Roman"/>
          <w:color w:val="000000" w:themeColor="text1"/>
          <w:kern w:val="36"/>
          <w:lang w:eastAsia="fr-FR"/>
        </w:rPr>
        <w:t> ;</w:t>
      </w:r>
      <w:r w:rsidRPr="00CB40BE">
        <w:rPr>
          <w:rFonts w:ascii="Century Gothic" w:eastAsia="Times New Roman" w:hAnsi="Century Gothic" w:cs="Times New Roman"/>
          <w:color w:val="000000" w:themeColor="text1"/>
          <w:kern w:val="36"/>
          <w:lang w:eastAsia="fr-FR"/>
        </w:rPr>
        <w:t xml:space="preserve"> a contrario, si la loi particulière ne prévoit pas de procédure spécifique, il y a lieu d’appliquer celle prévue par le livre XIX</w:t>
      </w:r>
      <w:r w:rsidR="00FA289C" w:rsidRPr="00FA289C">
        <w:rPr>
          <w:rFonts w:ascii="Century Gothic" w:eastAsia="Times New Roman" w:hAnsi="Century Gothic" w:cs="Times New Roman"/>
          <w:color w:val="000000" w:themeColor="text1"/>
          <w:kern w:val="36"/>
          <w:lang w:eastAsia="fr-FR"/>
        </w:rPr>
        <w:t xml:space="preserve"> </w:t>
      </w:r>
      <w:r w:rsidR="00FA289C">
        <w:rPr>
          <w:rFonts w:ascii="Century Gothic" w:eastAsia="Times New Roman" w:hAnsi="Century Gothic" w:cs="Times New Roman"/>
          <w:color w:val="000000" w:themeColor="text1"/>
          <w:kern w:val="36"/>
          <w:lang w:eastAsia="fr-FR"/>
        </w:rPr>
        <w:t>du CDE</w:t>
      </w:r>
      <w:r w:rsidRPr="00CB40BE">
        <w:rPr>
          <w:rFonts w:ascii="Century Gothic" w:eastAsia="Times New Roman" w:hAnsi="Century Gothic" w:cs="Times New Roman"/>
          <w:color w:val="000000" w:themeColor="text1"/>
          <w:kern w:val="36"/>
          <w:lang w:eastAsia="fr-FR"/>
        </w:rPr>
        <w:t xml:space="preserve"> ;</w:t>
      </w:r>
    </w:p>
    <w:p w14:paraId="5A1EB6F5" w14:textId="0F27177B" w:rsidR="00534F4E" w:rsidRPr="00CB40BE" w:rsidRDefault="00534F4E" w:rsidP="00FA289C">
      <w:pPr>
        <w:ind w:left="142" w:hanging="142"/>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color w:val="000000" w:themeColor="text1"/>
          <w:kern w:val="36"/>
          <w:lang w:eastAsia="fr-FR"/>
        </w:rPr>
        <w:t>- Lorsque la loi particulière prévoit un régime concernant les frais liés aux rappels, il y a lieu d’appliquer celui-ci et non le régime prévu par le livre XIX ; a contrario, si la loi particulière ne prévoit pas de régime concernant les frais liés aux rappels, il y a lieu d’appliquer le livre XIX</w:t>
      </w:r>
      <w:r w:rsidR="00FA289C" w:rsidRPr="00FA289C">
        <w:rPr>
          <w:rFonts w:ascii="Century Gothic" w:eastAsia="Times New Roman" w:hAnsi="Century Gothic" w:cs="Times New Roman"/>
          <w:color w:val="000000" w:themeColor="text1"/>
          <w:kern w:val="36"/>
          <w:lang w:eastAsia="fr-FR"/>
        </w:rPr>
        <w:t xml:space="preserve"> </w:t>
      </w:r>
      <w:r w:rsidR="00FA289C">
        <w:rPr>
          <w:rFonts w:ascii="Century Gothic" w:eastAsia="Times New Roman" w:hAnsi="Century Gothic" w:cs="Times New Roman"/>
          <w:color w:val="000000" w:themeColor="text1"/>
          <w:kern w:val="36"/>
          <w:lang w:eastAsia="fr-FR"/>
        </w:rPr>
        <w:t>du CDE</w:t>
      </w:r>
      <w:r w:rsidRPr="00CB40BE">
        <w:rPr>
          <w:rFonts w:ascii="Century Gothic" w:eastAsia="Times New Roman" w:hAnsi="Century Gothic" w:cs="Times New Roman"/>
          <w:color w:val="000000" w:themeColor="text1"/>
          <w:kern w:val="36"/>
          <w:lang w:eastAsia="fr-FR"/>
        </w:rPr>
        <w:t xml:space="preserve"> ;</w:t>
      </w:r>
    </w:p>
    <w:p w14:paraId="675DBA9B" w14:textId="7FF4D5BC" w:rsidR="00534F4E" w:rsidRPr="00CB40BE" w:rsidRDefault="00534F4E" w:rsidP="00FA289C">
      <w:pPr>
        <w:ind w:left="142" w:hanging="142"/>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color w:val="000000" w:themeColor="text1"/>
          <w:kern w:val="36"/>
          <w:lang w:eastAsia="fr-FR"/>
        </w:rPr>
        <w:t>- Lorsque la loi particulière prévoit un régime concernant les intérêts moratoires, il y a lieu d’appliquer celui-ci et non le régime prévu par le livre XIX ; a contrario, si la loi particulière ne prévoit pas de régime concernant les intérêts moratoires, il y a lieu d’appliquer le livre XIX</w:t>
      </w:r>
      <w:r w:rsidR="00FA289C" w:rsidRPr="00FA289C">
        <w:rPr>
          <w:rFonts w:ascii="Century Gothic" w:eastAsia="Times New Roman" w:hAnsi="Century Gothic" w:cs="Times New Roman"/>
          <w:color w:val="000000" w:themeColor="text1"/>
          <w:kern w:val="36"/>
          <w:lang w:eastAsia="fr-FR"/>
        </w:rPr>
        <w:t xml:space="preserve"> </w:t>
      </w:r>
      <w:r w:rsidR="00FA289C">
        <w:rPr>
          <w:rFonts w:ascii="Century Gothic" w:eastAsia="Times New Roman" w:hAnsi="Century Gothic" w:cs="Times New Roman"/>
          <w:color w:val="000000" w:themeColor="text1"/>
          <w:kern w:val="36"/>
          <w:lang w:eastAsia="fr-FR"/>
        </w:rPr>
        <w:t>du CDE</w:t>
      </w:r>
      <w:r w:rsidRPr="00CB40BE">
        <w:rPr>
          <w:rFonts w:ascii="Century Gothic" w:eastAsia="Times New Roman" w:hAnsi="Century Gothic" w:cs="Times New Roman"/>
          <w:color w:val="000000" w:themeColor="text1"/>
          <w:kern w:val="36"/>
          <w:lang w:eastAsia="fr-FR"/>
        </w:rPr>
        <w:t xml:space="preserve"> ;</w:t>
      </w:r>
    </w:p>
    <w:p w14:paraId="2BA1AED1" w14:textId="381684E3" w:rsidR="00534F4E" w:rsidRPr="00CB40BE" w:rsidRDefault="00534F4E" w:rsidP="00FA289C">
      <w:pPr>
        <w:ind w:left="142" w:hanging="142"/>
        <w:jc w:val="both"/>
        <w:rPr>
          <w:rFonts w:ascii="Century Gothic" w:eastAsia="Times New Roman" w:hAnsi="Century Gothic" w:cs="Times New Roman"/>
          <w:color w:val="000000" w:themeColor="text1"/>
          <w:kern w:val="36"/>
          <w:lang w:eastAsia="fr-FR"/>
        </w:rPr>
      </w:pPr>
      <w:r w:rsidRPr="00CB40BE">
        <w:rPr>
          <w:rFonts w:ascii="Century Gothic" w:eastAsia="Times New Roman" w:hAnsi="Century Gothic" w:cs="Times New Roman"/>
          <w:color w:val="000000" w:themeColor="text1"/>
          <w:kern w:val="36"/>
          <w:lang w:eastAsia="fr-FR"/>
        </w:rPr>
        <w:t>- Lorsque la loi particulière prévoit un régime concernant les clauses indemnitaires, il y a lieu d’appliquer celui-ci et non le régime prévu par le livre XIX ; a contrario, si la loi particulière ne prévoit pas de régime concernant les clauses indemnitaires, il y a lieu d’appliquer le livre XIX</w:t>
      </w:r>
      <w:r w:rsidR="00FA289C" w:rsidRPr="00FA289C">
        <w:rPr>
          <w:rFonts w:ascii="Century Gothic" w:eastAsia="Times New Roman" w:hAnsi="Century Gothic" w:cs="Times New Roman"/>
          <w:color w:val="000000" w:themeColor="text1"/>
          <w:kern w:val="36"/>
          <w:lang w:eastAsia="fr-FR"/>
        </w:rPr>
        <w:t xml:space="preserve"> </w:t>
      </w:r>
      <w:r w:rsidR="00FA289C">
        <w:rPr>
          <w:rFonts w:ascii="Century Gothic" w:eastAsia="Times New Roman" w:hAnsi="Century Gothic" w:cs="Times New Roman"/>
          <w:color w:val="000000" w:themeColor="text1"/>
          <w:kern w:val="36"/>
          <w:lang w:eastAsia="fr-FR"/>
        </w:rPr>
        <w:t>du CDE</w:t>
      </w:r>
      <w:r w:rsidRPr="00CB40BE">
        <w:rPr>
          <w:rFonts w:ascii="Century Gothic" w:eastAsia="Times New Roman" w:hAnsi="Century Gothic" w:cs="Times New Roman"/>
          <w:color w:val="000000" w:themeColor="text1"/>
          <w:kern w:val="36"/>
          <w:lang w:eastAsia="fr-FR"/>
        </w:rPr>
        <w:t xml:space="preserve">.  </w:t>
      </w:r>
    </w:p>
    <w:p w14:paraId="56699752" w14:textId="70810854" w:rsidR="0018292F" w:rsidRPr="00CB40BE" w:rsidDel="002301C8" w:rsidRDefault="0018292F" w:rsidP="4F9431BD">
      <w:pPr>
        <w:jc w:val="both"/>
        <w:rPr>
          <w:rFonts w:ascii="Century Gothic" w:eastAsia="Times New Roman" w:hAnsi="Century Gothic" w:cs="Times New Roman"/>
          <w:b/>
          <w:bCs/>
          <w:color w:val="000000" w:themeColor="text1"/>
          <w:kern w:val="36"/>
          <w:lang w:val="fr-FR" w:eastAsia="fr-FR"/>
        </w:rPr>
      </w:pPr>
    </w:p>
    <w:p w14:paraId="2AC074DA" w14:textId="55808FC3" w:rsidR="0018292F" w:rsidRPr="00CB40BE" w:rsidRDefault="005253F4" w:rsidP="00CB40BE">
      <w:pPr>
        <w:jc w:val="both"/>
        <w:rPr>
          <w:rFonts w:ascii="Century Gothic" w:eastAsia="Times New Roman" w:hAnsi="Century Gothic" w:cs="Times New Roman"/>
          <w:b/>
          <w:bCs/>
          <w:color w:val="000000" w:themeColor="text1"/>
          <w:kern w:val="36"/>
          <w:lang w:val="fr-FR" w:eastAsia="fr-FR"/>
        </w:rPr>
      </w:pPr>
      <w:r>
        <w:rPr>
          <w:rFonts w:ascii="Century Gothic" w:eastAsia="Times New Roman" w:hAnsi="Century Gothic" w:cs="Times New Roman"/>
          <w:b/>
          <w:bCs/>
          <w:color w:val="000000" w:themeColor="text1"/>
          <w:kern w:val="36"/>
          <w:lang w:val="fr-FR" w:eastAsia="fr-FR"/>
        </w:rPr>
        <w:t xml:space="preserve">6. </w:t>
      </w:r>
      <w:r w:rsidR="00F06FB1" w:rsidRPr="00CB40BE">
        <w:rPr>
          <w:rFonts w:ascii="Century Gothic" w:eastAsia="Times New Roman" w:hAnsi="Century Gothic" w:cs="Times New Roman"/>
          <w:b/>
          <w:bCs/>
          <w:color w:val="000000" w:themeColor="text1"/>
          <w:kern w:val="36"/>
          <w:lang w:val="fr-FR" w:eastAsia="fr-FR"/>
        </w:rPr>
        <w:t>Cette loi est-elle compatible avec L1124-40 du CDLD</w:t>
      </w:r>
      <w:r w:rsidR="0018292F" w:rsidRPr="00CB40BE">
        <w:rPr>
          <w:rFonts w:ascii="Century Gothic" w:eastAsia="Times New Roman" w:hAnsi="Century Gothic" w:cs="Times New Roman"/>
          <w:b/>
          <w:bCs/>
          <w:color w:val="000000" w:themeColor="text1"/>
          <w:kern w:val="36"/>
          <w:lang w:val="fr-FR" w:eastAsia="fr-FR"/>
        </w:rPr>
        <w:t> ?</w:t>
      </w:r>
    </w:p>
    <w:p w14:paraId="65925791" w14:textId="77777777" w:rsidR="00EE00DA" w:rsidRDefault="00906E38" w:rsidP="00CB40BE">
      <w:pPr>
        <w:jc w:val="both"/>
        <w:rPr>
          <w:rFonts w:ascii="Century Gothic" w:eastAsia="Times New Roman" w:hAnsi="Century Gothic" w:cs="Times New Roman"/>
          <w:color w:val="000000" w:themeColor="text1"/>
          <w:kern w:val="36"/>
          <w:lang w:val="fr-FR" w:eastAsia="fr-FR"/>
        </w:rPr>
      </w:pPr>
      <w:r w:rsidRPr="00674424">
        <w:rPr>
          <w:rFonts w:ascii="Century Gothic" w:eastAsia="Times New Roman" w:hAnsi="Century Gothic" w:cs="Times New Roman"/>
          <w:b/>
          <w:bCs/>
          <w:color w:val="000000" w:themeColor="text1"/>
          <w:kern w:val="36"/>
          <w:lang w:val="fr-FR" w:eastAsia="fr-FR"/>
        </w:rPr>
        <w:lastRenderedPageBreak/>
        <w:t>Oui</w:t>
      </w:r>
      <w:r w:rsidRPr="00CB40BE">
        <w:rPr>
          <w:rFonts w:ascii="Century Gothic" w:eastAsia="Times New Roman" w:hAnsi="Century Gothic" w:cs="Times New Roman"/>
          <w:color w:val="000000" w:themeColor="text1"/>
          <w:kern w:val="36"/>
          <w:lang w:val="fr-FR" w:eastAsia="fr-FR"/>
        </w:rPr>
        <w:t xml:space="preserve"> car</w:t>
      </w:r>
      <w:r w:rsidR="00EE00DA">
        <w:rPr>
          <w:rFonts w:ascii="Century Gothic" w:eastAsia="Times New Roman" w:hAnsi="Century Gothic" w:cs="Times New Roman"/>
          <w:color w:val="000000" w:themeColor="text1"/>
          <w:kern w:val="36"/>
          <w:lang w:val="fr-FR" w:eastAsia="fr-FR"/>
        </w:rPr>
        <w:t xml:space="preserve"> leur champ d’application est différent.</w:t>
      </w:r>
    </w:p>
    <w:p w14:paraId="159ABE58" w14:textId="18927DCD" w:rsidR="00906E38" w:rsidRPr="00CB40BE" w:rsidRDefault="00EE00DA" w:rsidP="00CB40BE">
      <w:pPr>
        <w:jc w:val="both"/>
        <w:rPr>
          <w:rFonts w:ascii="Century Gothic" w:eastAsia="Times New Roman" w:hAnsi="Century Gothic" w:cs="Times New Roman"/>
          <w:color w:val="000000" w:themeColor="text1"/>
          <w:kern w:val="36"/>
          <w:lang w:val="fr-FR" w:eastAsia="fr-FR"/>
        </w:rPr>
      </w:pPr>
      <w:r>
        <w:rPr>
          <w:rFonts w:ascii="Century Gothic" w:eastAsia="Times New Roman" w:hAnsi="Century Gothic" w:cs="Times New Roman"/>
          <w:color w:val="000000" w:themeColor="text1"/>
          <w:kern w:val="36"/>
          <w:lang w:val="fr-FR" w:eastAsia="fr-FR"/>
        </w:rPr>
        <w:t>L</w:t>
      </w:r>
      <w:r w:rsidR="00F06FB1" w:rsidRPr="00CB40BE">
        <w:rPr>
          <w:rFonts w:ascii="Century Gothic" w:eastAsia="Times New Roman" w:hAnsi="Century Gothic" w:cs="Times New Roman"/>
          <w:color w:val="000000" w:themeColor="text1"/>
          <w:kern w:val="36"/>
          <w:lang w:val="fr-FR" w:eastAsia="fr-FR"/>
        </w:rPr>
        <w:t xml:space="preserve">’article L1124-40 </w:t>
      </w:r>
      <w:bookmarkStart w:id="2" w:name="_Hlk144806646"/>
      <w:r w:rsidR="00F06FB1" w:rsidRPr="00CB40BE">
        <w:rPr>
          <w:rFonts w:ascii="Century Gothic" w:eastAsia="Times New Roman" w:hAnsi="Century Gothic" w:cs="Times New Roman"/>
          <w:color w:val="000000" w:themeColor="text1"/>
          <w:kern w:val="36"/>
          <w:lang w:val="fr-FR" w:eastAsia="fr-FR"/>
        </w:rPr>
        <w:t xml:space="preserve">du </w:t>
      </w:r>
      <w:bookmarkEnd w:id="2"/>
      <w:r w:rsidR="00F06FB1" w:rsidRPr="00CB40BE">
        <w:rPr>
          <w:rFonts w:ascii="Century Gothic" w:eastAsia="Times New Roman" w:hAnsi="Century Gothic" w:cs="Times New Roman"/>
          <w:color w:val="000000" w:themeColor="text1"/>
          <w:kern w:val="36"/>
          <w:lang w:val="fr-FR" w:eastAsia="fr-FR"/>
        </w:rPr>
        <w:t xml:space="preserve">CDLD règle le recouvrement </w:t>
      </w:r>
      <w:r w:rsidR="00906E38" w:rsidRPr="00CB40BE">
        <w:rPr>
          <w:rFonts w:ascii="Century Gothic" w:eastAsia="Times New Roman" w:hAnsi="Century Gothic" w:cs="Times New Roman"/>
          <w:color w:val="000000" w:themeColor="text1"/>
          <w:kern w:val="36"/>
          <w:u w:val="single"/>
          <w:lang w:val="fr-FR" w:eastAsia="fr-FR"/>
        </w:rPr>
        <w:t>forcé</w:t>
      </w:r>
      <w:r w:rsidR="00906E38" w:rsidRPr="00CB40BE">
        <w:rPr>
          <w:rFonts w:ascii="Century Gothic" w:eastAsia="Times New Roman" w:hAnsi="Century Gothic" w:cs="Times New Roman"/>
          <w:color w:val="000000" w:themeColor="text1"/>
          <w:kern w:val="36"/>
          <w:lang w:val="fr-FR" w:eastAsia="fr-FR"/>
        </w:rPr>
        <w:t xml:space="preserve"> </w:t>
      </w:r>
      <w:r w:rsidR="00F06FB1" w:rsidRPr="00CB40BE">
        <w:rPr>
          <w:rFonts w:ascii="Century Gothic" w:eastAsia="Times New Roman" w:hAnsi="Century Gothic" w:cs="Times New Roman"/>
          <w:color w:val="000000" w:themeColor="text1"/>
          <w:kern w:val="36"/>
          <w:lang w:val="fr-FR" w:eastAsia="fr-FR"/>
        </w:rPr>
        <w:t xml:space="preserve">des créances non fiscales des </w:t>
      </w:r>
      <w:r w:rsidR="00674424">
        <w:rPr>
          <w:rFonts w:ascii="Century Gothic" w:eastAsia="Times New Roman" w:hAnsi="Century Gothic" w:cs="Times New Roman"/>
          <w:color w:val="000000" w:themeColor="text1"/>
          <w:kern w:val="36"/>
          <w:lang w:val="fr-FR" w:eastAsia="fr-FR"/>
        </w:rPr>
        <w:t>communes, reposant sur un titre exécutoire, c’est-à-dire la contrainte non fiscale</w:t>
      </w:r>
    </w:p>
    <w:p w14:paraId="3CDBB2D7" w14:textId="70CD8004" w:rsidR="008A603B" w:rsidRPr="00CB40BE" w:rsidRDefault="00EE00DA" w:rsidP="00CB40BE">
      <w:pPr>
        <w:jc w:val="both"/>
        <w:rPr>
          <w:rFonts w:ascii="Century Gothic" w:eastAsia="Times New Roman" w:hAnsi="Century Gothic" w:cs="Times New Roman"/>
          <w:color w:val="000000" w:themeColor="text1"/>
          <w:kern w:val="36"/>
          <w:lang w:val="fr-FR" w:eastAsia="fr-FR"/>
        </w:rPr>
      </w:pPr>
      <w:r>
        <w:rPr>
          <w:rFonts w:ascii="Century Gothic" w:eastAsia="Times New Roman" w:hAnsi="Century Gothic" w:cs="Times New Roman"/>
          <w:color w:val="000000" w:themeColor="text1"/>
          <w:kern w:val="36"/>
          <w:lang w:val="fr-FR" w:eastAsia="fr-FR"/>
        </w:rPr>
        <w:t>L</w:t>
      </w:r>
      <w:r w:rsidR="008A603B" w:rsidRPr="00CB40BE">
        <w:rPr>
          <w:rFonts w:ascii="Century Gothic" w:eastAsia="Times New Roman" w:hAnsi="Century Gothic" w:cs="Times New Roman"/>
          <w:color w:val="000000" w:themeColor="text1"/>
          <w:kern w:val="36"/>
          <w:lang w:val="fr-FR" w:eastAsia="fr-FR"/>
        </w:rPr>
        <w:t xml:space="preserve">e livre XIX du CDE règle le recouvrement </w:t>
      </w:r>
      <w:r w:rsidR="008A603B" w:rsidRPr="00EE00DA">
        <w:rPr>
          <w:rFonts w:ascii="Century Gothic" w:eastAsia="Times New Roman" w:hAnsi="Century Gothic" w:cs="Times New Roman"/>
          <w:color w:val="000000" w:themeColor="text1"/>
          <w:kern w:val="36"/>
          <w:u w:val="single"/>
          <w:lang w:val="fr-FR" w:eastAsia="fr-FR"/>
        </w:rPr>
        <w:t>amiable</w:t>
      </w:r>
      <w:r w:rsidR="008A603B" w:rsidRPr="00CB40BE">
        <w:rPr>
          <w:rFonts w:ascii="Century Gothic" w:eastAsia="Times New Roman" w:hAnsi="Century Gothic" w:cs="Times New Roman"/>
          <w:color w:val="000000" w:themeColor="text1"/>
          <w:kern w:val="36"/>
          <w:lang w:val="fr-FR" w:eastAsia="fr-FR"/>
        </w:rPr>
        <w:t xml:space="preserve"> des dettes des consommateurs (et donc les créances des pouvoirs locaux ne reposant pas sur un titre exécutoire)</w:t>
      </w:r>
      <w:r>
        <w:rPr>
          <w:rFonts w:ascii="Century Gothic" w:eastAsia="Times New Roman" w:hAnsi="Century Gothic" w:cs="Times New Roman"/>
          <w:color w:val="000000" w:themeColor="text1"/>
          <w:kern w:val="36"/>
          <w:lang w:val="fr-FR" w:eastAsia="fr-FR"/>
        </w:rPr>
        <w:t>.</w:t>
      </w:r>
      <w:r w:rsidR="008A603B" w:rsidRPr="00CB40BE">
        <w:rPr>
          <w:rFonts w:ascii="Century Gothic" w:eastAsia="Times New Roman" w:hAnsi="Century Gothic" w:cs="Times New Roman"/>
          <w:color w:val="000000" w:themeColor="text1"/>
          <w:kern w:val="36"/>
          <w:lang w:val="fr-FR" w:eastAsia="fr-FR"/>
        </w:rPr>
        <w:t xml:space="preserve"> </w:t>
      </w:r>
    </w:p>
    <w:p w14:paraId="01945C60" w14:textId="78835984" w:rsidR="00091331" w:rsidRDefault="4BE4BEE8" w:rsidP="4F9431BD">
      <w:pPr>
        <w:jc w:val="both"/>
        <w:rPr>
          <w:rFonts w:ascii="Century Gothic" w:eastAsia="Times New Roman" w:hAnsi="Century Gothic" w:cs="Times New Roman"/>
          <w:color w:val="000000" w:themeColor="text1"/>
          <w:sz w:val="18"/>
          <w:szCs w:val="18"/>
          <w:lang w:val="fr-FR" w:eastAsia="fr-FR"/>
        </w:rPr>
      </w:pPr>
      <w:r w:rsidRPr="4F9431BD">
        <w:rPr>
          <w:rFonts w:ascii="Century Gothic" w:eastAsia="Times New Roman" w:hAnsi="Century Gothic" w:cs="Times New Roman"/>
          <w:color w:val="000000" w:themeColor="text1"/>
          <w:sz w:val="18"/>
          <w:szCs w:val="18"/>
          <w:lang w:val="fr-FR" w:eastAsia="fr-FR"/>
        </w:rPr>
        <w:t xml:space="preserve">PS : L’article </w:t>
      </w:r>
      <w:r w:rsidRPr="4F9431BD">
        <w:rPr>
          <w:rFonts w:ascii="Century Gothic" w:hAnsi="Century Gothic"/>
          <w:color w:val="000000" w:themeColor="text1"/>
          <w:sz w:val="18"/>
          <w:szCs w:val="18"/>
        </w:rPr>
        <w:t>L2212-65 du CDLD est l</w:t>
      </w:r>
      <w:r w:rsidRPr="4F9431BD">
        <w:rPr>
          <w:rFonts w:ascii="Century Gothic" w:eastAsia="Times New Roman" w:hAnsi="Century Gothic" w:cs="Times New Roman"/>
          <w:color w:val="000000" w:themeColor="text1"/>
          <w:sz w:val="18"/>
          <w:szCs w:val="18"/>
          <w:lang w:val="fr-FR" w:eastAsia="fr-FR"/>
        </w:rPr>
        <w:t>e pendant de l’article L 1124-40 du CDLD pour les provinces et partant, ce qui est dit ci-dessus vaut mutatis mutandis pour les provinces.</w:t>
      </w:r>
    </w:p>
    <w:p w14:paraId="239386E8" w14:textId="668236EC" w:rsidR="00091331" w:rsidRDefault="00091331" w:rsidP="4F9431BD">
      <w:pPr>
        <w:jc w:val="both"/>
        <w:rPr>
          <w:rFonts w:ascii="Century Gothic" w:eastAsia="Times New Roman" w:hAnsi="Century Gothic" w:cs="Times New Roman"/>
          <w:b/>
          <w:bCs/>
          <w:color w:val="000000" w:themeColor="text1"/>
          <w:kern w:val="36"/>
          <w:lang w:val="fr-FR" w:eastAsia="fr-FR"/>
        </w:rPr>
      </w:pPr>
      <w:bookmarkStart w:id="3" w:name="_Hlk144732957"/>
    </w:p>
    <w:p w14:paraId="626B7937" w14:textId="283AB1A9" w:rsidR="004E1D53" w:rsidRPr="00CB40BE" w:rsidRDefault="005253F4" w:rsidP="00CB40BE">
      <w:pPr>
        <w:jc w:val="both"/>
        <w:rPr>
          <w:rFonts w:ascii="Century Gothic" w:eastAsia="Times New Roman" w:hAnsi="Century Gothic" w:cs="Times New Roman"/>
          <w:b/>
          <w:bCs/>
          <w:color w:val="000000" w:themeColor="text1"/>
          <w:kern w:val="36"/>
          <w:lang w:val="fr-FR" w:eastAsia="fr-FR"/>
        </w:rPr>
      </w:pPr>
      <w:r>
        <w:rPr>
          <w:rFonts w:ascii="Century Gothic" w:eastAsia="Times New Roman" w:hAnsi="Century Gothic" w:cs="Times New Roman"/>
          <w:b/>
          <w:bCs/>
          <w:color w:val="000000" w:themeColor="text1"/>
          <w:kern w:val="36"/>
          <w:lang w:val="fr-FR" w:eastAsia="fr-FR"/>
        </w:rPr>
        <w:t xml:space="preserve">7. </w:t>
      </w:r>
      <w:r w:rsidR="004E1D53" w:rsidRPr="00CB40BE">
        <w:rPr>
          <w:rFonts w:ascii="Century Gothic" w:eastAsia="Times New Roman" w:hAnsi="Century Gothic" w:cs="Times New Roman"/>
          <w:b/>
          <w:bCs/>
          <w:color w:val="000000" w:themeColor="text1"/>
          <w:kern w:val="36"/>
          <w:lang w:val="fr-FR" w:eastAsia="fr-FR"/>
        </w:rPr>
        <w:t xml:space="preserve">Le recouvrement amiable est-il obligatoire pour les </w:t>
      </w:r>
      <w:r w:rsidR="00674424">
        <w:rPr>
          <w:rFonts w:ascii="Century Gothic" w:eastAsia="Times New Roman" w:hAnsi="Century Gothic" w:cs="Times New Roman"/>
          <w:b/>
          <w:bCs/>
          <w:color w:val="000000" w:themeColor="text1"/>
          <w:kern w:val="36"/>
          <w:lang w:val="fr-FR" w:eastAsia="fr-FR"/>
        </w:rPr>
        <w:t>communes</w:t>
      </w:r>
      <w:r w:rsidR="004E1D53" w:rsidRPr="00CB40BE">
        <w:rPr>
          <w:rFonts w:ascii="Century Gothic" w:eastAsia="Times New Roman" w:hAnsi="Century Gothic" w:cs="Times New Roman"/>
          <w:b/>
          <w:bCs/>
          <w:color w:val="000000" w:themeColor="text1"/>
          <w:kern w:val="36"/>
          <w:lang w:val="fr-FR" w:eastAsia="fr-FR"/>
        </w:rPr>
        <w:t> ?</w:t>
      </w:r>
    </w:p>
    <w:bookmarkEnd w:id="3"/>
    <w:p w14:paraId="5016197B" w14:textId="1102CF77" w:rsidR="004E1D53" w:rsidRPr="00CB40BE" w:rsidRDefault="004E1D53" w:rsidP="00CB40BE">
      <w:pPr>
        <w:jc w:val="both"/>
        <w:rPr>
          <w:rFonts w:ascii="Century Gothic" w:eastAsia="Times New Roman" w:hAnsi="Century Gothic" w:cs="Times New Roman"/>
          <w:color w:val="000000" w:themeColor="text1"/>
          <w:kern w:val="36"/>
          <w:lang w:val="fr-FR" w:eastAsia="fr-FR"/>
        </w:rPr>
      </w:pPr>
      <w:r w:rsidRPr="00CB40BE">
        <w:rPr>
          <w:rFonts w:ascii="Century Gothic" w:eastAsia="Times New Roman" w:hAnsi="Century Gothic" w:cs="Times New Roman"/>
          <w:color w:val="000000" w:themeColor="text1"/>
          <w:kern w:val="36"/>
          <w:u w:val="single"/>
          <w:lang w:val="fr-FR" w:eastAsia="fr-FR"/>
        </w:rPr>
        <w:t>Non</w:t>
      </w:r>
      <w:r w:rsidR="00674424">
        <w:rPr>
          <w:rFonts w:ascii="Century Gothic" w:eastAsia="Times New Roman" w:hAnsi="Century Gothic" w:cs="Times New Roman"/>
          <w:color w:val="000000" w:themeColor="text1"/>
          <w:kern w:val="36"/>
          <w:u w:val="single"/>
          <w:lang w:val="fr-FR" w:eastAsia="fr-FR"/>
        </w:rPr>
        <w:t>,</w:t>
      </w:r>
      <w:r w:rsidRPr="00CB40BE">
        <w:rPr>
          <w:rFonts w:ascii="Century Gothic" w:eastAsia="Times New Roman" w:hAnsi="Century Gothic" w:cs="Times New Roman"/>
          <w:color w:val="000000" w:themeColor="text1"/>
          <w:kern w:val="36"/>
          <w:lang w:val="fr-FR" w:eastAsia="fr-FR"/>
        </w:rPr>
        <w:t xml:space="preserve"> dans la mesure où </w:t>
      </w:r>
      <w:r w:rsidR="00674424">
        <w:rPr>
          <w:rFonts w:ascii="Century Gothic" w:eastAsia="Times New Roman" w:hAnsi="Century Gothic" w:cs="Times New Roman"/>
          <w:color w:val="000000" w:themeColor="text1"/>
          <w:kern w:val="36"/>
          <w:lang w:val="fr-FR" w:eastAsia="fr-FR"/>
        </w:rPr>
        <w:t xml:space="preserve">s’agissant des créances non fiscales, </w:t>
      </w:r>
      <w:r w:rsidR="00686A37">
        <w:rPr>
          <w:rFonts w:ascii="Century Gothic" w:eastAsia="Times New Roman" w:hAnsi="Century Gothic" w:cs="Times New Roman"/>
          <w:color w:val="000000" w:themeColor="text1"/>
          <w:kern w:val="36"/>
          <w:lang w:val="fr-FR" w:eastAsia="fr-FR"/>
        </w:rPr>
        <w:t>la commu</w:t>
      </w:r>
      <w:r w:rsidR="003435E1">
        <w:rPr>
          <w:rFonts w:ascii="Century Gothic" w:eastAsia="Times New Roman" w:hAnsi="Century Gothic" w:cs="Times New Roman"/>
          <w:color w:val="000000" w:themeColor="text1"/>
          <w:kern w:val="36"/>
          <w:lang w:val="fr-FR" w:eastAsia="fr-FR"/>
        </w:rPr>
        <w:t xml:space="preserve">ne pourrait faire le choix de n’appliquer que le </w:t>
      </w:r>
      <w:r w:rsidRPr="00CB40BE">
        <w:rPr>
          <w:rFonts w:ascii="Century Gothic" w:eastAsia="Times New Roman" w:hAnsi="Century Gothic" w:cs="Times New Roman"/>
          <w:color w:val="000000" w:themeColor="text1"/>
          <w:kern w:val="36"/>
          <w:lang w:val="fr-FR" w:eastAsia="fr-FR"/>
        </w:rPr>
        <w:t xml:space="preserve">seul l’article L 1124-40 du </w:t>
      </w:r>
      <w:r w:rsidR="00C12AD2">
        <w:rPr>
          <w:rFonts w:ascii="Century Gothic" w:eastAsia="Times New Roman" w:hAnsi="Century Gothic" w:cs="Times New Roman"/>
          <w:color w:val="000000" w:themeColor="text1"/>
          <w:kern w:val="36"/>
          <w:lang w:val="fr-FR" w:eastAsia="fr-FR"/>
        </w:rPr>
        <w:t>CDLD</w:t>
      </w:r>
      <w:r w:rsidRPr="00CB40BE">
        <w:rPr>
          <w:rFonts w:ascii="Century Gothic" w:eastAsia="Times New Roman" w:hAnsi="Century Gothic" w:cs="Times New Roman"/>
          <w:color w:val="000000" w:themeColor="text1"/>
          <w:kern w:val="36"/>
          <w:lang w:val="fr-FR" w:eastAsia="fr-FR"/>
        </w:rPr>
        <w:t>.</w:t>
      </w:r>
    </w:p>
    <w:p w14:paraId="7ADC701A" w14:textId="443F7F06" w:rsidR="004E1D53" w:rsidRDefault="004E1D53" w:rsidP="00CB40BE">
      <w:pPr>
        <w:jc w:val="both"/>
        <w:rPr>
          <w:rFonts w:ascii="Century Gothic" w:eastAsia="Times New Roman" w:hAnsi="Century Gothic" w:cs="Times New Roman"/>
          <w:color w:val="000000" w:themeColor="text1"/>
          <w:kern w:val="36"/>
          <w:lang w:val="fr-FR" w:eastAsia="fr-FR"/>
        </w:rPr>
      </w:pPr>
      <w:r w:rsidRPr="00CB40BE">
        <w:rPr>
          <w:rFonts w:ascii="Century Gothic" w:eastAsia="Times New Roman" w:hAnsi="Century Gothic" w:cs="Times New Roman"/>
          <w:color w:val="000000" w:themeColor="text1"/>
          <w:kern w:val="36"/>
          <w:lang w:val="fr-FR" w:eastAsia="fr-FR"/>
        </w:rPr>
        <w:t xml:space="preserve">Ainsi, une commune pourrait se limiter à ne pas faire de rappel </w:t>
      </w:r>
      <w:r w:rsidR="00C12AD2">
        <w:rPr>
          <w:rFonts w:ascii="Century Gothic" w:eastAsia="Times New Roman" w:hAnsi="Century Gothic" w:cs="Times New Roman"/>
          <w:color w:val="000000" w:themeColor="text1"/>
          <w:kern w:val="36"/>
          <w:lang w:val="fr-FR" w:eastAsia="fr-FR"/>
        </w:rPr>
        <w:t xml:space="preserve">(gratuit et par courrier simple) </w:t>
      </w:r>
      <w:r w:rsidRPr="00CB40BE">
        <w:rPr>
          <w:rFonts w:ascii="Century Gothic" w:eastAsia="Times New Roman" w:hAnsi="Century Gothic" w:cs="Times New Roman"/>
          <w:color w:val="000000" w:themeColor="text1"/>
          <w:kern w:val="36"/>
          <w:lang w:val="fr-FR" w:eastAsia="fr-FR"/>
        </w:rPr>
        <w:t xml:space="preserve">mais uniquement celui prévu par L1124-40 du </w:t>
      </w:r>
      <w:r w:rsidR="00C12AD2">
        <w:rPr>
          <w:rFonts w:ascii="Century Gothic" w:eastAsia="Times New Roman" w:hAnsi="Century Gothic" w:cs="Times New Roman"/>
          <w:color w:val="000000" w:themeColor="text1"/>
          <w:kern w:val="36"/>
          <w:lang w:val="fr-FR" w:eastAsia="fr-FR"/>
        </w:rPr>
        <w:t>CDLD</w:t>
      </w:r>
      <w:r w:rsidR="00674424">
        <w:rPr>
          <w:rFonts w:ascii="Century Gothic" w:eastAsia="Times New Roman" w:hAnsi="Century Gothic" w:cs="Times New Roman"/>
          <w:color w:val="000000" w:themeColor="text1"/>
          <w:kern w:val="36"/>
          <w:lang w:val="fr-FR" w:eastAsia="fr-FR"/>
        </w:rPr>
        <w:t>,</w:t>
      </w:r>
      <w:r w:rsidRPr="00CB40BE">
        <w:rPr>
          <w:rFonts w:ascii="Century Gothic" w:eastAsia="Times New Roman" w:hAnsi="Century Gothic" w:cs="Times New Roman"/>
          <w:color w:val="000000" w:themeColor="text1"/>
          <w:kern w:val="36"/>
          <w:lang w:val="fr-FR" w:eastAsia="fr-FR"/>
        </w:rPr>
        <w:t xml:space="preserve"> lequel doit se faire obligatoirement par courrier recommandé et est le seul à constituer la mise en demeure qui fait démarrer les intérêts de retard.</w:t>
      </w:r>
    </w:p>
    <w:p w14:paraId="07DC5FF3" w14:textId="2D6BF1B6" w:rsidR="00674424" w:rsidRPr="00CB40BE" w:rsidRDefault="00674424" w:rsidP="00CB40BE">
      <w:pPr>
        <w:jc w:val="both"/>
        <w:rPr>
          <w:rFonts w:ascii="Century Gothic" w:eastAsia="Times New Roman" w:hAnsi="Century Gothic" w:cs="Times New Roman"/>
          <w:color w:val="000000" w:themeColor="text1"/>
          <w:kern w:val="36"/>
          <w:lang w:val="fr-FR" w:eastAsia="fr-FR"/>
        </w:rPr>
      </w:pPr>
      <w:r>
        <w:rPr>
          <w:rFonts w:ascii="Century Gothic" w:eastAsia="Times New Roman" w:hAnsi="Century Gothic" w:cs="Times New Roman"/>
          <w:color w:val="000000" w:themeColor="text1"/>
          <w:kern w:val="36"/>
          <w:lang w:val="fr-FR" w:eastAsia="fr-FR"/>
        </w:rPr>
        <w:t xml:space="preserve">Mais si la commune décide de faire précéder le recouvrement forcé de tentative(s) de recouvrement amiable, les nouvelles règles sont applicables, dans la mesure </w:t>
      </w:r>
      <w:r w:rsidR="00045A63">
        <w:rPr>
          <w:rFonts w:ascii="Century Gothic" w:eastAsia="Times New Roman" w:hAnsi="Century Gothic" w:cs="Times New Roman"/>
          <w:color w:val="000000" w:themeColor="text1"/>
          <w:kern w:val="36"/>
          <w:lang w:val="fr-FR" w:eastAsia="fr-FR"/>
        </w:rPr>
        <w:t xml:space="preserve">prévue par </w:t>
      </w:r>
      <w:r w:rsidR="00565D5B">
        <w:rPr>
          <w:rFonts w:ascii="Century Gothic" w:eastAsia="Times New Roman" w:hAnsi="Century Gothic" w:cs="Times New Roman"/>
          <w:color w:val="000000" w:themeColor="text1"/>
          <w:kern w:val="36"/>
          <w:lang w:val="fr-FR" w:eastAsia="fr-FR"/>
        </w:rPr>
        <w:t>celles-ci</w:t>
      </w:r>
      <w:r>
        <w:rPr>
          <w:rFonts w:ascii="Century Gothic" w:eastAsia="Times New Roman" w:hAnsi="Century Gothic" w:cs="Times New Roman"/>
          <w:color w:val="000000" w:themeColor="text1"/>
          <w:kern w:val="36"/>
          <w:lang w:val="fr-FR" w:eastAsia="fr-FR"/>
        </w:rPr>
        <w:t xml:space="preserve">. </w:t>
      </w:r>
    </w:p>
    <w:p w14:paraId="5B2D45A1" w14:textId="77777777" w:rsidR="00091331" w:rsidRDefault="00091331" w:rsidP="00CB40BE">
      <w:pPr>
        <w:jc w:val="both"/>
        <w:rPr>
          <w:rFonts w:ascii="Century Gothic" w:eastAsia="Times New Roman" w:hAnsi="Century Gothic" w:cs="Times New Roman"/>
          <w:b/>
          <w:bCs/>
          <w:color w:val="000000" w:themeColor="text1"/>
          <w:kern w:val="36"/>
          <w:lang w:val="fr-FR" w:eastAsia="fr-FR"/>
        </w:rPr>
      </w:pPr>
    </w:p>
    <w:p w14:paraId="25EB7CE8" w14:textId="58F71389" w:rsidR="007B544E" w:rsidRPr="00CB40BE" w:rsidRDefault="005253F4" w:rsidP="00CB40BE">
      <w:pPr>
        <w:jc w:val="both"/>
        <w:rPr>
          <w:rFonts w:ascii="Century Gothic" w:eastAsia="Times New Roman" w:hAnsi="Century Gothic" w:cs="Times New Roman"/>
          <w:b/>
          <w:bCs/>
          <w:color w:val="000000" w:themeColor="text1"/>
          <w:kern w:val="36"/>
          <w:lang w:val="fr-FR" w:eastAsia="fr-FR"/>
        </w:rPr>
      </w:pPr>
      <w:r>
        <w:rPr>
          <w:rFonts w:ascii="Century Gothic" w:eastAsia="Times New Roman" w:hAnsi="Century Gothic" w:cs="Times New Roman"/>
          <w:b/>
          <w:bCs/>
          <w:color w:val="000000" w:themeColor="text1"/>
          <w:kern w:val="36"/>
          <w:lang w:val="fr-FR" w:eastAsia="fr-FR"/>
        </w:rPr>
        <w:t xml:space="preserve">8. </w:t>
      </w:r>
      <w:r w:rsidR="007B544E" w:rsidRPr="00CB40BE">
        <w:rPr>
          <w:rFonts w:ascii="Century Gothic" w:eastAsia="Times New Roman" w:hAnsi="Century Gothic" w:cs="Times New Roman"/>
          <w:b/>
          <w:bCs/>
          <w:color w:val="000000" w:themeColor="text1"/>
          <w:kern w:val="36"/>
          <w:lang w:val="fr-FR" w:eastAsia="fr-FR"/>
        </w:rPr>
        <w:t>Le recouvrement amiable est-il recommandé pour les pouvoirs locaux ?</w:t>
      </w:r>
    </w:p>
    <w:p w14:paraId="09B96793" w14:textId="14265776" w:rsidR="007B544E" w:rsidRPr="00CB40BE" w:rsidRDefault="007B544E" w:rsidP="00CB40BE">
      <w:pPr>
        <w:jc w:val="both"/>
        <w:rPr>
          <w:rFonts w:ascii="Century Gothic" w:eastAsia="Times New Roman" w:hAnsi="Century Gothic" w:cs="Times New Roman"/>
          <w:color w:val="000000" w:themeColor="text1"/>
          <w:kern w:val="36"/>
          <w:lang w:val="fr-FR" w:eastAsia="fr-FR"/>
        </w:rPr>
      </w:pPr>
      <w:r w:rsidRPr="00CB40BE">
        <w:rPr>
          <w:rFonts w:ascii="Century Gothic" w:eastAsia="Times New Roman" w:hAnsi="Century Gothic" w:cs="Times New Roman"/>
          <w:color w:val="000000" w:themeColor="text1"/>
          <w:kern w:val="36"/>
          <w:u w:val="single"/>
          <w:lang w:val="fr-FR" w:eastAsia="fr-FR"/>
        </w:rPr>
        <w:t>Oui</w:t>
      </w:r>
      <w:r w:rsidRPr="00CB40BE">
        <w:rPr>
          <w:rFonts w:ascii="Century Gothic" w:eastAsia="Times New Roman" w:hAnsi="Century Gothic" w:cs="Times New Roman"/>
          <w:color w:val="000000" w:themeColor="text1"/>
          <w:kern w:val="36"/>
          <w:lang w:val="fr-FR" w:eastAsia="fr-FR"/>
        </w:rPr>
        <w:t xml:space="preserve">, car </w:t>
      </w:r>
      <w:r w:rsidR="004E1D53" w:rsidRPr="00CB40BE">
        <w:rPr>
          <w:rFonts w:ascii="Century Gothic" w:eastAsia="Times New Roman" w:hAnsi="Century Gothic" w:cs="Times New Roman"/>
          <w:color w:val="000000" w:themeColor="text1"/>
          <w:kern w:val="36"/>
          <w:lang w:val="fr-FR" w:eastAsia="fr-FR"/>
        </w:rPr>
        <w:t>comme le rappelle la circulaire budgétaire du 20 juillet 2023, vu la difficulté financière dans laquelle se trouve</w:t>
      </w:r>
      <w:r w:rsidR="00F556D4">
        <w:rPr>
          <w:rFonts w:ascii="Century Gothic" w:eastAsia="Times New Roman" w:hAnsi="Century Gothic" w:cs="Times New Roman"/>
          <w:color w:val="000000" w:themeColor="text1"/>
          <w:kern w:val="36"/>
          <w:lang w:val="fr-FR" w:eastAsia="fr-FR"/>
        </w:rPr>
        <w:t>nt</w:t>
      </w:r>
      <w:r w:rsidR="004E1D53" w:rsidRPr="00CB40BE">
        <w:rPr>
          <w:rFonts w:ascii="Century Gothic" w:eastAsia="Times New Roman" w:hAnsi="Century Gothic" w:cs="Times New Roman"/>
          <w:color w:val="000000" w:themeColor="text1"/>
          <w:kern w:val="36"/>
          <w:lang w:val="fr-FR" w:eastAsia="fr-FR"/>
        </w:rPr>
        <w:t xml:space="preserve"> certain</w:t>
      </w:r>
      <w:r w:rsidR="00F556D4">
        <w:rPr>
          <w:rFonts w:ascii="Century Gothic" w:eastAsia="Times New Roman" w:hAnsi="Century Gothic" w:cs="Times New Roman"/>
          <w:color w:val="000000" w:themeColor="text1"/>
          <w:kern w:val="36"/>
          <w:lang w:val="fr-FR" w:eastAsia="fr-FR"/>
        </w:rPr>
        <w:t>s</w:t>
      </w:r>
      <w:r w:rsidR="004E1D53" w:rsidRPr="00CB40BE">
        <w:rPr>
          <w:rFonts w:ascii="Century Gothic" w:eastAsia="Times New Roman" w:hAnsi="Century Gothic" w:cs="Times New Roman"/>
          <w:color w:val="000000" w:themeColor="text1"/>
          <w:kern w:val="36"/>
          <w:lang w:val="fr-FR" w:eastAsia="fr-FR"/>
        </w:rPr>
        <w:t xml:space="preserve"> ménages, il est important de les informer </w:t>
      </w:r>
      <w:r w:rsidRPr="00CB40BE">
        <w:rPr>
          <w:rFonts w:ascii="Century Gothic" w:eastAsia="Times New Roman" w:hAnsi="Century Gothic" w:cs="Times New Roman"/>
          <w:color w:val="000000" w:themeColor="text1"/>
          <w:kern w:val="36"/>
          <w:lang w:val="fr-FR" w:eastAsia="fr-FR"/>
        </w:rPr>
        <w:t>sur les</w:t>
      </w:r>
      <w:r w:rsidR="004E1D53" w:rsidRPr="00CB40BE">
        <w:rPr>
          <w:rFonts w:ascii="Century Gothic" w:eastAsia="Times New Roman" w:hAnsi="Century Gothic" w:cs="Times New Roman"/>
          <w:color w:val="000000" w:themeColor="text1"/>
          <w:kern w:val="36"/>
          <w:lang w:val="fr-FR" w:eastAsia="fr-FR"/>
        </w:rPr>
        <w:t xml:space="preserve"> conséquences financières liées au transmis de leur dossier entre les mains d’un huissier</w:t>
      </w:r>
      <w:r w:rsidR="00056F2C">
        <w:rPr>
          <w:rFonts w:ascii="Century Gothic" w:eastAsia="Times New Roman" w:hAnsi="Century Gothic" w:cs="Times New Roman"/>
          <w:color w:val="000000" w:themeColor="text1"/>
          <w:kern w:val="36"/>
          <w:lang w:val="fr-FR" w:eastAsia="fr-FR"/>
        </w:rPr>
        <w:t xml:space="preserve"> ou d’une société de recouvrement</w:t>
      </w:r>
      <w:r w:rsidR="004E1D53" w:rsidRPr="00CB40BE">
        <w:rPr>
          <w:rFonts w:ascii="Century Gothic" w:eastAsia="Times New Roman" w:hAnsi="Century Gothic" w:cs="Times New Roman"/>
          <w:color w:val="000000" w:themeColor="text1"/>
          <w:kern w:val="36"/>
          <w:lang w:val="fr-FR" w:eastAsia="fr-FR"/>
        </w:rPr>
        <w:t xml:space="preserve"> en cas d’absence de paiement et</w:t>
      </w:r>
      <w:r w:rsidRPr="00CB40BE">
        <w:rPr>
          <w:rFonts w:ascii="Century Gothic" w:eastAsia="Times New Roman" w:hAnsi="Century Gothic" w:cs="Times New Roman"/>
          <w:color w:val="000000" w:themeColor="text1"/>
          <w:kern w:val="36"/>
          <w:lang w:val="fr-FR" w:eastAsia="fr-FR"/>
        </w:rPr>
        <w:t xml:space="preserve"> sur</w:t>
      </w:r>
      <w:r w:rsidR="004E1D53" w:rsidRPr="00CB40BE">
        <w:rPr>
          <w:rFonts w:ascii="Century Gothic" w:eastAsia="Times New Roman" w:hAnsi="Century Gothic" w:cs="Times New Roman"/>
          <w:color w:val="000000" w:themeColor="text1"/>
          <w:kern w:val="36"/>
          <w:lang w:val="fr-FR" w:eastAsia="fr-FR"/>
        </w:rPr>
        <w:t xml:space="preserve"> des possibilités éventuelles d’obtenir un plan d’apurement sans que cela n’engendre de frais exagérés.</w:t>
      </w:r>
      <w:r w:rsidRPr="00CB40BE">
        <w:rPr>
          <w:rFonts w:ascii="Century Gothic" w:eastAsia="Times New Roman" w:hAnsi="Century Gothic" w:cs="Times New Roman"/>
          <w:color w:val="000000" w:themeColor="text1"/>
          <w:kern w:val="36"/>
          <w:lang w:val="fr-FR" w:eastAsia="fr-FR"/>
        </w:rPr>
        <w:t xml:space="preserve"> Idéalement cela devrait se faire pour toute créance non fiscale via un premier rappel par courrier simple. Cependant comme dit ci-dessus, seul</w:t>
      </w:r>
      <w:r w:rsidR="00F556D4">
        <w:rPr>
          <w:rFonts w:ascii="Century Gothic" w:eastAsia="Times New Roman" w:hAnsi="Century Gothic" w:cs="Times New Roman"/>
          <w:color w:val="000000" w:themeColor="text1"/>
          <w:kern w:val="36"/>
          <w:lang w:val="fr-FR" w:eastAsia="fr-FR"/>
        </w:rPr>
        <w:t xml:space="preserve"> premier</w:t>
      </w:r>
      <w:r w:rsidRPr="00CB40BE">
        <w:rPr>
          <w:rFonts w:ascii="Century Gothic" w:eastAsia="Times New Roman" w:hAnsi="Century Gothic" w:cs="Times New Roman"/>
          <w:color w:val="000000" w:themeColor="text1"/>
          <w:kern w:val="36"/>
          <w:lang w:val="fr-FR" w:eastAsia="fr-FR"/>
        </w:rPr>
        <w:t xml:space="preserve"> le rappel concernant des créances relevant d’une activité « </w:t>
      </w:r>
      <w:r w:rsidR="00EE00DA">
        <w:rPr>
          <w:rFonts w:ascii="Century Gothic" w:eastAsia="Times New Roman" w:hAnsi="Century Gothic" w:cs="Times New Roman"/>
          <w:color w:val="000000" w:themeColor="text1"/>
          <w:kern w:val="36"/>
          <w:lang w:val="fr-FR" w:eastAsia="fr-FR"/>
        </w:rPr>
        <w:t>économique</w:t>
      </w:r>
      <w:r w:rsidRPr="00CB40BE">
        <w:rPr>
          <w:rFonts w:ascii="Century Gothic" w:eastAsia="Times New Roman" w:hAnsi="Century Gothic" w:cs="Times New Roman"/>
          <w:color w:val="000000" w:themeColor="text1"/>
          <w:kern w:val="36"/>
          <w:lang w:val="fr-FR" w:eastAsia="fr-FR"/>
        </w:rPr>
        <w:t xml:space="preserve"> » du pouvoir </w:t>
      </w:r>
      <w:r w:rsidR="1D116206" w:rsidRPr="00CB40BE">
        <w:rPr>
          <w:rFonts w:ascii="Century Gothic" w:eastAsia="Times New Roman" w:hAnsi="Century Gothic" w:cs="Times New Roman"/>
          <w:color w:val="000000" w:themeColor="text1"/>
          <w:kern w:val="36"/>
          <w:lang w:val="fr-FR" w:eastAsia="fr-FR"/>
        </w:rPr>
        <w:t>local devrait</w:t>
      </w:r>
      <w:r w:rsidRPr="00CB40BE">
        <w:rPr>
          <w:rFonts w:ascii="Century Gothic" w:eastAsia="Times New Roman" w:hAnsi="Century Gothic" w:cs="Times New Roman"/>
          <w:color w:val="000000" w:themeColor="text1"/>
          <w:kern w:val="36"/>
          <w:lang w:val="fr-FR" w:eastAsia="fr-FR"/>
        </w:rPr>
        <w:t xml:space="preserve"> respecter toutes les conditions du nouveau titre XIX du CDE.</w:t>
      </w:r>
    </w:p>
    <w:p w14:paraId="0DA9D391" w14:textId="3AA0AA8C" w:rsidR="00AD0B13" w:rsidRPr="00CB40BE" w:rsidRDefault="00056F2C" w:rsidP="00CB40BE">
      <w:pPr>
        <w:jc w:val="both"/>
        <w:rPr>
          <w:rFonts w:ascii="Century Gothic" w:eastAsia="Times New Roman" w:hAnsi="Century Gothic" w:cs="Times New Roman"/>
          <w:color w:val="000000" w:themeColor="text1"/>
          <w:kern w:val="36"/>
          <w:lang w:val="fr-FR" w:eastAsia="fr-FR"/>
        </w:rPr>
      </w:pPr>
      <w:r>
        <w:rPr>
          <w:rFonts w:ascii="Century Gothic" w:eastAsia="Times New Roman" w:hAnsi="Century Gothic" w:cs="Times New Roman"/>
          <w:color w:val="000000" w:themeColor="text1"/>
          <w:kern w:val="36"/>
          <w:lang w:val="fr-FR" w:eastAsia="fr-FR"/>
        </w:rPr>
        <w:t>Dans tous les cas</w:t>
      </w:r>
      <w:r w:rsidR="00AD0B13" w:rsidRPr="00CB40BE">
        <w:rPr>
          <w:rFonts w:ascii="Century Gothic" w:eastAsia="Times New Roman" w:hAnsi="Century Gothic" w:cs="Times New Roman"/>
          <w:color w:val="000000" w:themeColor="text1"/>
          <w:kern w:val="36"/>
          <w:lang w:val="fr-FR" w:eastAsia="fr-FR"/>
        </w:rPr>
        <w:t xml:space="preserve">, il </w:t>
      </w:r>
      <w:r w:rsidRPr="00CB40BE">
        <w:rPr>
          <w:rFonts w:ascii="Century Gothic" w:eastAsia="Times New Roman" w:hAnsi="Century Gothic" w:cs="Times New Roman"/>
          <w:color w:val="000000" w:themeColor="text1"/>
          <w:kern w:val="36"/>
          <w:lang w:val="fr-FR" w:eastAsia="fr-FR"/>
        </w:rPr>
        <w:t>s</w:t>
      </w:r>
      <w:r>
        <w:rPr>
          <w:rFonts w:ascii="Century Gothic" w:eastAsia="Times New Roman" w:hAnsi="Century Gothic" w:cs="Times New Roman"/>
          <w:color w:val="000000" w:themeColor="text1"/>
          <w:kern w:val="36"/>
          <w:lang w:val="fr-FR" w:eastAsia="fr-FR"/>
        </w:rPr>
        <w:t>emble</w:t>
      </w:r>
      <w:r w:rsidRPr="00CB40BE">
        <w:rPr>
          <w:rFonts w:ascii="Century Gothic" w:eastAsia="Times New Roman" w:hAnsi="Century Gothic" w:cs="Times New Roman"/>
          <w:color w:val="000000" w:themeColor="text1"/>
          <w:kern w:val="36"/>
          <w:lang w:val="fr-FR" w:eastAsia="fr-FR"/>
        </w:rPr>
        <w:t xml:space="preserve"> </w:t>
      </w:r>
      <w:r w:rsidR="007C2BCF">
        <w:rPr>
          <w:rFonts w:ascii="Century Gothic" w:eastAsia="Times New Roman" w:hAnsi="Century Gothic" w:cs="Times New Roman"/>
          <w:color w:val="000000" w:themeColor="text1"/>
          <w:kern w:val="36"/>
          <w:lang w:val="fr-FR" w:eastAsia="fr-FR"/>
        </w:rPr>
        <w:t>opportun</w:t>
      </w:r>
      <w:r w:rsidR="00AD0B13" w:rsidRPr="00CB40BE">
        <w:rPr>
          <w:rFonts w:ascii="Century Gothic" w:eastAsia="Times New Roman" w:hAnsi="Century Gothic" w:cs="Times New Roman"/>
          <w:color w:val="000000" w:themeColor="text1"/>
          <w:kern w:val="36"/>
          <w:lang w:val="fr-FR" w:eastAsia="fr-FR"/>
        </w:rPr>
        <w:t xml:space="preserve"> de faire un </w:t>
      </w:r>
      <w:r w:rsidR="00F556D4">
        <w:rPr>
          <w:rFonts w:ascii="Century Gothic" w:eastAsia="Times New Roman" w:hAnsi="Century Gothic" w:cs="Times New Roman"/>
          <w:color w:val="000000" w:themeColor="text1"/>
          <w:kern w:val="36"/>
          <w:lang w:val="fr-FR" w:eastAsia="fr-FR"/>
        </w:rPr>
        <w:t xml:space="preserve">premier </w:t>
      </w:r>
      <w:r w:rsidR="00AD0B13" w:rsidRPr="00CB40BE">
        <w:rPr>
          <w:rFonts w:ascii="Century Gothic" w:eastAsia="Times New Roman" w:hAnsi="Century Gothic" w:cs="Times New Roman"/>
          <w:color w:val="000000" w:themeColor="text1"/>
          <w:kern w:val="36"/>
          <w:lang w:val="fr-FR" w:eastAsia="fr-FR"/>
        </w:rPr>
        <w:t>rappel gratuit pour toutes les créances non fiscales, qu’elles relèvent d’une activité « </w:t>
      </w:r>
      <w:r w:rsidR="00EE00DA">
        <w:rPr>
          <w:rFonts w:ascii="Century Gothic" w:eastAsia="Times New Roman" w:hAnsi="Century Gothic" w:cs="Times New Roman"/>
          <w:color w:val="000000" w:themeColor="text1"/>
          <w:kern w:val="36"/>
          <w:lang w:val="fr-FR" w:eastAsia="fr-FR"/>
        </w:rPr>
        <w:t>économique</w:t>
      </w:r>
      <w:r w:rsidR="00AD0B13" w:rsidRPr="00CB40BE">
        <w:rPr>
          <w:rFonts w:ascii="Century Gothic" w:eastAsia="Times New Roman" w:hAnsi="Century Gothic" w:cs="Times New Roman"/>
          <w:color w:val="000000" w:themeColor="text1"/>
          <w:kern w:val="36"/>
          <w:lang w:val="fr-FR" w:eastAsia="fr-FR"/>
        </w:rPr>
        <w:t> » ou de l’intérêt général</w:t>
      </w:r>
      <w:r>
        <w:rPr>
          <w:rFonts w:ascii="Century Gothic" w:eastAsia="Times New Roman" w:hAnsi="Century Gothic" w:cs="Times New Roman"/>
          <w:color w:val="000000" w:themeColor="text1"/>
          <w:kern w:val="36"/>
          <w:lang w:val="fr-FR" w:eastAsia="fr-FR"/>
        </w:rPr>
        <w:t xml:space="preserve"> et que leurs redevables soient ou non des consommateurs</w:t>
      </w:r>
      <w:r w:rsidR="00AD0B13" w:rsidRPr="00CB40BE">
        <w:rPr>
          <w:rFonts w:ascii="Century Gothic" w:eastAsia="Times New Roman" w:hAnsi="Century Gothic" w:cs="Times New Roman"/>
          <w:color w:val="000000" w:themeColor="text1"/>
          <w:kern w:val="36"/>
          <w:lang w:val="fr-FR" w:eastAsia="fr-FR"/>
        </w:rPr>
        <w:t>.</w:t>
      </w:r>
      <w:r>
        <w:rPr>
          <w:rFonts w:ascii="Century Gothic" w:eastAsia="Times New Roman" w:hAnsi="Century Gothic" w:cs="Times New Roman"/>
          <w:color w:val="000000" w:themeColor="text1"/>
          <w:kern w:val="36"/>
          <w:lang w:val="fr-FR" w:eastAsia="fr-FR"/>
        </w:rPr>
        <w:t xml:space="preserve"> Ce choix est néanmoins laissé à l’appréciation de chaque commune. </w:t>
      </w:r>
    </w:p>
    <w:p w14:paraId="72B5E076" w14:textId="77777777" w:rsidR="00091331" w:rsidRDefault="00091331" w:rsidP="00CB40BE">
      <w:pPr>
        <w:jc w:val="both"/>
        <w:rPr>
          <w:rFonts w:ascii="Century Gothic" w:eastAsia="Times New Roman" w:hAnsi="Century Gothic" w:cs="Times New Roman"/>
          <w:b/>
          <w:bCs/>
          <w:color w:val="000000" w:themeColor="text1"/>
          <w:kern w:val="36"/>
          <w:lang w:val="fr-FR" w:eastAsia="fr-FR"/>
        </w:rPr>
      </w:pPr>
    </w:p>
    <w:p w14:paraId="7DF5A8CC" w14:textId="13A77C42" w:rsidR="00AD0B13" w:rsidRPr="00CB40BE" w:rsidRDefault="005253F4" w:rsidP="00CB40BE">
      <w:pPr>
        <w:jc w:val="both"/>
        <w:rPr>
          <w:rFonts w:ascii="Century Gothic" w:eastAsia="Times New Roman" w:hAnsi="Century Gothic" w:cs="Times New Roman"/>
          <w:b/>
          <w:bCs/>
          <w:color w:val="000000" w:themeColor="text1"/>
          <w:kern w:val="36"/>
          <w:lang w:val="fr-FR" w:eastAsia="fr-FR"/>
        </w:rPr>
      </w:pPr>
      <w:r>
        <w:rPr>
          <w:rFonts w:ascii="Century Gothic" w:eastAsia="Times New Roman" w:hAnsi="Century Gothic" w:cs="Times New Roman"/>
          <w:b/>
          <w:bCs/>
          <w:color w:val="000000" w:themeColor="text1"/>
          <w:kern w:val="36"/>
          <w:lang w:val="fr-FR" w:eastAsia="fr-FR"/>
        </w:rPr>
        <w:t xml:space="preserve">9. </w:t>
      </w:r>
      <w:r w:rsidR="00AD0B13" w:rsidRPr="00CB40BE">
        <w:rPr>
          <w:rFonts w:ascii="Century Gothic" w:eastAsia="Times New Roman" w:hAnsi="Century Gothic" w:cs="Times New Roman"/>
          <w:b/>
          <w:bCs/>
          <w:color w:val="000000" w:themeColor="text1"/>
          <w:kern w:val="36"/>
          <w:lang w:val="fr-FR" w:eastAsia="fr-FR"/>
        </w:rPr>
        <w:t xml:space="preserve">Le recouvrement amiable doit-il </w:t>
      </w:r>
      <w:r w:rsidR="00F556D4">
        <w:rPr>
          <w:rFonts w:ascii="Century Gothic" w:eastAsia="Times New Roman" w:hAnsi="Century Gothic" w:cs="Times New Roman"/>
          <w:b/>
          <w:bCs/>
          <w:color w:val="000000" w:themeColor="text1"/>
          <w:kern w:val="36"/>
          <w:lang w:val="fr-FR" w:eastAsia="fr-FR"/>
        </w:rPr>
        <w:t>être</w:t>
      </w:r>
      <w:r w:rsidR="00AD0B13" w:rsidRPr="00CB40BE">
        <w:rPr>
          <w:rFonts w:ascii="Century Gothic" w:eastAsia="Times New Roman" w:hAnsi="Century Gothic" w:cs="Times New Roman"/>
          <w:b/>
          <w:bCs/>
          <w:color w:val="000000" w:themeColor="text1"/>
          <w:kern w:val="36"/>
          <w:lang w:val="fr-FR" w:eastAsia="fr-FR"/>
        </w:rPr>
        <w:t xml:space="preserve"> expressément prévu dans le règlement-redevance relatif à une activité « </w:t>
      </w:r>
      <w:r w:rsidR="00EE00DA">
        <w:rPr>
          <w:rFonts w:ascii="Century Gothic" w:eastAsia="Times New Roman" w:hAnsi="Century Gothic" w:cs="Times New Roman"/>
          <w:b/>
          <w:bCs/>
          <w:color w:val="000000" w:themeColor="text1"/>
          <w:kern w:val="36"/>
          <w:lang w:val="fr-FR" w:eastAsia="fr-FR"/>
        </w:rPr>
        <w:t>économique</w:t>
      </w:r>
      <w:r w:rsidR="00AD0B13" w:rsidRPr="00CB40BE">
        <w:rPr>
          <w:rFonts w:ascii="Century Gothic" w:eastAsia="Times New Roman" w:hAnsi="Century Gothic" w:cs="Times New Roman"/>
          <w:b/>
          <w:bCs/>
          <w:color w:val="000000" w:themeColor="text1"/>
          <w:kern w:val="36"/>
          <w:lang w:val="fr-FR" w:eastAsia="fr-FR"/>
        </w:rPr>
        <w:t> » ?</w:t>
      </w:r>
    </w:p>
    <w:p w14:paraId="697641B9" w14:textId="161670D5" w:rsidR="00AD0B13" w:rsidRPr="00CB40BE" w:rsidRDefault="00AD0B13" w:rsidP="00CB40BE">
      <w:pPr>
        <w:jc w:val="both"/>
        <w:rPr>
          <w:rFonts w:ascii="Century Gothic" w:eastAsia="Times New Roman" w:hAnsi="Century Gothic" w:cs="Times New Roman"/>
          <w:color w:val="000000" w:themeColor="text1"/>
          <w:kern w:val="36"/>
          <w:lang w:val="fr-FR" w:eastAsia="fr-FR"/>
        </w:rPr>
      </w:pPr>
      <w:r w:rsidRPr="00CB40BE">
        <w:rPr>
          <w:rFonts w:ascii="Century Gothic" w:eastAsia="Times New Roman" w:hAnsi="Century Gothic" w:cs="Times New Roman"/>
          <w:color w:val="000000" w:themeColor="text1"/>
          <w:kern w:val="36"/>
          <w:u w:val="single"/>
          <w:lang w:val="fr-FR" w:eastAsia="fr-FR"/>
        </w:rPr>
        <w:t>Non</w:t>
      </w:r>
      <w:r w:rsidRPr="00CB40BE">
        <w:rPr>
          <w:rFonts w:ascii="Century Gothic" w:eastAsia="Times New Roman" w:hAnsi="Century Gothic" w:cs="Times New Roman"/>
          <w:color w:val="000000" w:themeColor="text1"/>
          <w:kern w:val="36"/>
          <w:lang w:val="fr-FR" w:eastAsia="fr-FR"/>
        </w:rPr>
        <w:t>, puisque, comme dit ci-dessus, le pouvoir local peut légalement se contenter du recouvrement forcé.</w:t>
      </w:r>
    </w:p>
    <w:p w14:paraId="75F36122" w14:textId="0558C505" w:rsidR="00AD0B13" w:rsidRDefault="00A664BE" w:rsidP="00CB40BE">
      <w:pPr>
        <w:jc w:val="both"/>
        <w:rPr>
          <w:rFonts w:ascii="Century Gothic" w:eastAsia="Times New Roman" w:hAnsi="Century Gothic" w:cs="Times New Roman"/>
          <w:color w:val="000000" w:themeColor="text1"/>
          <w:kern w:val="36"/>
          <w:lang w:val="fr-FR" w:eastAsia="fr-FR"/>
        </w:rPr>
      </w:pPr>
      <w:r>
        <w:rPr>
          <w:rFonts w:ascii="Century Gothic" w:eastAsia="Times New Roman" w:hAnsi="Century Gothic" w:cs="Times New Roman"/>
          <w:color w:val="000000" w:themeColor="text1"/>
          <w:kern w:val="36"/>
          <w:lang w:val="fr-FR" w:eastAsia="fr-FR"/>
        </w:rPr>
        <w:t xml:space="preserve">Néanmoins, dans les deux cas suivants, </w:t>
      </w:r>
      <w:r w:rsidR="00E95E61">
        <w:rPr>
          <w:rFonts w:ascii="Century Gothic" w:eastAsia="Times New Roman" w:hAnsi="Century Gothic" w:cs="Times New Roman"/>
          <w:color w:val="000000" w:themeColor="text1"/>
          <w:kern w:val="36"/>
          <w:lang w:val="fr-FR" w:eastAsia="fr-FR"/>
        </w:rPr>
        <w:t>il conviendra</w:t>
      </w:r>
      <w:r w:rsidR="006A7E7B">
        <w:rPr>
          <w:rFonts w:ascii="Century Gothic" w:eastAsia="Times New Roman" w:hAnsi="Century Gothic" w:cs="Times New Roman"/>
          <w:color w:val="000000" w:themeColor="text1"/>
          <w:kern w:val="36"/>
          <w:lang w:val="fr-FR" w:eastAsia="fr-FR"/>
        </w:rPr>
        <w:t xml:space="preserve"> de respecter les nouvelles règles</w:t>
      </w:r>
      <w:r w:rsidR="00AB041A" w:rsidRPr="00CB40BE">
        <w:rPr>
          <w:rFonts w:ascii="Century Gothic" w:eastAsia="Times New Roman" w:hAnsi="Century Gothic" w:cs="Times New Roman"/>
          <w:color w:val="000000" w:themeColor="text1"/>
          <w:kern w:val="36"/>
          <w:lang w:val="fr-FR" w:eastAsia="fr-FR"/>
        </w:rPr>
        <w:t> :</w:t>
      </w:r>
    </w:p>
    <w:p w14:paraId="095704EB" w14:textId="4E37CCEE" w:rsidR="00AB041A" w:rsidRPr="00EE5F68" w:rsidRDefault="003172C5" w:rsidP="00857A80">
      <w:pPr>
        <w:pStyle w:val="Paragraphedeliste"/>
        <w:numPr>
          <w:ilvl w:val="0"/>
          <w:numId w:val="2"/>
        </w:numPr>
        <w:jc w:val="both"/>
        <w:rPr>
          <w:rFonts w:ascii="Century Gothic" w:hAnsi="Century Gothic"/>
        </w:rPr>
      </w:pPr>
      <w:r w:rsidRPr="00CB40BE">
        <w:rPr>
          <w:rFonts w:ascii="Century Gothic" w:hAnsi="Century Gothic"/>
        </w:rPr>
        <w:lastRenderedPageBreak/>
        <w:t xml:space="preserve">Si un règlement-redevance communal ne fait pas référence au livre XIX </w:t>
      </w:r>
      <w:r w:rsidRPr="00CB40BE">
        <w:rPr>
          <w:rFonts w:ascii="Century Gothic" w:eastAsia="Times New Roman" w:hAnsi="Century Gothic" w:cs="Times New Roman"/>
          <w:color w:val="000000" w:themeColor="text1"/>
          <w:kern w:val="36"/>
          <w:lang w:val="fr-FR" w:eastAsia="fr-FR"/>
        </w:rPr>
        <w:t xml:space="preserve">du </w:t>
      </w:r>
      <w:r w:rsidRPr="00CB40BE">
        <w:rPr>
          <w:rFonts w:ascii="Century Gothic" w:hAnsi="Century Gothic"/>
        </w:rPr>
        <w:t xml:space="preserve">CDE et </w:t>
      </w:r>
      <w:r w:rsidRPr="00CB40BE">
        <w:rPr>
          <w:rFonts w:ascii="Century Gothic" w:hAnsi="Century Gothic"/>
          <w:u w:val="single"/>
        </w:rPr>
        <w:t xml:space="preserve">ne prévoit pas </w:t>
      </w:r>
      <w:r w:rsidR="009B33B9">
        <w:rPr>
          <w:rFonts w:ascii="Century Gothic" w:hAnsi="Century Gothic"/>
          <w:u w:val="single"/>
        </w:rPr>
        <w:t xml:space="preserve">expressément </w:t>
      </w:r>
      <w:r w:rsidRPr="00CB40BE">
        <w:rPr>
          <w:rFonts w:ascii="Century Gothic" w:hAnsi="Century Gothic"/>
          <w:u w:val="single"/>
        </w:rPr>
        <w:t>de recouvrement amiable</w:t>
      </w:r>
      <w:r w:rsidRPr="00CB40BE">
        <w:rPr>
          <w:rFonts w:ascii="Century Gothic" w:hAnsi="Century Gothic"/>
        </w:rPr>
        <w:t xml:space="preserve"> en sus de ce que prescrit l’article L-1124-40 </w:t>
      </w:r>
      <w:r>
        <w:rPr>
          <w:rFonts w:ascii="Century Gothic" w:hAnsi="Century Gothic"/>
        </w:rPr>
        <w:t xml:space="preserve">du </w:t>
      </w:r>
      <w:r w:rsidRPr="00CB40BE">
        <w:rPr>
          <w:rFonts w:ascii="Century Gothic" w:hAnsi="Century Gothic"/>
        </w:rPr>
        <w:t xml:space="preserve">CDLD, </w:t>
      </w:r>
      <w:r w:rsidRPr="00CB40BE">
        <w:rPr>
          <w:rFonts w:ascii="Century Gothic" w:hAnsi="Century Gothic"/>
          <w:u w:val="single"/>
        </w:rPr>
        <w:t>mais qu’en pratique la commune envoie un premier rappel gratuit</w:t>
      </w:r>
      <w:r w:rsidRPr="00CB40BE">
        <w:rPr>
          <w:rFonts w:ascii="Century Gothic" w:hAnsi="Century Gothic"/>
        </w:rPr>
        <w:t xml:space="preserve">, </w:t>
      </w:r>
      <w:r w:rsidR="003574F4">
        <w:rPr>
          <w:rFonts w:ascii="Century Gothic" w:hAnsi="Century Gothic"/>
        </w:rPr>
        <w:t>elle devra</w:t>
      </w:r>
      <w:r w:rsidRPr="00CB40BE">
        <w:rPr>
          <w:rFonts w:ascii="Century Gothic" w:hAnsi="Century Gothic"/>
        </w:rPr>
        <w:t xml:space="preserve"> respecter le livre XIX du </w:t>
      </w:r>
      <w:r>
        <w:rPr>
          <w:rFonts w:ascii="Century Gothic" w:hAnsi="Century Gothic"/>
        </w:rPr>
        <w:t>CDE</w:t>
      </w:r>
      <w:r w:rsidRPr="00CB40BE">
        <w:rPr>
          <w:rFonts w:ascii="Century Gothic" w:hAnsi="Century Gothic"/>
        </w:rPr>
        <w:t xml:space="preserve"> et, notamment le délai de 14 jours et le montant des clauses indemnitaires</w:t>
      </w:r>
      <w:r w:rsidR="00020A44">
        <w:rPr>
          <w:rFonts w:ascii="Century Gothic" w:hAnsi="Century Gothic"/>
        </w:rPr>
        <w:t xml:space="preserve">, </w:t>
      </w:r>
      <w:r w:rsidR="00D56FDD">
        <w:rPr>
          <w:rFonts w:ascii="Century Gothic" w:hAnsi="Century Gothic"/>
        </w:rPr>
        <w:t xml:space="preserve">si le recouvrement </w:t>
      </w:r>
      <w:r w:rsidR="00D20039">
        <w:rPr>
          <w:rFonts w:ascii="Century Gothic" w:hAnsi="Century Gothic"/>
        </w:rPr>
        <w:t>entre dans le champ d’application des nouvelles règles</w:t>
      </w:r>
      <w:r w:rsidRPr="00CB40BE">
        <w:rPr>
          <w:rFonts w:ascii="Century Gothic" w:hAnsi="Century Gothic"/>
        </w:rPr>
        <w:t> ;</w:t>
      </w:r>
    </w:p>
    <w:p w14:paraId="1C6ED42A" w14:textId="1D7B8222" w:rsidR="00AB041A" w:rsidRPr="00CB40BE" w:rsidRDefault="00AB041A" w:rsidP="00CB40BE">
      <w:pPr>
        <w:pStyle w:val="Paragraphedeliste"/>
        <w:numPr>
          <w:ilvl w:val="0"/>
          <w:numId w:val="2"/>
        </w:numPr>
        <w:jc w:val="both"/>
        <w:rPr>
          <w:rFonts w:ascii="Century Gothic" w:hAnsi="Century Gothic"/>
        </w:rPr>
      </w:pPr>
      <w:r w:rsidRPr="00CB40BE">
        <w:rPr>
          <w:rFonts w:ascii="Century Gothic" w:hAnsi="Century Gothic"/>
        </w:rPr>
        <w:t xml:space="preserve">Si, </w:t>
      </w:r>
      <w:proofErr w:type="gramStart"/>
      <w:r w:rsidRPr="00CB40BE">
        <w:rPr>
          <w:rFonts w:ascii="Century Gothic" w:hAnsi="Century Gothic"/>
        </w:rPr>
        <w:t>par contre</w:t>
      </w:r>
      <w:proofErr w:type="gramEnd"/>
      <w:r w:rsidRPr="00CB40BE">
        <w:rPr>
          <w:rFonts w:ascii="Century Gothic" w:hAnsi="Century Gothic"/>
        </w:rPr>
        <w:t xml:space="preserve">, pour une activité </w:t>
      </w:r>
      <w:r w:rsidR="00EE00DA">
        <w:rPr>
          <w:rFonts w:ascii="Century Gothic" w:hAnsi="Century Gothic"/>
        </w:rPr>
        <w:t>« économique »</w:t>
      </w:r>
      <w:r w:rsidRPr="00CB40BE">
        <w:rPr>
          <w:rFonts w:ascii="Century Gothic" w:hAnsi="Century Gothic"/>
        </w:rPr>
        <w:t xml:space="preserve">, le règlement-redevance communal </w:t>
      </w:r>
      <w:r w:rsidRPr="00CB40BE">
        <w:rPr>
          <w:rFonts w:ascii="Century Gothic" w:hAnsi="Century Gothic"/>
          <w:u w:val="single"/>
        </w:rPr>
        <w:t>prévoit un recouvrement amiable</w:t>
      </w:r>
      <w:r w:rsidRPr="00CB40BE">
        <w:rPr>
          <w:rFonts w:ascii="Century Gothic" w:hAnsi="Century Gothic"/>
        </w:rPr>
        <w:t xml:space="preserve"> en sus de ce que prescrit l’article L-1124-40 </w:t>
      </w:r>
      <w:r w:rsidR="00F556D4">
        <w:rPr>
          <w:rFonts w:ascii="Century Gothic" w:hAnsi="Century Gothic"/>
        </w:rPr>
        <w:t>du CDLD</w:t>
      </w:r>
      <w:r w:rsidRPr="00CB40BE">
        <w:rPr>
          <w:rFonts w:ascii="Century Gothic" w:hAnsi="Century Gothic"/>
        </w:rPr>
        <w:t xml:space="preserve">, notamment l’envoi d’un </w:t>
      </w:r>
      <w:r w:rsidR="00F556D4">
        <w:rPr>
          <w:rFonts w:ascii="Century Gothic" w:hAnsi="Century Gothic"/>
        </w:rPr>
        <w:t>premier</w:t>
      </w:r>
      <w:r w:rsidRPr="00CB40BE">
        <w:rPr>
          <w:rFonts w:ascii="Century Gothic" w:hAnsi="Century Gothic"/>
        </w:rPr>
        <w:t xml:space="preserve"> rappel, s’agissant d’une procédure non prévue par le CDLD, il y a lieu de respecter le livre XIX </w:t>
      </w:r>
      <w:r w:rsidR="00F556D4" w:rsidRPr="00CB40BE">
        <w:rPr>
          <w:rFonts w:ascii="Century Gothic" w:eastAsia="Times New Roman" w:hAnsi="Century Gothic" w:cs="Times New Roman"/>
          <w:color w:val="000000" w:themeColor="text1"/>
          <w:kern w:val="36"/>
          <w:lang w:val="fr-FR" w:eastAsia="fr-FR"/>
        </w:rPr>
        <w:t xml:space="preserve">du </w:t>
      </w:r>
      <w:r w:rsidRPr="00CB40BE">
        <w:rPr>
          <w:rFonts w:ascii="Century Gothic" w:hAnsi="Century Gothic"/>
        </w:rPr>
        <w:t>CDE, ce qui implique notamment le fait que le premier rappel est gratuit, le respect du délai de minimum 14 jours et les montants maximums pour les clauses indemnitaires.</w:t>
      </w:r>
    </w:p>
    <w:p w14:paraId="65C32643" w14:textId="77777777" w:rsidR="000823F7" w:rsidRPr="00CB40BE" w:rsidRDefault="000823F7" w:rsidP="00CB40BE">
      <w:pPr>
        <w:pStyle w:val="Paragraphedeliste"/>
        <w:jc w:val="both"/>
        <w:rPr>
          <w:rFonts w:ascii="Century Gothic" w:hAnsi="Century Gothic"/>
        </w:rPr>
      </w:pPr>
    </w:p>
    <w:p w14:paraId="421C6E1F" w14:textId="00D2752E" w:rsidR="008A603B" w:rsidRPr="00CB40BE" w:rsidRDefault="005253F4" w:rsidP="00CB40BE">
      <w:pPr>
        <w:jc w:val="both"/>
        <w:rPr>
          <w:rFonts w:ascii="Century Gothic" w:eastAsia="Times New Roman" w:hAnsi="Century Gothic" w:cs="Times New Roman"/>
          <w:b/>
          <w:bCs/>
          <w:color w:val="000000" w:themeColor="text1"/>
          <w:kern w:val="36"/>
          <w:lang w:val="fr-FR" w:eastAsia="fr-FR"/>
        </w:rPr>
      </w:pPr>
      <w:r w:rsidRPr="4F9431BD">
        <w:rPr>
          <w:rFonts w:ascii="Century Gothic" w:eastAsia="Times New Roman" w:hAnsi="Century Gothic" w:cs="Times New Roman"/>
          <w:b/>
          <w:bCs/>
          <w:color w:val="000000" w:themeColor="text1"/>
          <w:lang w:val="fr-FR" w:eastAsia="fr-FR"/>
        </w:rPr>
        <w:t xml:space="preserve">10. </w:t>
      </w:r>
      <w:bookmarkStart w:id="4" w:name="_Hlk145504183"/>
      <w:r w:rsidR="008A603B" w:rsidRPr="00CB40BE">
        <w:rPr>
          <w:rFonts w:ascii="Century Gothic" w:eastAsia="Times New Roman" w:hAnsi="Century Gothic" w:cs="Times New Roman"/>
          <w:b/>
          <w:bCs/>
          <w:color w:val="000000" w:themeColor="text1"/>
          <w:kern w:val="36"/>
          <w:lang w:val="fr-FR" w:eastAsia="fr-FR"/>
        </w:rPr>
        <w:t xml:space="preserve">Quelle mise en demeure </w:t>
      </w:r>
      <w:r w:rsidR="00521B8E">
        <w:rPr>
          <w:rFonts w:ascii="Century Gothic" w:eastAsia="Times New Roman" w:hAnsi="Century Gothic" w:cs="Times New Roman"/>
          <w:b/>
          <w:bCs/>
          <w:color w:val="000000" w:themeColor="text1"/>
          <w:kern w:val="36"/>
          <w:lang w:val="fr-FR" w:eastAsia="fr-FR"/>
        </w:rPr>
        <w:t>doit obligatoirement être appliquée</w:t>
      </w:r>
      <w:r w:rsidR="003172C5" w:rsidRPr="4F9431BD">
        <w:rPr>
          <w:rFonts w:ascii="Century Gothic" w:eastAsia="Times New Roman" w:hAnsi="Century Gothic" w:cs="Times New Roman"/>
          <w:b/>
          <w:bCs/>
          <w:color w:val="000000" w:themeColor="text1"/>
          <w:lang w:val="fr-FR" w:eastAsia="fr-FR"/>
        </w:rPr>
        <w:t xml:space="preserve"> au niveau communal</w:t>
      </w:r>
      <w:r w:rsidR="008A603B" w:rsidRPr="00CB40BE">
        <w:rPr>
          <w:rFonts w:ascii="Century Gothic" w:eastAsia="Times New Roman" w:hAnsi="Century Gothic" w:cs="Times New Roman"/>
          <w:b/>
          <w:bCs/>
          <w:color w:val="000000" w:themeColor="text1"/>
          <w:kern w:val="36"/>
          <w:lang w:val="fr-FR" w:eastAsia="fr-FR"/>
        </w:rPr>
        <w:t xml:space="preserve"> ? </w:t>
      </w:r>
      <w:bookmarkEnd w:id="4"/>
    </w:p>
    <w:p w14:paraId="7721C12B" w14:textId="7F76533C" w:rsidR="00A07A79" w:rsidRDefault="15670786" w:rsidP="4F9431BD">
      <w:pPr>
        <w:jc w:val="both"/>
        <w:rPr>
          <w:rFonts w:ascii="Century Gothic" w:eastAsia="Century Gothic" w:hAnsi="Century Gothic" w:cs="Century Gothic"/>
          <w:color w:val="000000" w:themeColor="text1"/>
          <w:lang w:val="fr-FR"/>
        </w:rPr>
      </w:pPr>
      <w:r w:rsidRPr="4F9431BD">
        <w:rPr>
          <w:rFonts w:ascii="Century Gothic" w:eastAsia="Century Gothic" w:hAnsi="Century Gothic" w:cs="Century Gothic"/>
          <w:color w:val="000000" w:themeColor="text1"/>
          <w:lang w:val="fr-FR"/>
        </w:rPr>
        <w:t>L’article L1124-40 du CDLD</w:t>
      </w:r>
      <w:r w:rsidRPr="4F9431BD">
        <w:rPr>
          <w:rFonts w:ascii="Century Gothic" w:eastAsia="Century Gothic" w:hAnsi="Century Gothic" w:cs="Century Gothic"/>
          <w:i/>
          <w:iCs/>
          <w:color w:val="000000" w:themeColor="text1"/>
          <w:lang w:val="fr-FR"/>
        </w:rPr>
        <w:t xml:space="preserve"> </w:t>
      </w:r>
      <w:r w:rsidRPr="4F9431BD">
        <w:rPr>
          <w:rFonts w:ascii="Century Gothic" w:eastAsia="Century Gothic" w:hAnsi="Century Gothic" w:cs="Century Gothic"/>
          <w:color w:val="000000" w:themeColor="text1"/>
          <w:lang w:val="fr-FR"/>
        </w:rPr>
        <w:t xml:space="preserve">prévoit que c’est l’envoi d’un rappel par voie recommandée qui fait office de mise en demeure obligatoire, préalable à l’envoi de la contrainte rendue exécutoire par le collège communal. C'est la première étape par laquelle la commune procède au recouvrement forcé, donc en dehors du champ d'application des règles relatives au recouvrement amiable. </w:t>
      </w:r>
    </w:p>
    <w:p w14:paraId="4DB63366" w14:textId="01589ECF" w:rsidR="00906E38" w:rsidRDefault="000E1E3E" w:rsidP="00075D44">
      <w:pPr>
        <w:jc w:val="both"/>
        <w:rPr>
          <w:rFonts w:ascii="Century Gothic" w:eastAsia="Century Gothic" w:hAnsi="Century Gothic" w:cs="Century Gothic"/>
          <w:color w:val="000000" w:themeColor="text1"/>
          <w:lang w:val="fr-FR"/>
        </w:rPr>
      </w:pPr>
      <w:r>
        <w:rPr>
          <w:rFonts w:ascii="Century Gothic" w:eastAsia="Century Gothic" w:hAnsi="Century Gothic" w:cs="Century Gothic"/>
          <w:color w:val="000000" w:themeColor="text1"/>
          <w:lang w:val="fr-FR"/>
        </w:rPr>
        <w:t>Cela étant</w:t>
      </w:r>
      <w:r w:rsidR="15670786" w:rsidRPr="4F9431BD">
        <w:rPr>
          <w:rFonts w:ascii="Century Gothic" w:eastAsia="Century Gothic" w:hAnsi="Century Gothic" w:cs="Century Gothic"/>
          <w:color w:val="000000" w:themeColor="text1"/>
          <w:lang w:val="fr-FR"/>
        </w:rPr>
        <w:t>, si la commune applique, préalablement au recouvrement forcé, un ou plusieurs rappels de paiement, les nouvelles règles sur le recouvrement amiable s'y appliqueront, dans la mesure précitée (v. aussi les questions 7 et 9.).</w:t>
      </w:r>
    </w:p>
    <w:p w14:paraId="06602A1B" w14:textId="639D92FF" w:rsidR="00C91D19" w:rsidRPr="00CB40BE" w:rsidRDefault="00C91D19" w:rsidP="00075D44">
      <w:pPr>
        <w:jc w:val="both"/>
        <w:rPr>
          <w:rFonts w:ascii="Century Gothic" w:eastAsia="Century Gothic" w:hAnsi="Century Gothic" w:cs="Century Gothic"/>
          <w:color w:val="000000" w:themeColor="text1"/>
          <w:lang w:val="fr-FR"/>
        </w:rPr>
      </w:pPr>
      <w:r>
        <w:rPr>
          <w:rFonts w:ascii="Century Gothic" w:eastAsia="Century Gothic" w:hAnsi="Century Gothic" w:cs="Century Gothic"/>
          <w:color w:val="000000" w:themeColor="text1"/>
          <w:lang w:val="fr-FR"/>
        </w:rPr>
        <w:t>Dans tous les cas, c’est la mise en demeure prévue par l’article L1124-40</w:t>
      </w:r>
      <w:r w:rsidR="001F2EDD">
        <w:rPr>
          <w:rFonts w:ascii="Century Gothic" w:eastAsia="Century Gothic" w:hAnsi="Century Gothic" w:cs="Century Gothic"/>
          <w:color w:val="000000" w:themeColor="text1"/>
          <w:lang w:val="fr-FR"/>
        </w:rPr>
        <w:t xml:space="preserve"> qui </w:t>
      </w:r>
      <w:r w:rsidR="00D645E9">
        <w:rPr>
          <w:rFonts w:ascii="Century Gothic" w:eastAsia="Century Gothic" w:hAnsi="Century Gothic" w:cs="Century Gothic"/>
          <w:color w:val="000000" w:themeColor="text1"/>
          <w:lang w:val="fr-FR"/>
        </w:rPr>
        <w:t xml:space="preserve">fait courir les intérêts de retard. </w:t>
      </w:r>
    </w:p>
    <w:p w14:paraId="3A8CA098" w14:textId="1F1016EA" w:rsidR="4F9431BD" w:rsidRDefault="4F9431BD" w:rsidP="4F9431BD">
      <w:pPr>
        <w:jc w:val="both"/>
        <w:rPr>
          <w:rFonts w:ascii="Century Gothic" w:eastAsia="Times New Roman" w:hAnsi="Century Gothic" w:cs="Times New Roman"/>
          <w:color w:val="000000" w:themeColor="text1"/>
          <w:lang w:val="fr-FR" w:eastAsia="fr-FR"/>
        </w:rPr>
      </w:pPr>
    </w:p>
    <w:p w14:paraId="4815A029" w14:textId="78835984" w:rsidR="0018292F" w:rsidRPr="00CB40BE" w:rsidRDefault="00A43C37" w:rsidP="00CB40BE">
      <w:pPr>
        <w:jc w:val="both"/>
        <w:rPr>
          <w:rFonts w:ascii="Century Gothic" w:eastAsia="Times New Roman" w:hAnsi="Century Gothic" w:cs="Times New Roman"/>
          <w:color w:val="000000" w:themeColor="text1"/>
          <w:kern w:val="36"/>
          <w:sz w:val="18"/>
          <w:szCs w:val="18"/>
          <w:lang w:val="fr-FR" w:eastAsia="fr-FR"/>
        </w:rPr>
      </w:pPr>
      <w:r w:rsidRPr="00CB40BE">
        <w:rPr>
          <w:rFonts w:ascii="Century Gothic" w:eastAsia="Times New Roman" w:hAnsi="Century Gothic" w:cs="Times New Roman"/>
          <w:color w:val="000000" w:themeColor="text1"/>
          <w:kern w:val="36"/>
          <w:sz w:val="18"/>
          <w:szCs w:val="18"/>
          <w:lang w:val="fr-FR" w:eastAsia="fr-FR"/>
        </w:rPr>
        <w:t xml:space="preserve">PS : L’article </w:t>
      </w:r>
      <w:r w:rsidRPr="00CB40BE">
        <w:rPr>
          <w:rFonts w:ascii="Century Gothic" w:hAnsi="Century Gothic"/>
          <w:color w:val="000000" w:themeColor="text1"/>
          <w:sz w:val="18"/>
          <w:szCs w:val="18"/>
        </w:rPr>
        <w:t>L2212-65</w:t>
      </w:r>
      <w:r w:rsidR="007709E0">
        <w:rPr>
          <w:rFonts w:ascii="Century Gothic" w:hAnsi="Century Gothic"/>
          <w:color w:val="000000" w:themeColor="text1"/>
          <w:sz w:val="18"/>
          <w:szCs w:val="18"/>
        </w:rPr>
        <w:t xml:space="preserve"> du CDLD</w:t>
      </w:r>
      <w:r w:rsidRPr="00CB40BE">
        <w:rPr>
          <w:rFonts w:ascii="Century Gothic" w:hAnsi="Century Gothic"/>
          <w:color w:val="000000" w:themeColor="text1"/>
          <w:sz w:val="18"/>
          <w:szCs w:val="18"/>
        </w:rPr>
        <w:t xml:space="preserve"> est l</w:t>
      </w:r>
      <w:r w:rsidRPr="00CB40BE">
        <w:rPr>
          <w:rFonts w:ascii="Century Gothic" w:eastAsia="Times New Roman" w:hAnsi="Century Gothic" w:cs="Times New Roman"/>
          <w:color w:val="000000" w:themeColor="text1"/>
          <w:kern w:val="36"/>
          <w:sz w:val="18"/>
          <w:szCs w:val="18"/>
          <w:lang w:val="fr-FR" w:eastAsia="fr-FR"/>
        </w:rPr>
        <w:t xml:space="preserve">e pendant de l’article L 1124-40 du </w:t>
      </w:r>
      <w:r w:rsidR="00C12AD2">
        <w:rPr>
          <w:rFonts w:ascii="Century Gothic" w:eastAsia="Times New Roman" w:hAnsi="Century Gothic" w:cs="Times New Roman"/>
          <w:color w:val="000000" w:themeColor="text1"/>
          <w:kern w:val="36"/>
          <w:sz w:val="18"/>
          <w:szCs w:val="18"/>
          <w:lang w:val="fr-FR" w:eastAsia="fr-FR"/>
        </w:rPr>
        <w:t>CDLD</w:t>
      </w:r>
      <w:r w:rsidRPr="00CB40BE">
        <w:rPr>
          <w:rFonts w:ascii="Century Gothic" w:eastAsia="Times New Roman" w:hAnsi="Century Gothic" w:cs="Times New Roman"/>
          <w:color w:val="000000" w:themeColor="text1"/>
          <w:kern w:val="36"/>
          <w:sz w:val="18"/>
          <w:szCs w:val="18"/>
          <w:lang w:val="fr-FR" w:eastAsia="fr-FR"/>
        </w:rPr>
        <w:t xml:space="preserve"> pour les provinces et partant, ce qui est dit ci-dessus vaut mutatis mutandis pour les provinces.</w:t>
      </w:r>
    </w:p>
    <w:p w14:paraId="14F2F2E0" w14:textId="77777777" w:rsidR="005253F4" w:rsidRDefault="005253F4" w:rsidP="00CB40BE">
      <w:pPr>
        <w:jc w:val="both"/>
        <w:rPr>
          <w:rFonts w:ascii="Century Gothic" w:eastAsia="Times New Roman" w:hAnsi="Century Gothic" w:cs="Times New Roman"/>
          <w:b/>
          <w:bCs/>
          <w:color w:val="000000" w:themeColor="text1"/>
          <w:kern w:val="36"/>
          <w:lang w:val="fr-FR" w:eastAsia="fr-FR"/>
        </w:rPr>
      </w:pPr>
    </w:p>
    <w:p w14:paraId="1886620F" w14:textId="486A9460" w:rsidR="00737D3B" w:rsidRPr="00CB40BE" w:rsidRDefault="005253F4" w:rsidP="00CB40BE">
      <w:pPr>
        <w:jc w:val="both"/>
        <w:rPr>
          <w:rFonts w:ascii="Century Gothic" w:eastAsia="Times New Roman" w:hAnsi="Century Gothic" w:cs="Times New Roman"/>
          <w:b/>
          <w:bCs/>
          <w:color w:val="000000" w:themeColor="text1"/>
          <w:kern w:val="36"/>
          <w:lang w:val="fr-FR" w:eastAsia="fr-FR"/>
        </w:rPr>
      </w:pPr>
      <w:r>
        <w:rPr>
          <w:rFonts w:ascii="Century Gothic" w:eastAsia="Times New Roman" w:hAnsi="Century Gothic" w:cs="Times New Roman"/>
          <w:b/>
          <w:bCs/>
          <w:color w:val="000000" w:themeColor="text1"/>
          <w:kern w:val="36"/>
          <w:lang w:val="fr-FR" w:eastAsia="fr-FR"/>
        </w:rPr>
        <w:t xml:space="preserve">11. </w:t>
      </w:r>
      <w:bookmarkStart w:id="5" w:name="_Hlk145504205"/>
      <w:r w:rsidR="00737D3B" w:rsidRPr="00CB40BE">
        <w:rPr>
          <w:rFonts w:ascii="Century Gothic" w:eastAsia="Times New Roman" w:hAnsi="Century Gothic" w:cs="Times New Roman"/>
          <w:b/>
          <w:bCs/>
          <w:color w:val="000000" w:themeColor="text1"/>
          <w:kern w:val="36"/>
          <w:lang w:val="fr-FR" w:eastAsia="fr-FR"/>
        </w:rPr>
        <w:t xml:space="preserve">Quand et comment faire le </w:t>
      </w:r>
      <w:r w:rsidR="00F556D4">
        <w:rPr>
          <w:rFonts w:ascii="Century Gothic" w:eastAsia="Times New Roman" w:hAnsi="Century Gothic" w:cs="Times New Roman"/>
          <w:b/>
          <w:bCs/>
          <w:color w:val="000000" w:themeColor="text1"/>
          <w:kern w:val="36"/>
          <w:lang w:val="fr-FR" w:eastAsia="fr-FR"/>
        </w:rPr>
        <w:t>premier</w:t>
      </w:r>
      <w:r w:rsidR="00737D3B" w:rsidRPr="00CB40BE">
        <w:rPr>
          <w:rFonts w:ascii="Century Gothic" w:eastAsia="Times New Roman" w:hAnsi="Century Gothic" w:cs="Times New Roman"/>
          <w:b/>
          <w:bCs/>
          <w:color w:val="000000" w:themeColor="text1"/>
          <w:kern w:val="36"/>
          <w:lang w:val="fr-FR" w:eastAsia="fr-FR"/>
        </w:rPr>
        <w:t xml:space="preserve"> rappel gratuit ?</w:t>
      </w:r>
    </w:p>
    <w:bookmarkEnd w:id="5"/>
    <w:p w14:paraId="1B598660" w14:textId="48E8C115" w:rsidR="00737D3B" w:rsidRPr="00CB40BE" w:rsidRDefault="00737D3B" w:rsidP="4F9431BD">
      <w:pPr>
        <w:pStyle w:val="Paragraphedeliste"/>
        <w:numPr>
          <w:ilvl w:val="0"/>
          <w:numId w:val="4"/>
        </w:numPr>
        <w:spacing w:before="120" w:after="0" w:line="240" w:lineRule="auto"/>
        <w:jc w:val="both"/>
        <w:rPr>
          <w:rFonts w:ascii="Century Gothic" w:hAnsi="Century Gothic"/>
        </w:rPr>
      </w:pPr>
      <w:r w:rsidRPr="4F9431BD">
        <w:rPr>
          <w:rFonts w:ascii="Century Gothic" w:hAnsi="Century Gothic"/>
        </w:rPr>
        <w:t>Lorsque le consommateur n'a pas payé sa dette à l'échéance et qu'une clause indemnitaire est d'application, cette clause ne peut s'appliquer qu'après l'envoi d'une mise en demeure qui prend la forme d'un premier rappel et après l'écoulement d'un délai d'au moins 14 jours calendrier, qui prend cours le troisième jour ouvrable qui suit celui où le rappel est envoyé au consommateur (art.XIX.</w:t>
      </w:r>
      <w:r w:rsidR="025224AC" w:rsidRPr="4F9431BD">
        <w:rPr>
          <w:rFonts w:ascii="Century Gothic" w:hAnsi="Century Gothic"/>
        </w:rPr>
        <w:t>2. §</w:t>
      </w:r>
      <w:r w:rsidRPr="4F9431BD">
        <w:rPr>
          <w:rFonts w:ascii="Century Gothic" w:hAnsi="Century Gothic"/>
        </w:rPr>
        <w:t>1</w:t>
      </w:r>
      <w:r w:rsidRPr="4F9431BD">
        <w:rPr>
          <w:rFonts w:ascii="Century Gothic" w:hAnsi="Century Gothic"/>
          <w:vertAlign w:val="superscript"/>
        </w:rPr>
        <w:t>er</w:t>
      </w:r>
      <w:r w:rsidRPr="4F9431BD">
        <w:rPr>
          <w:rFonts w:ascii="Century Gothic" w:hAnsi="Century Gothic"/>
        </w:rPr>
        <w:t xml:space="preserve"> </w:t>
      </w:r>
      <w:r w:rsidR="00EE00DA" w:rsidRPr="4F9431BD">
        <w:rPr>
          <w:rFonts w:ascii="Century Gothic" w:hAnsi="Century Gothic"/>
        </w:rPr>
        <w:t>du CDE</w:t>
      </w:r>
      <w:r w:rsidRPr="4F9431BD">
        <w:rPr>
          <w:rFonts w:ascii="Century Gothic" w:hAnsi="Century Gothic"/>
        </w:rPr>
        <w:t>). Lorsque le rappel est envoyé par voie électronique, le délai de quatorze jours calendrier prend cours le jour calendrier qui suit celui où le rappel est envoyé au consommateur ;</w:t>
      </w:r>
    </w:p>
    <w:p w14:paraId="5484E026" w14:textId="77777777" w:rsidR="00737D3B" w:rsidRPr="00CB40BE" w:rsidRDefault="00737D3B" w:rsidP="00CB40BE">
      <w:pPr>
        <w:pStyle w:val="Paragraphedeliste"/>
        <w:numPr>
          <w:ilvl w:val="0"/>
          <w:numId w:val="4"/>
        </w:numPr>
        <w:spacing w:before="120" w:after="0" w:line="240" w:lineRule="auto"/>
        <w:ind w:left="714" w:hanging="357"/>
        <w:contextualSpacing w:val="0"/>
        <w:jc w:val="both"/>
        <w:rPr>
          <w:rFonts w:ascii="Century Gothic" w:hAnsi="Century Gothic" w:cstheme="minorHAnsi"/>
        </w:rPr>
      </w:pPr>
      <w:r w:rsidRPr="00CB40BE">
        <w:rPr>
          <w:rFonts w:ascii="Century Gothic" w:hAnsi="Century Gothic" w:cstheme="minorHAnsi"/>
          <w:b/>
          <w:bCs/>
        </w:rPr>
        <w:t>Aucun frais</w:t>
      </w:r>
      <w:r w:rsidRPr="00CB40BE">
        <w:rPr>
          <w:rFonts w:ascii="Century Gothic" w:hAnsi="Century Gothic" w:cstheme="minorHAnsi"/>
        </w:rPr>
        <w:t xml:space="preserve"> ne peut être facturé au consommateur </w:t>
      </w:r>
      <w:r w:rsidRPr="00CB40BE">
        <w:rPr>
          <w:rFonts w:ascii="Century Gothic" w:hAnsi="Century Gothic" w:cstheme="minorHAnsi"/>
          <w:b/>
          <w:bCs/>
        </w:rPr>
        <w:t>pour le premier rappel</w:t>
      </w:r>
      <w:r w:rsidRPr="00CB40BE">
        <w:rPr>
          <w:rFonts w:ascii="Century Gothic" w:hAnsi="Century Gothic" w:cstheme="minorHAnsi"/>
        </w:rPr>
        <w:t xml:space="preserve"> lié à une échéance impayée ;</w:t>
      </w:r>
    </w:p>
    <w:p w14:paraId="483A9EF9" w14:textId="5297F569" w:rsidR="00737D3B" w:rsidRPr="00CB40BE" w:rsidRDefault="00737D3B" w:rsidP="00CB40BE">
      <w:pPr>
        <w:pStyle w:val="Paragraphedeliste"/>
        <w:numPr>
          <w:ilvl w:val="0"/>
          <w:numId w:val="4"/>
        </w:numPr>
        <w:spacing w:before="120" w:after="0" w:line="240" w:lineRule="auto"/>
        <w:ind w:left="714" w:hanging="357"/>
        <w:contextualSpacing w:val="0"/>
        <w:jc w:val="both"/>
        <w:rPr>
          <w:rFonts w:ascii="Century Gothic" w:hAnsi="Century Gothic" w:cstheme="minorHAnsi"/>
        </w:rPr>
      </w:pPr>
      <w:r w:rsidRPr="00CB40BE">
        <w:rPr>
          <w:rFonts w:ascii="Century Gothic" w:hAnsi="Century Gothic" w:cstheme="minorHAnsi"/>
          <w:b/>
          <w:bCs/>
        </w:rPr>
        <w:t>Le premier rappel doit contenir au minimum les mentions suivantes</w:t>
      </w:r>
      <w:r w:rsidRPr="00CB40BE">
        <w:rPr>
          <w:rFonts w:ascii="Century Gothic" w:hAnsi="Century Gothic" w:cstheme="minorHAnsi"/>
        </w:rPr>
        <w:t xml:space="preserve"> (</w:t>
      </w:r>
      <w:bookmarkStart w:id="6" w:name="_Hlk144814362"/>
      <w:r w:rsidRPr="00CB40BE">
        <w:rPr>
          <w:rFonts w:ascii="Century Gothic" w:hAnsi="Century Gothic" w:cstheme="minorHAnsi"/>
        </w:rPr>
        <w:t>art. XIX.2., § 3</w:t>
      </w:r>
      <w:r w:rsidR="007709E0">
        <w:rPr>
          <w:rFonts w:ascii="Century Gothic" w:hAnsi="Century Gothic" w:cstheme="minorHAnsi"/>
        </w:rPr>
        <w:t xml:space="preserve"> du CDE</w:t>
      </w:r>
      <w:bookmarkEnd w:id="6"/>
      <w:r w:rsidRPr="00CB40BE">
        <w:rPr>
          <w:rFonts w:ascii="Century Gothic" w:hAnsi="Century Gothic" w:cstheme="minorHAnsi"/>
        </w:rPr>
        <w:t>) :</w:t>
      </w:r>
    </w:p>
    <w:p w14:paraId="0BF19C96" w14:textId="2BFA015C" w:rsidR="00737D3B" w:rsidRPr="00CB40BE" w:rsidRDefault="00737D3B" w:rsidP="4F9431BD">
      <w:pPr>
        <w:pStyle w:val="Paragraphedeliste"/>
        <w:numPr>
          <w:ilvl w:val="0"/>
          <w:numId w:val="3"/>
        </w:numPr>
        <w:spacing w:after="0" w:line="240" w:lineRule="auto"/>
        <w:jc w:val="both"/>
        <w:rPr>
          <w:rFonts w:ascii="Century Gothic" w:hAnsi="Century Gothic"/>
        </w:rPr>
      </w:pPr>
      <w:r w:rsidRPr="4F9431BD">
        <w:rPr>
          <w:rFonts w:ascii="Century Gothic" w:hAnsi="Century Gothic"/>
        </w:rPr>
        <w:lastRenderedPageBreak/>
        <w:t>le montant restant dû et le montant de la clause indemnitaire qui sera réclamée en cas de non-paiement dans le délai de 14 jours calendrier ;</w:t>
      </w:r>
    </w:p>
    <w:p w14:paraId="4C879188" w14:textId="77777777" w:rsidR="00156CA7" w:rsidRDefault="00737D3B" w:rsidP="4F9431BD">
      <w:pPr>
        <w:pStyle w:val="Paragraphedeliste"/>
        <w:numPr>
          <w:ilvl w:val="0"/>
          <w:numId w:val="3"/>
        </w:numPr>
        <w:spacing w:after="0" w:line="240" w:lineRule="auto"/>
        <w:jc w:val="both"/>
        <w:rPr>
          <w:rFonts w:ascii="Century Gothic" w:hAnsi="Century Gothic"/>
        </w:rPr>
      </w:pPr>
      <w:r w:rsidRPr="4F9431BD">
        <w:rPr>
          <w:rFonts w:ascii="Century Gothic" w:hAnsi="Century Gothic"/>
        </w:rPr>
        <w:t>le nom ou la dénomination et le numéro d'entreprise de l'entreprise créancière, en l'occurrence l'entité locale concernée ;</w:t>
      </w:r>
    </w:p>
    <w:p w14:paraId="4F10F012" w14:textId="677515F6" w:rsidR="00737D3B" w:rsidRPr="00CB40BE" w:rsidRDefault="00737D3B" w:rsidP="4F9431BD">
      <w:pPr>
        <w:pStyle w:val="Paragraphedeliste"/>
        <w:numPr>
          <w:ilvl w:val="0"/>
          <w:numId w:val="3"/>
        </w:numPr>
        <w:spacing w:after="0" w:line="240" w:lineRule="auto"/>
        <w:jc w:val="both"/>
        <w:rPr>
          <w:rFonts w:ascii="Century Gothic" w:hAnsi="Century Gothic"/>
        </w:rPr>
      </w:pPr>
      <w:r w:rsidRPr="4F9431BD">
        <w:rPr>
          <w:rFonts w:ascii="Century Gothic" w:hAnsi="Century Gothic"/>
        </w:rPr>
        <w:t>une description du produit (ou du service) qui a donné naissance à la dette, ainsi que la date d'exigibilité de celle-ci ;</w:t>
      </w:r>
    </w:p>
    <w:p w14:paraId="68DE2A93" w14:textId="2F13146C" w:rsidR="00064E34" w:rsidRDefault="00737D3B" w:rsidP="4F9431BD">
      <w:pPr>
        <w:pStyle w:val="Paragraphedeliste"/>
        <w:numPr>
          <w:ilvl w:val="0"/>
          <w:numId w:val="3"/>
        </w:numPr>
        <w:spacing w:after="0" w:line="240" w:lineRule="auto"/>
        <w:jc w:val="both"/>
        <w:rPr>
          <w:rFonts w:ascii="Century Gothic" w:hAnsi="Century Gothic"/>
        </w:rPr>
      </w:pPr>
      <w:r w:rsidRPr="4F9431BD">
        <w:rPr>
          <w:rFonts w:ascii="Century Gothic" w:hAnsi="Century Gothic"/>
        </w:rPr>
        <w:t>le délai de 14 jours dans lequel la dette doit être payée avant que tout frais, intérêt et indemnité (v. ci-après) ne soient réclamés.</w:t>
      </w:r>
    </w:p>
    <w:p w14:paraId="1E42B275" w14:textId="77777777" w:rsidR="00D84E3A" w:rsidRDefault="00D84E3A" w:rsidP="4F9431BD">
      <w:pPr>
        <w:spacing w:after="0" w:line="240" w:lineRule="auto"/>
        <w:jc w:val="both"/>
        <w:rPr>
          <w:rFonts w:ascii="Century Gothic" w:hAnsi="Century Gothic"/>
        </w:rPr>
      </w:pPr>
    </w:p>
    <w:p w14:paraId="0153A983" w14:textId="77777777" w:rsidR="00BE69D2" w:rsidRDefault="00B66F85" w:rsidP="4F9431BD">
      <w:pPr>
        <w:spacing w:after="0" w:line="240" w:lineRule="auto"/>
        <w:jc w:val="both"/>
        <w:rPr>
          <w:rFonts w:ascii="Century Gothic" w:hAnsi="Century Gothic"/>
        </w:rPr>
      </w:pPr>
      <w:r w:rsidRPr="4F9431BD">
        <w:rPr>
          <w:rFonts w:ascii="Century Gothic" w:hAnsi="Century Gothic"/>
        </w:rPr>
        <w:t xml:space="preserve">Autrement dit, </w:t>
      </w:r>
      <w:r w:rsidR="00D84E3A" w:rsidRPr="4F9431BD">
        <w:rPr>
          <w:rFonts w:ascii="Century Gothic" w:hAnsi="Century Gothic"/>
        </w:rPr>
        <w:t>p</w:t>
      </w:r>
      <w:r w:rsidR="002C7847" w:rsidRPr="4F9431BD">
        <w:rPr>
          <w:rFonts w:ascii="Century Gothic" w:hAnsi="Century Gothic"/>
        </w:rPr>
        <w:t xml:space="preserve">our permettre </w:t>
      </w:r>
      <w:r w:rsidR="00D84E3A" w:rsidRPr="4F9431BD">
        <w:rPr>
          <w:rFonts w:ascii="Century Gothic" w:hAnsi="Century Gothic"/>
        </w:rPr>
        <w:t xml:space="preserve">au débiteur </w:t>
      </w:r>
      <w:r w:rsidR="002C7847" w:rsidRPr="4F9431BD">
        <w:rPr>
          <w:rFonts w:ascii="Century Gothic" w:hAnsi="Century Gothic"/>
        </w:rPr>
        <w:t xml:space="preserve">de se mettre en ordre sans subir immédiatement les effets d’une clause indemnitaire, il dispose d’un délai de </w:t>
      </w:r>
      <w:r w:rsidR="00D84E3A" w:rsidRPr="4F9431BD">
        <w:rPr>
          <w:rFonts w:ascii="Century Gothic" w:hAnsi="Century Gothic"/>
        </w:rPr>
        <w:t>14</w:t>
      </w:r>
      <w:r w:rsidR="002C7847" w:rsidRPr="4F9431BD">
        <w:rPr>
          <w:rFonts w:ascii="Century Gothic" w:hAnsi="Century Gothic"/>
        </w:rPr>
        <w:t xml:space="preserve"> jours calendrier</w:t>
      </w:r>
      <w:r w:rsidR="00D84E3A" w:rsidRPr="4F9431BD">
        <w:rPr>
          <w:rFonts w:ascii="Century Gothic" w:hAnsi="Century Gothic"/>
        </w:rPr>
        <w:t xml:space="preserve">, lui permettant de </w:t>
      </w:r>
      <w:r w:rsidR="002C7847" w:rsidRPr="4F9431BD">
        <w:rPr>
          <w:rFonts w:ascii="Century Gothic" w:hAnsi="Century Gothic"/>
        </w:rPr>
        <w:t xml:space="preserve">vérifier l’exactitude du montant réclamé, </w:t>
      </w:r>
      <w:r w:rsidR="00BE69D2" w:rsidRPr="4F9431BD">
        <w:rPr>
          <w:rFonts w:ascii="Century Gothic" w:hAnsi="Century Gothic"/>
        </w:rPr>
        <w:t xml:space="preserve">de </w:t>
      </w:r>
      <w:r w:rsidR="002C7847" w:rsidRPr="4F9431BD">
        <w:rPr>
          <w:rFonts w:ascii="Century Gothic" w:hAnsi="Century Gothic"/>
        </w:rPr>
        <w:t xml:space="preserve">le payer ou, au contraire, </w:t>
      </w:r>
      <w:r w:rsidR="00BE69D2" w:rsidRPr="4F9431BD">
        <w:rPr>
          <w:rFonts w:ascii="Century Gothic" w:hAnsi="Century Gothic"/>
        </w:rPr>
        <w:t xml:space="preserve">de </w:t>
      </w:r>
      <w:r w:rsidR="002C7847" w:rsidRPr="4F9431BD">
        <w:rPr>
          <w:rFonts w:ascii="Century Gothic" w:hAnsi="Century Gothic"/>
        </w:rPr>
        <w:t xml:space="preserve">le contester. </w:t>
      </w:r>
    </w:p>
    <w:p w14:paraId="53D1231A" w14:textId="77777777" w:rsidR="00BE69D2" w:rsidRDefault="00BE69D2" w:rsidP="4F9431BD">
      <w:pPr>
        <w:spacing w:after="0" w:line="240" w:lineRule="auto"/>
        <w:jc w:val="both"/>
        <w:rPr>
          <w:rFonts w:ascii="Century Gothic" w:hAnsi="Century Gothic"/>
        </w:rPr>
      </w:pPr>
    </w:p>
    <w:p w14:paraId="660BD193" w14:textId="4793DA9F" w:rsidR="00064E34" w:rsidRPr="00064E34" w:rsidRDefault="002C7847" w:rsidP="4F9431BD">
      <w:pPr>
        <w:spacing w:after="0" w:line="240" w:lineRule="auto"/>
        <w:jc w:val="both"/>
        <w:rPr>
          <w:rFonts w:ascii="Century Gothic" w:hAnsi="Century Gothic"/>
        </w:rPr>
      </w:pPr>
      <w:r w:rsidRPr="4F9431BD">
        <w:rPr>
          <w:rFonts w:ascii="Century Gothic" w:hAnsi="Century Gothic"/>
        </w:rPr>
        <w:t xml:space="preserve">C’est </w:t>
      </w:r>
      <w:r w:rsidR="00BE69D2" w:rsidRPr="4F9431BD">
        <w:rPr>
          <w:rFonts w:ascii="Century Gothic" w:hAnsi="Century Gothic"/>
        </w:rPr>
        <w:t>au créancier</w:t>
      </w:r>
      <w:r w:rsidRPr="4F9431BD">
        <w:rPr>
          <w:rFonts w:ascii="Century Gothic" w:hAnsi="Century Gothic"/>
        </w:rPr>
        <w:t xml:space="preserve"> que revient la charge de la preuve de l’envoi de ce premier rappel gratuit et du respect de ce délai </w:t>
      </w:r>
      <w:r w:rsidR="004C67A9" w:rsidRPr="4F9431BD">
        <w:rPr>
          <w:rFonts w:ascii="Century Gothic" w:hAnsi="Century Gothic"/>
        </w:rPr>
        <w:t>de 14</w:t>
      </w:r>
      <w:r w:rsidRPr="4F9431BD">
        <w:rPr>
          <w:rFonts w:ascii="Century Gothic" w:hAnsi="Century Gothic"/>
        </w:rPr>
        <w:t xml:space="preserve"> jours calendrier. Selon le droit commun, une facture</w:t>
      </w:r>
      <w:r w:rsidR="004C67A9" w:rsidRPr="4F9431BD">
        <w:rPr>
          <w:rFonts w:ascii="Century Gothic" w:hAnsi="Century Gothic"/>
        </w:rPr>
        <w:t xml:space="preserve"> (ou invitation à payer)</w:t>
      </w:r>
      <w:r w:rsidRPr="4F9431BD">
        <w:rPr>
          <w:rFonts w:ascii="Century Gothic" w:hAnsi="Century Gothic"/>
        </w:rPr>
        <w:t xml:space="preserve"> produit ses effets à la date de sa réception par le consommateur</w:t>
      </w:r>
      <w:r w:rsidR="001B7CFA" w:rsidRPr="4F9431BD">
        <w:rPr>
          <w:rFonts w:ascii="Century Gothic" w:hAnsi="Century Gothic"/>
        </w:rPr>
        <w:t> ; c</w:t>
      </w:r>
      <w:r w:rsidRPr="4F9431BD">
        <w:rPr>
          <w:rFonts w:ascii="Century Gothic" w:hAnsi="Century Gothic"/>
        </w:rPr>
        <w:t>’est donc</w:t>
      </w:r>
      <w:r w:rsidR="001B7CFA" w:rsidRPr="4F9431BD">
        <w:rPr>
          <w:rFonts w:ascii="Century Gothic" w:hAnsi="Century Gothic"/>
        </w:rPr>
        <w:t xml:space="preserve"> en principe</w:t>
      </w:r>
      <w:r w:rsidRPr="4F9431BD">
        <w:rPr>
          <w:rFonts w:ascii="Century Gothic" w:hAnsi="Century Gothic"/>
        </w:rPr>
        <w:t xml:space="preserve"> à l’entreprise d’apporter la preuve que le consommateur a bien reçu la facture. </w:t>
      </w:r>
      <w:r w:rsidR="001B7CFA" w:rsidRPr="4F9431BD">
        <w:rPr>
          <w:rFonts w:ascii="Century Gothic" w:hAnsi="Century Gothic"/>
        </w:rPr>
        <w:t>En l’occurrence, i</w:t>
      </w:r>
      <w:r w:rsidRPr="4F9431BD">
        <w:rPr>
          <w:rFonts w:ascii="Century Gothic" w:hAnsi="Century Gothic"/>
        </w:rPr>
        <w:t xml:space="preserve">l a </w:t>
      </w:r>
      <w:r w:rsidR="001B7CFA" w:rsidRPr="4F9431BD">
        <w:rPr>
          <w:rFonts w:ascii="Century Gothic" w:hAnsi="Century Gothic"/>
        </w:rPr>
        <w:t xml:space="preserve">néanmoins </w:t>
      </w:r>
      <w:r w:rsidRPr="4F9431BD">
        <w:rPr>
          <w:rFonts w:ascii="Century Gothic" w:hAnsi="Century Gothic"/>
        </w:rPr>
        <w:t>été décidé de ne pas imposer à l’entreprise la charge de prouver la réception de ce rappel</w:t>
      </w:r>
      <w:r w:rsidR="00EF5276" w:rsidRPr="4F9431BD">
        <w:rPr>
          <w:rFonts w:ascii="Century Gothic" w:hAnsi="Century Gothic"/>
        </w:rPr>
        <w:t>,</w:t>
      </w:r>
      <w:r w:rsidRPr="4F9431BD">
        <w:rPr>
          <w:rFonts w:ascii="Century Gothic" w:hAnsi="Century Gothic"/>
        </w:rPr>
        <w:t xml:space="preserve"> mais simplement celle d’en prouver l’envoi.</w:t>
      </w:r>
    </w:p>
    <w:p w14:paraId="0C0C10D0" w14:textId="0C6DF8A5" w:rsidR="00737D3B" w:rsidRDefault="00737D3B" w:rsidP="4F9431BD">
      <w:pPr>
        <w:spacing w:after="0" w:line="240" w:lineRule="auto"/>
        <w:jc w:val="both"/>
        <w:rPr>
          <w:rFonts w:ascii="Century Gothic" w:hAnsi="Century Gothic"/>
        </w:rPr>
      </w:pPr>
    </w:p>
    <w:p w14:paraId="71E89958" w14:textId="77777777" w:rsidR="00E56E6A" w:rsidRPr="00EF5276" w:rsidRDefault="00E56E6A" w:rsidP="4F9431BD">
      <w:pPr>
        <w:spacing w:after="0" w:line="240" w:lineRule="auto"/>
        <w:jc w:val="both"/>
        <w:rPr>
          <w:rFonts w:ascii="Century Gothic" w:hAnsi="Century Gothic"/>
        </w:rPr>
      </w:pPr>
    </w:p>
    <w:p w14:paraId="76F21E99" w14:textId="77777777" w:rsidR="00091331" w:rsidRDefault="00091331" w:rsidP="00CB40BE">
      <w:pPr>
        <w:spacing w:after="0" w:line="240" w:lineRule="auto"/>
        <w:jc w:val="both"/>
        <w:rPr>
          <w:rFonts w:ascii="Century Gothic" w:hAnsi="Century Gothic" w:cstheme="minorHAnsi"/>
          <w:b/>
          <w:bCs/>
        </w:rPr>
      </w:pPr>
    </w:p>
    <w:p w14:paraId="3F7A2587" w14:textId="6ED6339D" w:rsidR="00737D3B" w:rsidRPr="00CB40BE" w:rsidRDefault="005253F4" w:rsidP="4F9431BD">
      <w:pPr>
        <w:spacing w:after="0" w:line="240" w:lineRule="auto"/>
        <w:jc w:val="both"/>
        <w:rPr>
          <w:rFonts w:ascii="Century Gothic" w:hAnsi="Century Gothic"/>
          <w:b/>
          <w:bCs/>
        </w:rPr>
      </w:pPr>
      <w:r w:rsidRPr="4F9431BD">
        <w:rPr>
          <w:rFonts w:ascii="Century Gothic" w:hAnsi="Century Gothic"/>
          <w:b/>
          <w:bCs/>
        </w:rPr>
        <w:t xml:space="preserve">12. </w:t>
      </w:r>
      <w:r w:rsidR="00737D3B" w:rsidRPr="4F9431BD">
        <w:rPr>
          <w:rFonts w:ascii="Century Gothic" w:hAnsi="Century Gothic"/>
          <w:b/>
          <w:bCs/>
        </w:rPr>
        <w:t>Quel rappel est concerné par l</w:t>
      </w:r>
      <w:r w:rsidR="00156CA7" w:rsidRPr="4F9431BD">
        <w:rPr>
          <w:rFonts w:ascii="Century Gothic" w:hAnsi="Century Gothic"/>
          <w:b/>
          <w:bCs/>
        </w:rPr>
        <w:t>a limite de</w:t>
      </w:r>
      <w:r w:rsidR="00737D3B" w:rsidRPr="4F9431BD">
        <w:rPr>
          <w:rFonts w:ascii="Century Gothic" w:hAnsi="Century Gothic"/>
          <w:b/>
          <w:bCs/>
        </w:rPr>
        <w:t xml:space="preserve"> 7,50 euros prévu</w:t>
      </w:r>
      <w:r w:rsidR="00156CA7" w:rsidRPr="4F9431BD">
        <w:rPr>
          <w:rFonts w:ascii="Century Gothic" w:hAnsi="Century Gothic"/>
          <w:b/>
          <w:bCs/>
        </w:rPr>
        <w:t>e</w:t>
      </w:r>
      <w:r w:rsidR="00737D3B" w:rsidRPr="4F9431BD">
        <w:rPr>
          <w:rFonts w:ascii="Century Gothic" w:hAnsi="Century Gothic"/>
          <w:b/>
          <w:bCs/>
        </w:rPr>
        <w:t xml:space="preserve"> à l’article XIX.2 §2 alinéa 2 du CDE ?</w:t>
      </w:r>
    </w:p>
    <w:p w14:paraId="7F680219" w14:textId="77777777" w:rsidR="00AD2060" w:rsidRDefault="00AD2060" w:rsidP="00CB40BE">
      <w:pPr>
        <w:jc w:val="both"/>
        <w:rPr>
          <w:rFonts w:ascii="Century Gothic" w:hAnsi="Century Gothic"/>
        </w:rPr>
      </w:pPr>
    </w:p>
    <w:p w14:paraId="0F54960A" w14:textId="7A53E43D" w:rsidR="00737D3B" w:rsidRDefault="00737D3B" w:rsidP="00CB40BE">
      <w:pPr>
        <w:jc w:val="both"/>
        <w:rPr>
          <w:rFonts w:ascii="Century Gothic" w:hAnsi="Century Gothic"/>
        </w:rPr>
      </w:pPr>
      <w:r w:rsidRPr="4F9431BD">
        <w:rPr>
          <w:rFonts w:ascii="Century Gothic" w:hAnsi="Century Gothic"/>
        </w:rPr>
        <w:t xml:space="preserve">L’alinéa 2 de cet article XIX.2 §2 </w:t>
      </w:r>
      <w:r w:rsidR="00D666BC" w:rsidRPr="4F9431BD">
        <w:rPr>
          <w:rFonts w:ascii="Century Gothic" w:hAnsi="Century Gothic"/>
        </w:rPr>
        <w:t xml:space="preserve">du CDE </w:t>
      </w:r>
      <w:r w:rsidRPr="4F9431BD">
        <w:rPr>
          <w:rFonts w:ascii="Century Gothic" w:hAnsi="Century Gothic"/>
        </w:rPr>
        <w:t xml:space="preserve">s’applique uniquement lorsque le contrat porte sur la livraison régulière de biens ou de services. Ainsi, le montant maximum de 7,50 euros, augmentés des frais postaux en vigueur au moment de l’envoi, s’applique </w:t>
      </w:r>
      <w:r w:rsidR="00162727" w:rsidRPr="4F9431BD">
        <w:rPr>
          <w:rFonts w:ascii="Century Gothic" w:hAnsi="Century Gothic"/>
        </w:rPr>
        <w:t xml:space="preserve">seulement </w:t>
      </w:r>
      <w:r w:rsidRPr="4F9431BD">
        <w:rPr>
          <w:rFonts w:ascii="Century Gothic" w:hAnsi="Century Gothic"/>
        </w:rPr>
        <w:t>après l’envoi de trois rappels gratuits portant sur des échéances différentes</w:t>
      </w:r>
      <w:r w:rsidR="00F31514" w:rsidRPr="4F9431BD">
        <w:rPr>
          <w:rFonts w:ascii="Century Gothic" w:hAnsi="Century Gothic"/>
        </w:rPr>
        <w:t xml:space="preserve">, </w:t>
      </w:r>
      <w:r w:rsidR="00B836BD" w:rsidRPr="4F9431BD">
        <w:rPr>
          <w:rFonts w:ascii="Century Gothic" w:hAnsi="Century Gothic"/>
        </w:rPr>
        <w:t xml:space="preserve">et ce </w:t>
      </w:r>
      <w:r w:rsidR="00F31514" w:rsidRPr="4F9431BD">
        <w:rPr>
          <w:rFonts w:ascii="Century Gothic" w:hAnsi="Century Gothic"/>
        </w:rPr>
        <w:t>sur une année</w:t>
      </w:r>
      <w:r w:rsidRPr="4F9431BD">
        <w:rPr>
          <w:rFonts w:ascii="Century Gothic" w:hAnsi="Century Gothic"/>
        </w:rPr>
        <w:t>.</w:t>
      </w:r>
    </w:p>
    <w:p w14:paraId="7E784F43" w14:textId="74C24858" w:rsidR="003878D0" w:rsidRPr="00CB40BE" w:rsidRDefault="003878D0" w:rsidP="003878D0">
      <w:pPr>
        <w:jc w:val="both"/>
        <w:rPr>
          <w:rFonts w:ascii="Century Gothic" w:hAnsi="Century Gothic"/>
        </w:rPr>
      </w:pPr>
      <w:r w:rsidRPr="4F9431BD">
        <w:rPr>
          <w:rFonts w:ascii="Century Gothic" w:hAnsi="Century Gothic"/>
        </w:rPr>
        <w:t xml:space="preserve">Ainsi, pour ne pas obliger le créancier à envoyer un rappel gratuit tous les mois s’il a à faire à un </w:t>
      </w:r>
      <w:r w:rsidR="0070225A" w:rsidRPr="4F9431BD">
        <w:rPr>
          <w:rFonts w:ascii="Century Gothic" w:hAnsi="Century Gothic"/>
        </w:rPr>
        <w:t>débiteur</w:t>
      </w:r>
      <w:r w:rsidRPr="4F9431BD">
        <w:rPr>
          <w:rFonts w:ascii="Century Gothic" w:hAnsi="Century Gothic"/>
        </w:rPr>
        <w:t xml:space="preserve"> qui paie systématiquement en retard, il est prévu, lorsque le contrat porte sur la livraison régulière de biens ou de services, que seuls les rappels liés à trois échéances impayées en un an sont gratuits. Cela signifie que dans l’historique du dossier, trois retards de paiement accusés par le consommateur ne peuvent être sanctionnés par aucun frais de rappel. À partir du quatrième retard de paiement, l’entreprise peut facturer les frais de rappel.</w:t>
      </w:r>
    </w:p>
    <w:p w14:paraId="716EEB48" w14:textId="2DBEC74D" w:rsidR="00737D3B" w:rsidRPr="00CB40BE" w:rsidRDefault="00737D3B" w:rsidP="00CB40BE">
      <w:pPr>
        <w:jc w:val="both"/>
        <w:rPr>
          <w:rFonts w:ascii="Century Gothic" w:hAnsi="Century Gothic"/>
        </w:rPr>
      </w:pPr>
      <w:r w:rsidRPr="00CB40BE">
        <w:rPr>
          <w:rFonts w:ascii="Century Gothic" w:hAnsi="Century Gothic"/>
        </w:rPr>
        <w:t xml:space="preserve">Autrement dit, l’article XIX.2 § 2 </w:t>
      </w:r>
      <w:bookmarkStart w:id="7" w:name="_Int_Zu9xMJN8"/>
      <w:r w:rsidRPr="00CB40BE">
        <w:rPr>
          <w:rFonts w:ascii="Century Gothic" w:hAnsi="Century Gothic"/>
        </w:rPr>
        <w:t>alinéa</w:t>
      </w:r>
      <w:bookmarkEnd w:id="7"/>
      <w:r w:rsidRPr="00CB40BE">
        <w:rPr>
          <w:rFonts w:ascii="Century Gothic" w:hAnsi="Century Gothic"/>
        </w:rPr>
        <w:t xml:space="preserve"> 2 </w:t>
      </w:r>
      <w:r w:rsidR="00D666BC">
        <w:rPr>
          <w:rFonts w:ascii="Century Gothic" w:hAnsi="Century Gothic"/>
        </w:rPr>
        <w:t xml:space="preserve">du CDE </w:t>
      </w:r>
      <w:r w:rsidRPr="00CB40BE">
        <w:rPr>
          <w:rFonts w:ascii="Century Gothic" w:hAnsi="Century Gothic"/>
        </w:rPr>
        <w:t xml:space="preserve">vise le cas où, le consommateur n’ayant </w:t>
      </w:r>
      <w:r w:rsidR="00156CA7">
        <w:rPr>
          <w:rFonts w:ascii="Century Gothic" w:hAnsi="Century Gothic"/>
        </w:rPr>
        <w:t xml:space="preserve">par exemple </w:t>
      </w:r>
      <w:r w:rsidRPr="00CB40BE">
        <w:rPr>
          <w:rFonts w:ascii="Century Gothic" w:hAnsi="Century Gothic"/>
        </w:rPr>
        <w:t xml:space="preserve">pas payé ses factures des mois de janvier, février et mars et ayant reçu un rappel distinct pour l’impayé de chacun de ces mois, il ne paie pas non plus la facture du mois d’avril. En ce cas, le livre XIX </w:t>
      </w:r>
      <w:r w:rsidR="00F556D4" w:rsidRPr="00CB40BE">
        <w:rPr>
          <w:rFonts w:ascii="Century Gothic" w:eastAsia="Times New Roman" w:hAnsi="Century Gothic" w:cs="Times New Roman"/>
          <w:color w:val="000000" w:themeColor="text1"/>
          <w:kern w:val="36"/>
          <w:lang w:val="fr-FR" w:eastAsia="fr-FR"/>
        </w:rPr>
        <w:t xml:space="preserve">du </w:t>
      </w:r>
      <w:r w:rsidRPr="00CB40BE">
        <w:rPr>
          <w:rFonts w:ascii="Century Gothic" w:hAnsi="Century Gothic"/>
        </w:rPr>
        <w:t>CDE n’oblige pas que le rappel pour le mois d’avril soit gratuit, mais permet que des coûts y soient liés, qui ne peuvent toutefois être supérieurs à 7,50 euros augmentés des frais postaux en vigueur au moment de l’envoi. En effet, on est ici dans la situation où des rappels gratuits ont été envoyés à trois reprises dans le cadre d’un contrat portant sur la livraison régulière de biens ou de services.</w:t>
      </w:r>
    </w:p>
    <w:p w14:paraId="03AD0C22" w14:textId="3925E070" w:rsidR="00737D3B" w:rsidRPr="00CB40BE" w:rsidRDefault="00737D3B" w:rsidP="00CB40BE">
      <w:pPr>
        <w:jc w:val="both"/>
        <w:rPr>
          <w:rFonts w:ascii="Century Gothic" w:hAnsi="Century Gothic"/>
        </w:rPr>
      </w:pPr>
    </w:p>
    <w:p w14:paraId="7EF48491" w14:textId="2410B412" w:rsidR="00241564" w:rsidRDefault="00BE055D" w:rsidP="00EE5F68">
      <w:pPr>
        <w:spacing w:after="0" w:line="240" w:lineRule="auto"/>
        <w:jc w:val="both"/>
        <w:rPr>
          <w:rFonts w:ascii="Century Gothic" w:hAnsi="Century Gothic" w:cstheme="minorHAnsi"/>
        </w:rPr>
      </w:pPr>
      <w:r w:rsidRPr="4F9431BD">
        <w:rPr>
          <w:rFonts w:ascii="Century Gothic" w:hAnsi="Century Gothic"/>
          <w:b/>
          <w:bCs/>
        </w:rPr>
        <w:t xml:space="preserve">13. </w:t>
      </w:r>
      <w:r w:rsidR="00241564" w:rsidRPr="4F9431BD">
        <w:rPr>
          <w:rFonts w:ascii="Century Gothic" w:hAnsi="Century Gothic"/>
          <w:b/>
          <w:bCs/>
        </w:rPr>
        <w:t>Quel montant pour les clauses indemnitaires ?</w:t>
      </w:r>
    </w:p>
    <w:p w14:paraId="5EA3E48C" w14:textId="3B6B417E" w:rsidR="00522DEE" w:rsidRPr="00CB40BE" w:rsidRDefault="00522DEE" w:rsidP="00CB40BE">
      <w:pPr>
        <w:jc w:val="both"/>
        <w:rPr>
          <w:rFonts w:ascii="Century Gothic" w:hAnsi="Century Gothic" w:cstheme="minorHAnsi"/>
        </w:rPr>
      </w:pPr>
      <w:r w:rsidRPr="00CB40BE">
        <w:rPr>
          <w:rFonts w:ascii="Century Gothic" w:hAnsi="Century Gothic"/>
        </w:rPr>
        <w:t>En tout état de cause, il y a lieu d’avoir égard aux montants maximums prévus par l’article XIX.4</w:t>
      </w:r>
      <w:r w:rsidRPr="00D666BC">
        <w:rPr>
          <w:rFonts w:ascii="Century Gothic" w:hAnsi="Century Gothic"/>
        </w:rPr>
        <w:t xml:space="preserve"> </w:t>
      </w:r>
      <w:r>
        <w:rPr>
          <w:rFonts w:ascii="Century Gothic" w:hAnsi="Century Gothic"/>
        </w:rPr>
        <w:t>du CDE.</w:t>
      </w:r>
      <w:r w:rsidRPr="00CB40BE">
        <w:rPr>
          <w:rFonts w:ascii="Century Gothic" w:hAnsi="Century Gothic"/>
        </w:rPr>
        <w:t xml:space="preserve"> Ces montants constituent des maximums absolus. S’il est donc possible de prévoir d’autres rappels payants, après le premier rappel gratuit, </w:t>
      </w:r>
      <w:r w:rsidRPr="00CB40BE">
        <w:rPr>
          <w:rFonts w:ascii="Century Gothic" w:hAnsi="Century Gothic"/>
          <w:u w:val="single"/>
        </w:rPr>
        <w:t>les montants de ceux-ci et de tous les autres frais prévus doivent respecter les montants maximums prévus par l’article XIX.4</w:t>
      </w:r>
      <w:r w:rsidRPr="00CB40BE">
        <w:rPr>
          <w:rFonts w:ascii="Century Gothic" w:hAnsi="Century Gothic"/>
        </w:rPr>
        <w:t>.</w:t>
      </w:r>
    </w:p>
    <w:p w14:paraId="58C176D8" w14:textId="07B66FC9" w:rsidR="00241564" w:rsidRPr="00CB40BE" w:rsidRDefault="001A4831" w:rsidP="00CB40BE">
      <w:pPr>
        <w:jc w:val="both"/>
        <w:rPr>
          <w:rFonts w:ascii="Century Gothic" w:hAnsi="Century Gothic" w:cstheme="minorHAnsi"/>
        </w:rPr>
      </w:pPr>
      <w:r>
        <w:rPr>
          <w:rFonts w:ascii="Century Gothic" w:hAnsi="Century Gothic" w:cstheme="minorHAnsi"/>
        </w:rPr>
        <w:t>Celui-ci</w:t>
      </w:r>
      <w:r w:rsidR="00D76587" w:rsidRPr="00CB40BE">
        <w:rPr>
          <w:rFonts w:ascii="Century Gothic" w:hAnsi="Century Gothic" w:cstheme="minorHAnsi"/>
        </w:rPr>
        <w:t xml:space="preserve"> prévoit </w:t>
      </w:r>
      <w:r w:rsidR="00522DEE">
        <w:rPr>
          <w:rFonts w:ascii="Century Gothic" w:hAnsi="Century Gothic" w:cstheme="minorHAnsi"/>
        </w:rPr>
        <w:t xml:space="preserve">en effet </w:t>
      </w:r>
      <w:r w:rsidR="00D76587" w:rsidRPr="00CB40BE">
        <w:rPr>
          <w:rFonts w:ascii="Century Gothic" w:hAnsi="Century Gothic" w:cstheme="minorHAnsi"/>
        </w:rPr>
        <w:t>qu’e</w:t>
      </w:r>
      <w:r w:rsidR="00241564" w:rsidRPr="00CB40BE">
        <w:rPr>
          <w:rFonts w:ascii="Century Gothic" w:hAnsi="Century Gothic" w:cstheme="minorHAnsi"/>
        </w:rPr>
        <w:t>n cas de non-paiement total ou partiel de la dette à l'expiration du délai de 14 jours, aucun paiement autre que ceux mentionnés ci-dessous ne peut être réclamé au consommateur :</w:t>
      </w:r>
    </w:p>
    <w:p w14:paraId="10F91064" w14:textId="77777777" w:rsidR="00241564" w:rsidRPr="00CB40BE" w:rsidRDefault="00241564" w:rsidP="4F9431BD">
      <w:pPr>
        <w:pStyle w:val="Paragraphedeliste"/>
        <w:numPr>
          <w:ilvl w:val="0"/>
          <w:numId w:val="3"/>
        </w:numPr>
        <w:spacing w:before="120" w:after="0" w:line="240" w:lineRule="auto"/>
        <w:ind w:left="567" w:hanging="357"/>
        <w:jc w:val="both"/>
        <w:rPr>
          <w:rFonts w:ascii="Century Gothic" w:hAnsi="Century Gothic"/>
        </w:rPr>
      </w:pPr>
      <w:r w:rsidRPr="4F9431BD">
        <w:rPr>
          <w:rFonts w:ascii="Century Gothic" w:hAnsi="Century Gothic"/>
        </w:rPr>
        <w:t xml:space="preserve">les intérêts de retard qui ne peuvent pas excéder l'intérêt au taux directeur majoré de huit points de pourcentage visé à l'article 5, alinéa 2, de la loi du 2 août 2002 concernant la lutte contre le retard de paiement dans les transactions commerciales (actuellement 10,5 % l'an). Ces intérêts sont calculés sur la somme restant à payer, </w:t>
      </w:r>
      <w:r w:rsidRPr="4F9431BD">
        <w:rPr>
          <w:rFonts w:ascii="Century Gothic" w:hAnsi="Century Gothic"/>
          <w:b/>
          <w:bCs/>
          <w:u w:val="single"/>
        </w:rPr>
        <w:t>et/ou</w:t>
      </w:r>
      <w:r w:rsidRPr="4F9431BD">
        <w:rPr>
          <w:rFonts w:ascii="Century Gothic" w:hAnsi="Century Gothic"/>
        </w:rPr>
        <w:t xml:space="preserve"> ;</w:t>
      </w:r>
    </w:p>
    <w:p w14:paraId="3DF69097" w14:textId="421BFF6E" w:rsidR="00241564" w:rsidRPr="00CB40BE" w:rsidRDefault="00241564" w:rsidP="00CB40BE">
      <w:pPr>
        <w:pStyle w:val="Paragraphedeliste"/>
        <w:numPr>
          <w:ilvl w:val="0"/>
          <w:numId w:val="3"/>
        </w:numPr>
        <w:spacing w:after="0" w:line="240" w:lineRule="auto"/>
        <w:ind w:left="567"/>
        <w:contextualSpacing w:val="0"/>
        <w:jc w:val="both"/>
        <w:rPr>
          <w:rFonts w:ascii="Century Gothic" w:hAnsi="Century Gothic" w:cstheme="minorHAnsi"/>
        </w:rPr>
      </w:pPr>
      <w:r w:rsidRPr="4F9431BD">
        <w:rPr>
          <w:rFonts w:ascii="Century Gothic" w:hAnsi="Century Gothic"/>
        </w:rPr>
        <w:t xml:space="preserve">une indemnité forfaitaire, pour autant qu'elle soit expressément prévue, dont </w:t>
      </w:r>
      <w:r w:rsidR="007709E0" w:rsidRPr="4F9431BD">
        <w:rPr>
          <w:rFonts w:ascii="Century Gothic" w:hAnsi="Century Gothic"/>
        </w:rPr>
        <w:t xml:space="preserve">le </w:t>
      </w:r>
      <w:r w:rsidRPr="4F9431BD">
        <w:rPr>
          <w:rFonts w:ascii="Century Gothic" w:hAnsi="Century Gothic"/>
        </w:rPr>
        <w:t>montant ne peut dépasser :</w:t>
      </w:r>
    </w:p>
    <w:p w14:paraId="3715B68A" w14:textId="77777777" w:rsidR="00241564" w:rsidRPr="00CB40BE" w:rsidRDefault="00241564" w:rsidP="00CB40BE">
      <w:pPr>
        <w:pStyle w:val="Paragraphedeliste"/>
        <w:numPr>
          <w:ilvl w:val="0"/>
          <w:numId w:val="5"/>
        </w:numPr>
        <w:spacing w:after="0" w:line="240" w:lineRule="auto"/>
        <w:ind w:left="993"/>
        <w:contextualSpacing w:val="0"/>
        <w:jc w:val="both"/>
        <w:rPr>
          <w:rFonts w:ascii="Century Gothic" w:hAnsi="Century Gothic" w:cstheme="minorHAnsi"/>
        </w:rPr>
      </w:pPr>
      <w:r w:rsidRPr="00CB40BE">
        <w:rPr>
          <w:rFonts w:ascii="Century Gothic" w:hAnsi="Century Gothic" w:cstheme="minorHAnsi"/>
          <w:b/>
          <w:bCs/>
        </w:rPr>
        <w:t>20 euros</w:t>
      </w:r>
      <w:r w:rsidRPr="00CB40BE">
        <w:rPr>
          <w:rFonts w:ascii="Century Gothic" w:hAnsi="Century Gothic" w:cstheme="minorHAnsi"/>
        </w:rPr>
        <w:t xml:space="preserve"> si le montant restant dû est inférieur ou égal à 150 euros ;</w:t>
      </w:r>
    </w:p>
    <w:p w14:paraId="5708A320" w14:textId="77777777" w:rsidR="00241564" w:rsidRPr="00CB40BE" w:rsidRDefault="00241564" w:rsidP="00CB40BE">
      <w:pPr>
        <w:pStyle w:val="Paragraphedeliste"/>
        <w:numPr>
          <w:ilvl w:val="0"/>
          <w:numId w:val="5"/>
        </w:numPr>
        <w:spacing w:after="0" w:line="240" w:lineRule="auto"/>
        <w:ind w:left="993"/>
        <w:contextualSpacing w:val="0"/>
        <w:jc w:val="both"/>
        <w:rPr>
          <w:rFonts w:ascii="Century Gothic" w:hAnsi="Century Gothic" w:cstheme="minorHAnsi"/>
        </w:rPr>
      </w:pPr>
      <w:r w:rsidRPr="00CB40BE">
        <w:rPr>
          <w:rFonts w:ascii="Century Gothic" w:hAnsi="Century Gothic" w:cstheme="minorHAnsi"/>
          <w:b/>
          <w:bCs/>
        </w:rPr>
        <w:t>30 euros</w:t>
      </w:r>
      <w:r w:rsidRPr="00CB40BE">
        <w:rPr>
          <w:rFonts w:ascii="Century Gothic" w:hAnsi="Century Gothic" w:cstheme="minorHAnsi"/>
        </w:rPr>
        <w:t xml:space="preserve"> augmentés de 10 % du montant dû sur la tranche comprise entre 150,01 et 500 euros si le montant restant dû est compris entre 150,01 et 500 euros ;</w:t>
      </w:r>
    </w:p>
    <w:p w14:paraId="0166D80C" w14:textId="77777777" w:rsidR="00241564" w:rsidRPr="00CB40BE" w:rsidRDefault="00241564" w:rsidP="00CB40BE">
      <w:pPr>
        <w:pStyle w:val="Paragraphedeliste"/>
        <w:numPr>
          <w:ilvl w:val="0"/>
          <w:numId w:val="5"/>
        </w:numPr>
        <w:spacing w:after="0" w:line="240" w:lineRule="auto"/>
        <w:ind w:left="993"/>
        <w:contextualSpacing w:val="0"/>
        <w:jc w:val="both"/>
        <w:rPr>
          <w:rFonts w:ascii="Century Gothic" w:hAnsi="Century Gothic" w:cstheme="minorHAnsi"/>
        </w:rPr>
      </w:pPr>
      <w:r w:rsidRPr="00CB40BE">
        <w:rPr>
          <w:rFonts w:ascii="Century Gothic" w:hAnsi="Century Gothic" w:cstheme="minorHAnsi"/>
          <w:b/>
          <w:bCs/>
        </w:rPr>
        <w:t>65 euros</w:t>
      </w:r>
      <w:r w:rsidRPr="00CB40BE">
        <w:rPr>
          <w:rFonts w:ascii="Century Gothic" w:hAnsi="Century Gothic" w:cstheme="minorHAnsi"/>
        </w:rPr>
        <w:t xml:space="preserve"> augmentés de 5 % du montant dû sur la tranche supérieure à 500 euros avec un maximum de 2000 euros si le montant restant dû est supérieur à 500 euros.</w:t>
      </w:r>
    </w:p>
    <w:p w14:paraId="617AFA88" w14:textId="6352689F" w:rsidR="00241564" w:rsidRPr="00902D77" w:rsidRDefault="00241564" w:rsidP="4F9431BD">
      <w:pPr>
        <w:spacing w:before="120"/>
        <w:jc w:val="both"/>
        <w:rPr>
          <w:rFonts w:ascii="Century Gothic" w:hAnsi="Century Gothic"/>
        </w:rPr>
      </w:pPr>
      <w:r w:rsidRPr="4F9431BD">
        <w:rPr>
          <w:rFonts w:ascii="Century Gothic" w:hAnsi="Century Gothic"/>
        </w:rPr>
        <w:t xml:space="preserve">Les montants précités sont destinés à couvrir de manière forfaitaire, d'une part, les intérêts de retard de la dette et, d'autre part, </w:t>
      </w:r>
      <w:bookmarkStart w:id="8" w:name="_Hlk144802256"/>
      <w:r w:rsidRPr="4F9431BD">
        <w:rPr>
          <w:rFonts w:ascii="Century Gothic" w:hAnsi="Century Gothic"/>
        </w:rPr>
        <w:t>tous les coûts du recouvrement amiable de la dette impayée</w:t>
      </w:r>
      <w:r w:rsidR="00D76587" w:rsidRPr="4F9431BD">
        <w:rPr>
          <w:rFonts w:ascii="Century Gothic" w:hAnsi="Century Gothic"/>
        </w:rPr>
        <w:t xml:space="preserve"> (y compris les frais de rappel)</w:t>
      </w:r>
      <w:bookmarkEnd w:id="8"/>
      <w:r w:rsidRPr="4F9431BD">
        <w:rPr>
          <w:rFonts w:ascii="Century Gothic" w:hAnsi="Century Gothic"/>
        </w:rPr>
        <w:t>. Il ne peut donc en aucun cas être réclamé au consommateur des montants supérieurs à ces montants maximaux et aucune autre indemnité ne peut lui être réclamée.</w:t>
      </w:r>
    </w:p>
    <w:p w14:paraId="5C7C22C7" w14:textId="77777777" w:rsidR="00027B3F" w:rsidRPr="00CB40BE" w:rsidRDefault="00027B3F" w:rsidP="4F9431BD">
      <w:pPr>
        <w:spacing w:after="100" w:afterAutospacing="1" w:line="240" w:lineRule="auto"/>
        <w:jc w:val="both"/>
        <w:rPr>
          <w:rFonts w:ascii="Century Gothic" w:eastAsia="Times New Roman" w:hAnsi="Century Gothic" w:cs="Times New Roman"/>
          <w:color w:val="000000" w:themeColor="text1"/>
          <w:lang w:val="fr-FR" w:eastAsia="fr-FR"/>
        </w:rPr>
      </w:pPr>
      <w:r w:rsidRPr="4F9431BD">
        <w:rPr>
          <w:rFonts w:ascii="Century Gothic" w:eastAsia="Times New Roman" w:hAnsi="Century Gothic" w:cs="Times New Roman"/>
          <w:color w:val="000000" w:themeColor="text1"/>
          <w:lang w:val="fr-FR" w:eastAsia="fr-FR"/>
        </w:rPr>
        <w:t>A noter que ces montants sont susceptibles d’être indexés tous les 4 ans.</w:t>
      </w:r>
    </w:p>
    <w:p w14:paraId="21B18945" w14:textId="75DE1C3D" w:rsidR="00D76587" w:rsidRPr="00CB40BE" w:rsidRDefault="00D76587" w:rsidP="4F9431BD">
      <w:pPr>
        <w:jc w:val="both"/>
        <w:rPr>
          <w:rFonts w:ascii="Century Gothic" w:hAnsi="Century Gothic"/>
        </w:rPr>
      </w:pPr>
      <w:r w:rsidRPr="4F9431BD">
        <w:rPr>
          <w:rFonts w:ascii="Century Gothic" w:hAnsi="Century Gothic"/>
        </w:rPr>
        <w:t>Partant, dans le cas d’une dette de 400 euros et à titre d’exemple, il convient de calculer le montant maximum de la clause indemnitaire comme suit : 30 euros + 10% de 250 euros (400-150) soit 55 euros. Ce montant forfaitaire de 55 euros inclut également les frais de rappel. Aucun frais supplémentaire de recouvrement ne peut être imputé par le recouvreur amiable de dettes.</w:t>
      </w:r>
    </w:p>
    <w:p w14:paraId="2BA1F906" w14:textId="5CA2B4FD" w:rsidR="4F9431BD" w:rsidRDefault="003A482C" w:rsidP="00EE5F68">
      <w:pPr>
        <w:spacing w:after="100" w:afterAutospacing="1" w:line="240" w:lineRule="auto"/>
        <w:jc w:val="both"/>
        <w:rPr>
          <w:rFonts w:ascii="Century Gothic" w:eastAsia="Times New Roman" w:hAnsi="Century Gothic" w:cs="Times New Roman"/>
          <w:color w:val="000000" w:themeColor="text1"/>
          <w:lang w:val="fr-FR" w:eastAsia="fr-FR"/>
        </w:rPr>
      </w:pPr>
      <w:r w:rsidRPr="4F9431BD">
        <w:rPr>
          <w:rFonts w:ascii="Century Gothic" w:hAnsi="Century Gothic"/>
          <w:color w:val="000000" w:themeColor="text1"/>
        </w:rPr>
        <w:t xml:space="preserve">Il est important de préciser que </w:t>
      </w:r>
      <w:r w:rsidRPr="4F9431BD">
        <w:rPr>
          <w:rFonts w:ascii="Century Gothic" w:hAnsi="Century Gothic"/>
          <w:color w:val="000000" w:themeColor="text1"/>
          <w:u w:val="single"/>
        </w:rPr>
        <w:t>l’indemnité forfaitaire doit être expressément prévue</w:t>
      </w:r>
      <w:r w:rsidR="00091331" w:rsidRPr="4F9431BD">
        <w:rPr>
          <w:rFonts w:ascii="Century Gothic" w:hAnsi="Century Gothic"/>
          <w:color w:val="000000" w:themeColor="text1"/>
          <w:u w:val="single"/>
        </w:rPr>
        <w:t xml:space="preserve"> dans le règlement-redevance</w:t>
      </w:r>
      <w:r w:rsidRPr="4F9431BD">
        <w:rPr>
          <w:rFonts w:ascii="Century Gothic" w:hAnsi="Century Gothic"/>
          <w:color w:val="000000" w:themeColor="text1"/>
        </w:rPr>
        <w:t>. Si une telle indemnité n’est pas prévue, alors aucun frais ne peut être réclamé au redevable.</w:t>
      </w:r>
      <w:r w:rsidR="00027B3F" w:rsidRPr="4F9431BD">
        <w:rPr>
          <w:rFonts w:ascii="Century Gothic" w:hAnsi="Century Gothic"/>
          <w:color w:val="000000" w:themeColor="text1"/>
        </w:rPr>
        <w:t xml:space="preserve"> Il </w:t>
      </w:r>
      <w:r w:rsidR="00027B3F" w:rsidRPr="4F9431BD">
        <w:rPr>
          <w:rFonts w:ascii="Century Gothic" w:eastAsia="Times New Roman" w:hAnsi="Century Gothic" w:cs="Times New Roman"/>
          <w:color w:val="000000" w:themeColor="text1"/>
          <w:lang w:val="fr-FR" w:eastAsia="fr-FR"/>
        </w:rPr>
        <w:t>revient à l’entreprise de choisir si elle souhaite prévoir l’application de seul un intérêt de retard ou de seule une indemnité forfaitaire ou des deux dans sa clause indemnitaire.</w:t>
      </w:r>
    </w:p>
    <w:p w14:paraId="056CBD51" w14:textId="3B58AC42" w:rsidR="00027B3F" w:rsidRPr="00CB40BE" w:rsidRDefault="00BE055D" w:rsidP="4F9431BD">
      <w:pPr>
        <w:spacing w:after="100" w:afterAutospacing="1" w:line="240" w:lineRule="auto"/>
        <w:jc w:val="both"/>
        <w:rPr>
          <w:rFonts w:ascii="Century Gothic" w:eastAsia="Times New Roman" w:hAnsi="Century Gothic" w:cs="Times New Roman"/>
          <w:b/>
          <w:bCs/>
          <w:color w:val="000000" w:themeColor="text1"/>
          <w:lang w:val="fr-FR" w:eastAsia="fr-FR"/>
        </w:rPr>
      </w:pPr>
      <w:r w:rsidRPr="4F9431BD">
        <w:rPr>
          <w:rFonts w:ascii="Century Gothic" w:eastAsia="Times New Roman" w:hAnsi="Century Gothic" w:cs="Times New Roman"/>
          <w:b/>
          <w:bCs/>
          <w:color w:val="000000" w:themeColor="text1"/>
          <w:lang w:val="fr-FR" w:eastAsia="fr-FR"/>
        </w:rPr>
        <w:t xml:space="preserve">14. </w:t>
      </w:r>
      <w:r w:rsidR="00027B3F" w:rsidRPr="4F9431BD">
        <w:rPr>
          <w:rFonts w:ascii="Century Gothic" w:eastAsia="Times New Roman" w:hAnsi="Century Gothic" w:cs="Times New Roman"/>
          <w:b/>
          <w:bCs/>
          <w:color w:val="000000" w:themeColor="text1"/>
          <w:lang w:val="fr-FR" w:eastAsia="fr-FR"/>
        </w:rPr>
        <w:t>Quid des clauses indemnitaires qui ne respecteraient pas les montants maximums fixés ?</w:t>
      </w:r>
    </w:p>
    <w:p w14:paraId="4B912374" w14:textId="66882083" w:rsidR="003B1136" w:rsidRPr="00CB40BE" w:rsidRDefault="003B1136" w:rsidP="4F9431BD">
      <w:pPr>
        <w:spacing w:after="100" w:afterAutospacing="1" w:line="240" w:lineRule="auto"/>
        <w:jc w:val="both"/>
        <w:rPr>
          <w:rFonts w:ascii="Century Gothic" w:eastAsia="Times New Roman" w:hAnsi="Century Gothic" w:cs="Times New Roman"/>
          <w:color w:val="000000" w:themeColor="text1"/>
          <w:lang w:val="fr-FR" w:eastAsia="fr-FR"/>
        </w:rPr>
      </w:pPr>
      <w:r w:rsidRPr="4F9431BD">
        <w:rPr>
          <w:rFonts w:ascii="Century Gothic" w:eastAsia="Times New Roman" w:hAnsi="Century Gothic" w:cs="Times New Roman"/>
          <w:color w:val="000000" w:themeColor="text1"/>
          <w:lang w:val="fr-FR" w:eastAsia="fr-FR"/>
        </w:rPr>
        <w:lastRenderedPageBreak/>
        <w:t xml:space="preserve">Les communes et autres pouvoirs locaux dont les règlements-redevances et autres tarifs ne respecteraient pas ces montants, sont invités à </w:t>
      </w:r>
      <w:r w:rsidR="007709E0" w:rsidRPr="4F9431BD">
        <w:rPr>
          <w:rFonts w:ascii="Century Gothic" w:eastAsia="Times New Roman" w:hAnsi="Century Gothic" w:cs="Times New Roman"/>
          <w:color w:val="000000" w:themeColor="text1"/>
          <w:lang w:val="fr-FR" w:eastAsia="fr-FR"/>
        </w:rPr>
        <w:t xml:space="preserve">les </w:t>
      </w:r>
      <w:r w:rsidRPr="4F9431BD">
        <w:rPr>
          <w:rFonts w:ascii="Century Gothic" w:eastAsia="Times New Roman" w:hAnsi="Century Gothic" w:cs="Times New Roman"/>
          <w:color w:val="000000" w:themeColor="text1"/>
          <w:lang w:val="fr-FR" w:eastAsia="fr-FR"/>
        </w:rPr>
        <w:t>modifier, sachant qu’en toute hypothèse sera réputée non écrite toute clause indemnitaire comportant des montants non prévus ci-avant.</w:t>
      </w:r>
      <w:r w:rsidR="00F475DB" w:rsidRPr="4F9431BD">
        <w:rPr>
          <w:rFonts w:ascii="Century Gothic" w:eastAsia="Times New Roman" w:hAnsi="Century Gothic" w:cs="Times New Roman"/>
          <w:color w:val="000000" w:themeColor="text1"/>
          <w:lang w:val="fr-FR" w:eastAsia="fr-FR"/>
        </w:rPr>
        <w:t xml:space="preserve"> Autrement dit</w:t>
      </w:r>
      <w:r w:rsidR="00722A0E" w:rsidRPr="4F9431BD">
        <w:rPr>
          <w:rFonts w:ascii="Century Gothic" w:eastAsia="Times New Roman" w:hAnsi="Century Gothic" w:cs="Times New Roman"/>
          <w:color w:val="000000" w:themeColor="text1"/>
          <w:lang w:val="fr-FR" w:eastAsia="fr-FR"/>
        </w:rPr>
        <w:t xml:space="preserve">, les montants figurant dans les règlements-redevances qui dépasseraient </w:t>
      </w:r>
      <w:r w:rsidR="00EC5853" w:rsidRPr="4F9431BD">
        <w:rPr>
          <w:rFonts w:ascii="Century Gothic" w:eastAsia="Times New Roman" w:hAnsi="Century Gothic" w:cs="Times New Roman"/>
          <w:color w:val="000000" w:themeColor="text1"/>
          <w:lang w:val="fr-FR" w:eastAsia="fr-FR"/>
        </w:rPr>
        <w:t>les maximas prévus</w:t>
      </w:r>
      <w:r w:rsidR="00A74C1E" w:rsidRPr="4F9431BD">
        <w:rPr>
          <w:rFonts w:ascii="Century Gothic" w:eastAsia="Times New Roman" w:hAnsi="Century Gothic" w:cs="Times New Roman"/>
          <w:color w:val="000000" w:themeColor="text1"/>
          <w:lang w:val="fr-FR" w:eastAsia="fr-FR"/>
        </w:rPr>
        <w:t xml:space="preserve"> </w:t>
      </w:r>
      <w:r w:rsidR="00CD2132" w:rsidRPr="4F9431BD">
        <w:rPr>
          <w:rFonts w:ascii="Century Gothic" w:eastAsia="Times New Roman" w:hAnsi="Century Gothic" w:cs="Times New Roman"/>
          <w:color w:val="000000" w:themeColor="text1"/>
          <w:lang w:val="fr-FR" w:eastAsia="fr-FR"/>
        </w:rPr>
        <w:t xml:space="preserve">par l’article XIX.4 du CDE ne seraient pas </w:t>
      </w:r>
      <w:r w:rsidR="00FD4E82" w:rsidRPr="4F9431BD">
        <w:rPr>
          <w:rFonts w:ascii="Century Gothic" w:eastAsia="Times New Roman" w:hAnsi="Century Gothic" w:cs="Times New Roman"/>
          <w:color w:val="000000" w:themeColor="text1"/>
          <w:lang w:val="fr-FR" w:eastAsia="fr-FR"/>
        </w:rPr>
        <w:t>« </w:t>
      </w:r>
      <w:r w:rsidR="00CD2132" w:rsidRPr="4F9431BD">
        <w:rPr>
          <w:rFonts w:ascii="Century Gothic" w:eastAsia="Times New Roman" w:hAnsi="Century Gothic" w:cs="Times New Roman"/>
          <w:color w:val="000000" w:themeColor="text1"/>
          <w:lang w:val="fr-FR" w:eastAsia="fr-FR"/>
        </w:rPr>
        <w:t>réduits</w:t>
      </w:r>
      <w:r w:rsidR="00FD4E82" w:rsidRPr="4F9431BD">
        <w:rPr>
          <w:rFonts w:ascii="Century Gothic" w:eastAsia="Times New Roman" w:hAnsi="Century Gothic" w:cs="Times New Roman"/>
          <w:color w:val="000000" w:themeColor="text1"/>
          <w:lang w:val="fr-FR" w:eastAsia="fr-FR"/>
        </w:rPr>
        <w:t> »</w:t>
      </w:r>
      <w:r w:rsidR="00CD2132" w:rsidRPr="4F9431BD">
        <w:rPr>
          <w:rFonts w:ascii="Century Gothic" w:eastAsia="Times New Roman" w:hAnsi="Century Gothic" w:cs="Times New Roman"/>
          <w:color w:val="000000" w:themeColor="text1"/>
          <w:lang w:val="fr-FR" w:eastAsia="fr-FR"/>
        </w:rPr>
        <w:t xml:space="preserve"> à ces derniers</w:t>
      </w:r>
      <w:r w:rsidR="00FD4E82" w:rsidRPr="4F9431BD">
        <w:rPr>
          <w:rFonts w:ascii="Century Gothic" w:eastAsia="Times New Roman" w:hAnsi="Century Gothic" w:cs="Times New Roman"/>
          <w:color w:val="000000" w:themeColor="text1"/>
          <w:lang w:val="fr-FR" w:eastAsia="fr-FR"/>
        </w:rPr>
        <w:t xml:space="preserve">, mais bel et bien inapplicables. </w:t>
      </w:r>
    </w:p>
    <w:p w14:paraId="1D92C7D7" w14:textId="01FDBB9E" w:rsidR="4F9431BD" w:rsidRDefault="003B1136" w:rsidP="00EE5F68">
      <w:pPr>
        <w:spacing w:after="100" w:afterAutospacing="1" w:line="240" w:lineRule="auto"/>
        <w:jc w:val="both"/>
        <w:rPr>
          <w:rFonts w:ascii="Century Gothic" w:eastAsia="Times New Roman" w:hAnsi="Century Gothic" w:cs="Times New Roman"/>
          <w:color w:val="000000" w:themeColor="text1"/>
          <w:lang w:val="fr-FR" w:eastAsia="fr-FR"/>
        </w:rPr>
      </w:pPr>
      <w:r w:rsidRPr="4F9431BD">
        <w:rPr>
          <w:rFonts w:ascii="Century Gothic" w:eastAsia="Times New Roman" w:hAnsi="Century Gothic" w:cs="Times New Roman"/>
          <w:color w:val="000000" w:themeColor="text1"/>
          <w:lang w:val="fr-FR" w:eastAsia="fr-FR"/>
        </w:rPr>
        <w:t>Par ailleurs, l</w:t>
      </w:r>
      <w:r w:rsidR="00A7225C" w:rsidRPr="4F9431BD">
        <w:rPr>
          <w:rFonts w:ascii="Century Gothic" w:eastAsia="Times New Roman" w:hAnsi="Century Gothic" w:cs="Times New Roman"/>
          <w:color w:val="000000" w:themeColor="text1"/>
          <w:lang w:val="fr-FR" w:eastAsia="fr-FR"/>
        </w:rPr>
        <w:t>es clauses indemnitaires qui dépassent manifestement l’étendue du préjudice susceptible d’être subi par l’entreprise sont en tout cas abusives. Autrement dit, une entreprise qui prévoirait d’emblée d’appliquer les montants maximaux cités ci-dessus ne respecterait pas forcément les règles en matière de clauses abusives, si le préjudice que ces indemnités forfaitaires en cas de non-paiement à l’échéance sont censées couvrir, n’atteint de toute évidence pas un tel niveau. Il appartiendrait cependant au juge civil d’en juger, en cas de recours judiciaire introduit pa</w:t>
      </w:r>
      <w:r w:rsidR="007709E0" w:rsidRPr="4F9431BD">
        <w:rPr>
          <w:rFonts w:ascii="Century Gothic" w:eastAsia="Times New Roman" w:hAnsi="Century Gothic" w:cs="Times New Roman"/>
          <w:color w:val="000000" w:themeColor="text1"/>
          <w:lang w:val="fr-FR" w:eastAsia="fr-FR"/>
        </w:rPr>
        <w:t>r</w:t>
      </w:r>
      <w:r w:rsidR="00A7225C" w:rsidRPr="4F9431BD">
        <w:rPr>
          <w:rFonts w:ascii="Century Gothic" w:eastAsia="Times New Roman" w:hAnsi="Century Gothic" w:cs="Times New Roman"/>
          <w:color w:val="000000" w:themeColor="text1"/>
          <w:lang w:val="fr-FR" w:eastAsia="fr-FR"/>
        </w:rPr>
        <w:t xml:space="preserve"> le consommateur.</w:t>
      </w:r>
    </w:p>
    <w:p w14:paraId="251EDF1D" w14:textId="6F22B9C9" w:rsidR="00512B3F" w:rsidRPr="00CB40BE" w:rsidRDefault="00BE055D" w:rsidP="00CB40BE">
      <w:pPr>
        <w:jc w:val="both"/>
        <w:rPr>
          <w:rFonts w:ascii="Century Gothic" w:hAnsi="Century Gothic"/>
          <w:b/>
          <w:bCs/>
        </w:rPr>
      </w:pPr>
      <w:r w:rsidRPr="4F9431BD">
        <w:rPr>
          <w:rFonts w:ascii="Century Gothic" w:hAnsi="Century Gothic"/>
          <w:b/>
          <w:bCs/>
        </w:rPr>
        <w:t xml:space="preserve">15. </w:t>
      </w:r>
      <w:r w:rsidR="00431BBE" w:rsidRPr="4F9431BD">
        <w:rPr>
          <w:rFonts w:ascii="Century Gothic" w:hAnsi="Century Gothic"/>
          <w:b/>
          <w:bCs/>
        </w:rPr>
        <w:t xml:space="preserve">La commune doit-elle </w:t>
      </w:r>
      <w:r w:rsidR="00512B3F" w:rsidRPr="4F9431BD">
        <w:rPr>
          <w:rFonts w:ascii="Century Gothic" w:hAnsi="Century Gothic"/>
          <w:b/>
          <w:bCs/>
        </w:rPr>
        <w:t>s’inscrire préalablement auprès du SPF Economie</w:t>
      </w:r>
      <w:r w:rsidR="00431BBE" w:rsidRPr="4F9431BD">
        <w:rPr>
          <w:rFonts w:ascii="Century Gothic" w:hAnsi="Century Gothic"/>
          <w:b/>
          <w:bCs/>
        </w:rPr>
        <w:t xml:space="preserve"> pour faire du recouvrement amiable</w:t>
      </w:r>
      <w:r w:rsidR="00512B3F" w:rsidRPr="4F9431BD">
        <w:rPr>
          <w:rFonts w:ascii="Century Gothic" w:hAnsi="Century Gothic"/>
          <w:b/>
          <w:bCs/>
        </w:rPr>
        <w:t> ?</w:t>
      </w:r>
    </w:p>
    <w:p w14:paraId="7BAA3A56" w14:textId="7F9A1040" w:rsidR="00512B3F" w:rsidRPr="00CB40BE" w:rsidRDefault="00431BBE" w:rsidP="00CB40BE">
      <w:pPr>
        <w:jc w:val="both"/>
        <w:rPr>
          <w:rFonts w:ascii="Century Gothic" w:hAnsi="Century Gothic"/>
        </w:rPr>
      </w:pPr>
      <w:r w:rsidRPr="4F9431BD">
        <w:rPr>
          <w:rFonts w:ascii="Century Gothic" w:hAnsi="Century Gothic"/>
        </w:rPr>
        <w:t>Non, cette inscription ne vaut que lorsqu’on fait de l’</w:t>
      </w:r>
      <w:r w:rsidRPr="4F9431BD">
        <w:rPr>
          <w:rFonts w:ascii="Century Gothic" w:hAnsi="Century Gothic"/>
          <w:i/>
          <w:iCs/>
          <w:u w:val="single"/>
        </w:rPr>
        <w:t>activité de</w:t>
      </w:r>
      <w:r w:rsidRPr="4F9431BD">
        <w:rPr>
          <w:rFonts w:ascii="Century Gothic" w:hAnsi="Century Gothic"/>
          <w:u w:val="single"/>
        </w:rPr>
        <w:t xml:space="preserve"> </w:t>
      </w:r>
      <w:r w:rsidRPr="4F9431BD">
        <w:rPr>
          <w:rFonts w:ascii="Century Gothic" w:hAnsi="Century Gothic"/>
          <w:i/>
          <w:iCs/>
          <w:u w:val="single"/>
        </w:rPr>
        <w:t>recouvrement amiable</w:t>
      </w:r>
      <w:r w:rsidRPr="4F9431BD">
        <w:rPr>
          <w:rFonts w:ascii="Century Gothic" w:hAnsi="Century Gothic"/>
        </w:rPr>
        <w:t xml:space="preserve"> au sens de l’article I.22/1 du CDE</w:t>
      </w:r>
      <w:r w:rsidR="003B1136" w:rsidRPr="4F9431BD">
        <w:rPr>
          <w:rFonts w:ascii="Century Gothic" w:hAnsi="Century Gothic"/>
        </w:rPr>
        <w:t xml:space="preserve">, c’est-à-dire </w:t>
      </w:r>
      <w:r w:rsidR="00512B3F" w:rsidRPr="4F9431BD">
        <w:rPr>
          <w:rFonts w:ascii="Century Gothic" w:hAnsi="Century Gothic"/>
        </w:rPr>
        <w:t xml:space="preserve">dans </w:t>
      </w:r>
      <w:r w:rsidR="003B1136" w:rsidRPr="4F9431BD">
        <w:rPr>
          <w:rFonts w:ascii="Century Gothic" w:hAnsi="Century Gothic"/>
        </w:rPr>
        <w:t>l</w:t>
      </w:r>
      <w:r w:rsidR="00512B3F" w:rsidRPr="4F9431BD">
        <w:rPr>
          <w:rFonts w:ascii="Century Gothic" w:hAnsi="Century Gothic"/>
        </w:rPr>
        <w:t xml:space="preserve">es hypothèses </w:t>
      </w:r>
      <w:r w:rsidR="003B1136" w:rsidRPr="4F9431BD">
        <w:rPr>
          <w:rFonts w:ascii="Century Gothic" w:hAnsi="Century Gothic"/>
        </w:rPr>
        <w:t>d’</w:t>
      </w:r>
      <w:r w:rsidR="00512B3F" w:rsidRPr="4F9431BD">
        <w:rPr>
          <w:rFonts w:ascii="Century Gothic" w:hAnsi="Century Gothic"/>
        </w:rPr>
        <w:t xml:space="preserve">agissement pour le compte d’autrui et </w:t>
      </w:r>
      <w:r w:rsidR="003B1136" w:rsidRPr="4F9431BD">
        <w:rPr>
          <w:rFonts w:ascii="Century Gothic" w:hAnsi="Century Gothic"/>
        </w:rPr>
        <w:t xml:space="preserve">de </w:t>
      </w:r>
      <w:r w:rsidR="00512B3F" w:rsidRPr="4F9431BD">
        <w:rPr>
          <w:rFonts w:ascii="Century Gothic" w:hAnsi="Century Gothic"/>
        </w:rPr>
        <w:t>recouvrement amiable de créances cédées contre rémunération.</w:t>
      </w:r>
    </w:p>
    <w:p w14:paraId="5438849D" w14:textId="1B0480D6" w:rsidR="00512B3F" w:rsidRDefault="00431BBE" w:rsidP="00CB40BE">
      <w:pPr>
        <w:jc w:val="both"/>
        <w:rPr>
          <w:rFonts w:ascii="Century Gothic" w:hAnsi="Century Gothic"/>
        </w:rPr>
      </w:pPr>
      <w:r w:rsidRPr="4F9431BD">
        <w:rPr>
          <w:rFonts w:ascii="Century Gothic" w:hAnsi="Century Gothic"/>
        </w:rPr>
        <w:t>Comme</w:t>
      </w:r>
      <w:r w:rsidR="00512B3F" w:rsidRPr="4F9431BD">
        <w:rPr>
          <w:rFonts w:ascii="Century Gothic" w:hAnsi="Century Gothic"/>
        </w:rPr>
        <w:t xml:space="preserve"> une commune agit donc uniquement pour son compte et ne </w:t>
      </w:r>
      <w:r w:rsidR="00631880" w:rsidRPr="4F9431BD">
        <w:rPr>
          <w:rFonts w:ascii="Century Gothic" w:hAnsi="Century Gothic"/>
        </w:rPr>
        <w:t xml:space="preserve">réalise </w:t>
      </w:r>
      <w:r w:rsidR="00512B3F" w:rsidRPr="4F9431BD">
        <w:rPr>
          <w:rFonts w:ascii="Century Gothic" w:hAnsi="Century Gothic"/>
        </w:rPr>
        <w:t xml:space="preserve">pas de recouvrement amiable de créances cédées contre </w:t>
      </w:r>
      <w:r w:rsidRPr="4F9431BD">
        <w:rPr>
          <w:rFonts w:ascii="Century Gothic" w:hAnsi="Century Gothic"/>
        </w:rPr>
        <w:t>rémunération</w:t>
      </w:r>
      <w:r w:rsidR="00512B3F" w:rsidRPr="4F9431BD">
        <w:rPr>
          <w:rFonts w:ascii="Century Gothic" w:hAnsi="Century Gothic"/>
        </w:rPr>
        <w:t xml:space="preserve">, elle </w:t>
      </w:r>
      <w:r w:rsidR="00631880" w:rsidRPr="4F9431BD">
        <w:rPr>
          <w:rFonts w:ascii="Century Gothic" w:hAnsi="Century Gothic"/>
        </w:rPr>
        <w:t>n’exerce</w:t>
      </w:r>
      <w:r w:rsidR="00512B3F" w:rsidRPr="4F9431BD">
        <w:rPr>
          <w:rFonts w:ascii="Century Gothic" w:hAnsi="Century Gothic"/>
        </w:rPr>
        <w:t xml:space="preserve"> pas d’activité de recouvrement amiable de dettes et ne doit dès lors pas s’inscrire auprès du SPF Economie.</w:t>
      </w:r>
    </w:p>
    <w:p w14:paraId="6AAABD5A" w14:textId="77777777" w:rsidR="00357E79" w:rsidRPr="00CB40BE" w:rsidRDefault="00357E79" w:rsidP="00CB40BE">
      <w:pPr>
        <w:jc w:val="both"/>
        <w:rPr>
          <w:rFonts w:ascii="Century Gothic" w:hAnsi="Century Gothic"/>
        </w:rPr>
      </w:pPr>
    </w:p>
    <w:p w14:paraId="17444D4F" w14:textId="09B73026" w:rsidR="00512B3F" w:rsidRPr="00091331" w:rsidRDefault="00BE055D" w:rsidP="00CB40BE">
      <w:pPr>
        <w:jc w:val="both"/>
        <w:rPr>
          <w:rFonts w:ascii="Century Gothic" w:hAnsi="Century Gothic"/>
          <w:b/>
          <w:bCs/>
        </w:rPr>
      </w:pPr>
      <w:r w:rsidRPr="4F9431BD">
        <w:rPr>
          <w:rFonts w:ascii="Century Gothic" w:hAnsi="Century Gothic"/>
          <w:b/>
          <w:bCs/>
        </w:rPr>
        <w:t xml:space="preserve">16. </w:t>
      </w:r>
      <w:bookmarkStart w:id="9" w:name="_Hlk145504313"/>
      <w:r w:rsidRPr="4F9431BD">
        <w:rPr>
          <w:rFonts w:ascii="Century Gothic" w:hAnsi="Century Gothic"/>
          <w:b/>
          <w:bCs/>
        </w:rPr>
        <w:t>Qu’en</w:t>
      </w:r>
      <w:r w:rsidR="00D85848" w:rsidRPr="4F9431BD">
        <w:rPr>
          <w:rFonts w:ascii="Century Gothic" w:hAnsi="Century Gothic"/>
          <w:b/>
          <w:bCs/>
        </w:rPr>
        <w:t xml:space="preserve"> retenir ?</w:t>
      </w:r>
      <w:bookmarkEnd w:id="9"/>
    </w:p>
    <w:p w14:paraId="64738E74" w14:textId="57DBDB30" w:rsidR="00091331" w:rsidRDefault="00091331" w:rsidP="00CB40BE">
      <w:pPr>
        <w:jc w:val="both"/>
        <w:rPr>
          <w:rFonts w:ascii="Century Gothic" w:hAnsi="Century Gothic"/>
        </w:rPr>
      </w:pPr>
      <w:r>
        <w:rPr>
          <w:rFonts w:ascii="Century Gothic" w:hAnsi="Century Gothic"/>
        </w:rPr>
        <w:t xml:space="preserve">Il est </w:t>
      </w:r>
      <w:r w:rsidRPr="00091331">
        <w:rPr>
          <w:rFonts w:ascii="Century Gothic" w:hAnsi="Century Gothic"/>
          <w:u w:val="single"/>
        </w:rPr>
        <w:t>recommandé</w:t>
      </w:r>
      <w:r>
        <w:rPr>
          <w:rFonts w:ascii="Century Gothic" w:hAnsi="Century Gothic"/>
        </w:rPr>
        <w:t> :</w:t>
      </w:r>
    </w:p>
    <w:p w14:paraId="2874AF1C" w14:textId="2155C0B4" w:rsidR="00091331" w:rsidRDefault="00091331" w:rsidP="00091331">
      <w:pPr>
        <w:pStyle w:val="Paragraphedeliste"/>
        <w:numPr>
          <w:ilvl w:val="0"/>
          <w:numId w:val="4"/>
        </w:numPr>
        <w:jc w:val="both"/>
        <w:rPr>
          <w:rFonts w:ascii="Century Gothic" w:hAnsi="Century Gothic"/>
        </w:rPr>
      </w:pPr>
      <w:r w:rsidRPr="4F9431BD">
        <w:rPr>
          <w:rFonts w:ascii="Century Gothic" w:hAnsi="Century Gothic"/>
        </w:rPr>
        <w:t xml:space="preserve">De faire du recouvrement amiable </w:t>
      </w:r>
      <w:r w:rsidRPr="4F9431BD">
        <w:rPr>
          <w:rFonts w:ascii="Century Gothic" w:hAnsi="Century Gothic"/>
          <w:u w:val="single"/>
        </w:rPr>
        <w:t>pour toutes les créances non fiscales</w:t>
      </w:r>
      <w:r w:rsidRPr="4F9431BD">
        <w:rPr>
          <w:rFonts w:ascii="Century Gothic" w:hAnsi="Century Gothic"/>
        </w:rPr>
        <w:t xml:space="preserve"> qui ne repose</w:t>
      </w:r>
      <w:r w:rsidR="009439E1" w:rsidRPr="4F9431BD">
        <w:rPr>
          <w:rFonts w:ascii="Century Gothic" w:hAnsi="Century Gothic"/>
        </w:rPr>
        <w:t>nt</w:t>
      </w:r>
      <w:r w:rsidRPr="4F9431BD">
        <w:rPr>
          <w:rFonts w:ascii="Century Gothic" w:hAnsi="Century Gothic"/>
        </w:rPr>
        <w:t xml:space="preserve"> pas sur un titre exécutoire (comme par ex</w:t>
      </w:r>
      <w:r w:rsidR="00F44B71" w:rsidRPr="4F9431BD">
        <w:rPr>
          <w:rFonts w:ascii="Century Gothic" w:hAnsi="Century Gothic"/>
        </w:rPr>
        <w:t>.</w:t>
      </w:r>
      <w:r w:rsidRPr="4F9431BD">
        <w:rPr>
          <w:rFonts w:ascii="Century Gothic" w:hAnsi="Century Gothic"/>
        </w:rPr>
        <w:t xml:space="preserve"> les </w:t>
      </w:r>
      <w:r w:rsidR="00F44B71" w:rsidRPr="4F9431BD">
        <w:rPr>
          <w:rFonts w:ascii="Century Gothic" w:hAnsi="Century Gothic"/>
        </w:rPr>
        <w:t xml:space="preserve">taxes ou les </w:t>
      </w:r>
      <w:r w:rsidR="000816A0" w:rsidRPr="4F9431BD">
        <w:rPr>
          <w:rFonts w:ascii="Century Gothic" w:hAnsi="Century Gothic"/>
        </w:rPr>
        <w:t>amendes</w:t>
      </w:r>
      <w:r w:rsidRPr="4F9431BD">
        <w:rPr>
          <w:rFonts w:ascii="Century Gothic" w:hAnsi="Century Gothic"/>
        </w:rPr>
        <w:t xml:space="preserve"> administratives) et qui ne sont pas régies par une législation sectorielle spécifique (ex : </w:t>
      </w:r>
      <w:r w:rsidR="00E900A4" w:rsidRPr="4F9431BD">
        <w:rPr>
          <w:rFonts w:ascii="Century Gothic" w:hAnsi="Century Gothic"/>
        </w:rPr>
        <w:t>la distribution d’</w:t>
      </w:r>
      <w:r w:rsidRPr="4F9431BD">
        <w:rPr>
          <w:rFonts w:ascii="Century Gothic" w:hAnsi="Century Gothic"/>
        </w:rPr>
        <w:t xml:space="preserve">eau) et </w:t>
      </w:r>
      <w:r w:rsidR="00486662" w:rsidRPr="4F9431BD">
        <w:rPr>
          <w:rFonts w:ascii="Century Gothic" w:hAnsi="Century Gothic"/>
        </w:rPr>
        <w:t xml:space="preserve">ce </w:t>
      </w:r>
      <w:r w:rsidRPr="4F9431BD">
        <w:rPr>
          <w:rFonts w:ascii="Century Gothic" w:hAnsi="Century Gothic"/>
        </w:rPr>
        <w:t>tant pour les activités « </w:t>
      </w:r>
      <w:r w:rsidR="00EE00DA" w:rsidRPr="4F9431BD">
        <w:rPr>
          <w:rFonts w:ascii="Century Gothic" w:hAnsi="Century Gothic"/>
        </w:rPr>
        <w:t xml:space="preserve">économiques </w:t>
      </w:r>
      <w:r w:rsidRPr="4F9431BD">
        <w:rPr>
          <w:rFonts w:ascii="Century Gothic" w:hAnsi="Century Gothic"/>
        </w:rPr>
        <w:t>» que relevant de l’intérêt général ;</w:t>
      </w:r>
    </w:p>
    <w:p w14:paraId="545698DC" w14:textId="77777777" w:rsidR="003B1136" w:rsidRDefault="003B1136" w:rsidP="003B1136">
      <w:pPr>
        <w:pStyle w:val="Paragraphedeliste"/>
        <w:jc w:val="both"/>
        <w:rPr>
          <w:rFonts w:ascii="Century Gothic" w:hAnsi="Century Gothic"/>
        </w:rPr>
      </w:pPr>
    </w:p>
    <w:p w14:paraId="7896AA71" w14:textId="6A5D4D37" w:rsidR="00091331" w:rsidRDefault="00091331" w:rsidP="00091331">
      <w:pPr>
        <w:pStyle w:val="Paragraphedeliste"/>
        <w:numPr>
          <w:ilvl w:val="0"/>
          <w:numId w:val="4"/>
        </w:numPr>
        <w:jc w:val="both"/>
        <w:rPr>
          <w:rFonts w:ascii="Century Gothic" w:hAnsi="Century Gothic"/>
        </w:rPr>
      </w:pPr>
      <w:r>
        <w:rPr>
          <w:rFonts w:ascii="Century Gothic" w:hAnsi="Century Gothic"/>
        </w:rPr>
        <w:t>D</w:t>
      </w:r>
      <w:r w:rsidR="00057CA2">
        <w:rPr>
          <w:rFonts w:ascii="Century Gothic" w:hAnsi="Century Gothic"/>
        </w:rPr>
        <w:t>ans un souci d’uniformisation des règles de recouvrement, afin de faciliter celui-ci pour la commune, d</w:t>
      </w:r>
      <w:r>
        <w:rPr>
          <w:rFonts w:ascii="Century Gothic" w:hAnsi="Century Gothic"/>
        </w:rPr>
        <w:t xml:space="preserve">e prévoir dans </w:t>
      </w:r>
      <w:r w:rsidR="00F45C51">
        <w:rPr>
          <w:rFonts w:ascii="Century Gothic" w:hAnsi="Century Gothic"/>
        </w:rPr>
        <w:t xml:space="preserve">tout </w:t>
      </w:r>
      <w:r>
        <w:rPr>
          <w:rFonts w:ascii="Century Gothic" w:hAnsi="Century Gothic"/>
        </w:rPr>
        <w:t>règlement-redevance</w:t>
      </w:r>
      <w:r w:rsidR="00590960">
        <w:rPr>
          <w:rFonts w:ascii="Century Gothic" w:hAnsi="Century Gothic"/>
        </w:rPr>
        <w:t xml:space="preserve"> (autre que</w:t>
      </w:r>
      <w:r w:rsidR="00141570">
        <w:rPr>
          <w:rFonts w:ascii="Century Gothic" w:hAnsi="Century Gothic"/>
        </w:rPr>
        <w:t xml:space="preserve"> ceux soumis à une législation sectorielle, v. ci-dessus)</w:t>
      </w:r>
      <w:r>
        <w:rPr>
          <w:rFonts w:ascii="Century Gothic" w:hAnsi="Century Gothic"/>
        </w:rPr>
        <w:t xml:space="preserve"> une clause sur le recouvrement qui prévoit tant le recouvrement amiable</w:t>
      </w:r>
      <w:r w:rsidR="002B4F54">
        <w:rPr>
          <w:rFonts w:ascii="Century Gothic" w:hAnsi="Century Gothic"/>
        </w:rPr>
        <w:t xml:space="preserve"> (conformément aux nouvelles règles du CDE, y compris dans l’hypothèse où la créance ne relèverait pas de son champ d’application)</w:t>
      </w:r>
      <w:r>
        <w:rPr>
          <w:rFonts w:ascii="Century Gothic" w:hAnsi="Century Gothic"/>
        </w:rPr>
        <w:t>que forcé</w:t>
      </w:r>
      <w:r w:rsidR="000B7DEA">
        <w:rPr>
          <w:rFonts w:ascii="Century Gothic" w:hAnsi="Century Gothic"/>
        </w:rPr>
        <w:t xml:space="preserve"> (conformément à l’article L1124-40 du CDLD)</w:t>
      </w:r>
      <w:r>
        <w:rPr>
          <w:rFonts w:ascii="Century Gothic" w:hAnsi="Century Gothic"/>
        </w:rPr>
        <w:t>.</w:t>
      </w:r>
    </w:p>
    <w:p w14:paraId="62B4791B" w14:textId="77777777" w:rsidR="00800ECF" w:rsidRDefault="00800ECF" w:rsidP="00800ECF">
      <w:pPr>
        <w:pStyle w:val="Paragraphedeliste"/>
        <w:jc w:val="both"/>
        <w:rPr>
          <w:rFonts w:ascii="Century Gothic" w:hAnsi="Century Gothic"/>
        </w:rPr>
      </w:pPr>
    </w:p>
    <w:p w14:paraId="18F36C0B" w14:textId="3EABDFC6" w:rsidR="00091331" w:rsidRDefault="00091331" w:rsidP="00800ECF">
      <w:pPr>
        <w:pStyle w:val="Paragraphedeliste"/>
        <w:jc w:val="both"/>
        <w:rPr>
          <w:rFonts w:ascii="Century Gothic" w:hAnsi="Century Gothic"/>
        </w:rPr>
      </w:pPr>
      <w:r>
        <w:rPr>
          <w:rFonts w:ascii="Century Gothic" w:hAnsi="Century Gothic"/>
        </w:rPr>
        <w:t>Cette clause pourrait être rédigée comme suit :</w:t>
      </w:r>
    </w:p>
    <w:p w14:paraId="61A5E91C" w14:textId="634AF187" w:rsidR="000D4379" w:rsidRDefault="00091331" w:rsidP="000D4379">
      <w:pPr>
        <w:ind w:left="708"/>
        <w:jc w:val="both"/>
        <w:rPr>
          <w:rFonts w:ascii="Century Gothic" w:hAnsi="Century Gothic"/>
        </w:rPr>
      </w:pPr>
      <w:r>
        <w:rPr>
          <w:rFonts w:ascii="Century Gothic" w:hAnsi="Century Gothic"/>
        </w:rPr>
        <w:lastRenderedPageBreak/>
        <w:t xml:space="preserve">« En cas de </w:t>
      </w:r>
      <w:r w:rsidR="000D4379">
        <w:rPr>
          <w:rFonts w:ascii="Century Gothic" w:hAnsi="Century Gothic"/>
        </w:rPr>
        <w:t xml:space="preserve">défaut de </w:t>
      </w:r>
      <w:r w:rsidR="00982E9D">
        <w:rPr>
          <w:rFonts w:ascii="Century Gothic" w:hAnsi="Century Gothic"/>
        </w:rPr>
        <w:t>paiement</w:t>
      </w:r>
      <w:r>
        <w:rPr>
          <w:rFonts w:ascii="Century Gothic" w:hAnsi="Century Gothic"/>
        </w:rPr>
        <w:t xml:space="preserve"> dans le délai requis, un premier rappel gratuit sera envoyé au redevable. Ce rappel sera conforme au titre XIX du </w:t>
      </w:r>
      <w:r w:rsidR="00EE00DA">
        <w:rPr>
          <w:rFonts w:ascii="Century Gothic" w:hAnsi="Century Gothic"/>
        </w:rPr>
        <w:t>CDE</w:t>
      </w:r>
      <w:r>
        <w:rPr>
          <w:rFonts w:ascii="Century Gothic" w:hAnsi="Century Gothic"/>
        </w:rPr>
        <w:t xml:space="preserve"> relatif aux dettes du consommateur</w:t>
      </w:r>
      <w:r w:rsidR="00982E9D">
        <w:rPr>
          <w:rFonts w:ascii="Century Gothic" w:hAnsi="Century Gothic"/>
        </w:rPr>
        <w:t>.</w:t>
      </w:r>
      <w:r w:rsidR="000D4379">
        <w:rPr>
          <w:rFonts w:ascii="Century Gothic" w:hAnsi="Century Gothic"/>
        </w:rPr>
        <w:t xml:space="preserve"> </w:t>
      </w:r>
      <w:r w:rsidR="005548C9">
        <w:rPr>
          <w:rFonts w:ascii="Century Gothic" w:hAnsi="Century Gothic"/>
        </w:rPr>
        <w:t>En cas de non-paiement, dans le</w:t>
      </w:r>
      <w:r w:rsidR="005548C9" w:rsidRPr="000A1F24">
        <w:rPr>
          <w:rFonts w:ascii="Century Gothic" w:hAnsi="Century Gothic"/>
        </w:rPr>
        <w:t xml:space="preserve"> délai </w:t>
      </w:r>
      <w:r w:rsidR="005548C9">
        <w:rPr>
          <w:rFonts w:ascii="Century Gothic" w:hAnsi="Century Gothic"/>
        </w:rPr>
        <w:t>de</w:t>
      </w:r>
      <w:r w:rsidR="005548C9" w:rsidRPr="000A1F24">
        <w:rPr>
          <w:rFonts w:ascii="Century Gothic" w:hAnsi="Century Gothic"/>
        </w:rPr>
        <w:t xml:space="preserve"> 14 jours calendrier, qui prend cours le troisième jour ouvrable qui suit celui où le rappel est envoyé</w:t>
      </w:r>
      <w:r w:rsidR="005548C9">
        <w:rPr>
          <w:rFonts w:ascii="Century Gothic" w:hAnsi="Century Gothic"/>
        </w:rPr>
        <w:t xml:space="preserve">, </w:t>
      </w:r>
      <w:r w:rsidR="000D4379">
        <w:rPr>
          <w:rFonts w:ascii="Century Gothic" w:hAnsi="Century Gothic"/>
        </w:rPr>
        <w:t>une clause indemnitaire de …. euros sera due. Celle-ci</w:t>
      </w:r>
      <w:r w:rsidR="00800ECF">
        <w:rPr>
          <w:rFonts w:ascii="Century Gothic" w:hAnsi="Century Gothic"/>
        </w:rPr>
        <w:t xml:space="preserve"> couvre</w:t>
      </w:r>
      <w:r w:rsidR="000D4379">
        <w:rPr>
          <w:rFonts w:ascii="Century Gothic" w:hAnsi="Century Gothic"/>
        </w:rPr>
        <w:t xml:space="preserve"> </w:t>
      </w:r>
      <w:r w:rsidR="00800ECF" w:rsidRPr="00CB40BE">
        <w:rPr>
          <w:rFonts w:ascii="Century Gothic" w:hAnsi="Century Gothic" w:cstheme="minorHAnsi"/>
        </w:rPr>
        <w:t>tous les coûts du recouvrement amiable de la dette impayée (y compris les</w:t>
      </w:r>
      <w:r w:rsidR="00800ECF">
        <w:rPr>
          <w:rFonts w:ascii="Century Gothic" w:hAnsi="Century Gothic" w:cstheme="minorHAnsi"/>
        </w:rPr>
        <w:t xml:space="preserve"> éventuel</w:t>
      </w:r>
      <w:r w:rsidR="000531BC">
        <w:rPr>
          <w:rFonts w:ascii="Century Gothic" w:hAnsi="Century Gothic" w:cstheme="minorHAnsi"/>
        </w:rPr>
        <w:t>s</w:t>
      </w:r>
      <w:r w:rsidR="00800ECF">
        <w:rPr>
          <w:rFonts w:ascii="Century Gothic" w:hAnsi="Century Gothic" w:cstheme="minorHAnsi"/>
        </w:rPr>
        <w:t xml:space="preserve"> </w:t>
      </w:r>
      <w:r w:rsidR="00800ECF" w:rsidRPr="00CB40BE">
        <w:rPr>
          <w:rFonts w:ascii="Century Gothic" w:hAnsi="Century Gothic" w:cstheme="minorHAnsi"/>
        </w:rPr>
        <w:t>frais de rappel</w:t>
      </w:r>
      <w:r w:rsidR="00800ECF">
        <w:rPr>
          <w:rFonts w:ascii="Century Gothic" w:hAnsi="Century Gothic" w:cstheme="minorHAnsi"/>
        </w:rPr>
        <w:t xml:space="preserve"> ultérieur au rappel gratuit</w:t>
      </w:r>
      <w:r w:rsidR="00800ECF" w:rsidRPr="00CB40BE">
        <w:rPr>
          <w:rFonts w:ascii="Century Gothic" w:hAnsi="Century Gothic" w:cstheme="minorHAnsi"/>
        </w:rPr>
        <w:t>)</w:t>
      </w:r>
      <w:r w:rsidR="00800ECF">
        <w:rPr>
          <w:rFonts w:ascii="Century Gothic" w:hAnsi="Century Gothic" w:cstheme="minorHAnsi"/>
        </w:rPr>
        <w:t>.</w:t>
      </w:r>
    </w:p>
    <w:p w14:paraId="06A8F7B1" w14:textId="18681A30" w:rsidR="000D4379" w:rsidRPr="00D666BC" w:rsidRDefault="000D4379" w:rsidP="000D4379">
      <w:pPr>
        <w:ind w:left="708"/>
        <w:jc w:val="both"/>
        <w:rPr>
          <w:rFonts w:ascii="Century Gothic" w:hAnsi="Century Gothic"/>
        </w:rPr>
      </w:pPr>
      <w:r w:rsidRPr="4F9431BD">
        <w:rPr>
          <w:rFonts w:ascii="Century Gothic" w:hAnsi="Century Gothic"/>
        </w:rPr>
        <w:t xml:space="preserve">En cas de non-paiement à l’issue de la procédure de recouvrement amiable, conformément à l’article L 1124-40 du </w:t>
      </w:r>
      <w:r w:rsidR="00C12AD2" w:rsidRPr="4F9431BD">
        <w:rPr>
          <w:rFonts w:ascii="Century Gothic" w:hAnsi="Century Gothic"/>
        </w:rPr>
        <w:t>CDLD</w:t>
      </w:r>
      <w:r>
        <w:t xml:space="preserve"> </w:t>
      </w:r>
      <w:r w:rsidRPr="4F9431BD">
        <w:rPr>
          <w:rFonts w:ascii="Century Gothic" w:hAnsi="Century Gothic"/>
        </w:rPr>
        <w:t xml:space="preserve">le débiteur </w:t>
      </w:r>
      <w:r w:rsidR="00800ECF" w:rsidRPr="4F9431BD">
        <w:rPr>
          <w:rFonts w:ascii="Century Gothic" w:hAnsi="Century Gothic"/>
        </w:rPr>
        <w:t>sera</w:t>
      </w:r>
      <w:r w:rsidRPr="4F9431BD">
        <w:rPr>
          <w:rFonts w:ascii="Century Gothic" w:hAnsi="Century Gothic"/>
        </w:rPr>
        <w:t xml:space="preserve"> mis en demeure de payer par courrier recommandé. Les frais administratifs inhérents à cet envoi sont mis à charge du redevable</w:t>
      </w:r>
      <w:r w:rsidR="00800ECF" w:rsidRPr="4F9431BD">
        <w:rPr>
          <w:rFonts w:ascii="Century Gothic" w:hAnsi="Century Gothic"/>
        </w:rPr>
        <w:t xml:space="preserve"> et s’élèveront à …(max</w:t>
      </w:r>
      <w:r w:rsidR="001A52CE" w:rsidRPr="4F9431BD">
        <w:rPr>
          <w:rFonts w:ascii="Century Gothic" w:hAnsi="Century Gothic"/>
        </w:rPr>
        <w:t>.</w:t>
      </w:r>
      <w:r w:rsidR="00800ECF" w:rsidRPr="4F9431BD">
        <w:rPr>
          <w:rFonts w:ascii="Century Gothic" w:hAnsi="Century Gothic"/>
        </w:rPr>
        <w:t xml:space="preserve"> 10 euros)</w:t>
      </w:r>
      <w:r w:rsidRPr="4F9431BD">
        <w:rPr>
          <w:rFonts w:ascii="Century Gothic" w:hAnsi="Century Gothic"/>
        </w:rPr>
        <w:t>.</w:t>
      </w:r>
    </w:p>
    <w:p w14:paraId="05BB18B3" w14:textId="7693BD79" w:rsidR="00512B3F" w:rsidRPr="00D666BC" w:rsidRDefault="000D4379" w:rsidP="000D4379">
      <w:pPr>
        <w:ind w:left="709"/>
        <w:jc w:val="both"/>
        <w:rPr>
          <w:rFonts w:ascii="Century Gothic" w:hAnsi="Century Gothic"/>
          <w:b/>
          <w:bCs/>
        </w:rPr>
      </w:pPr>
      <w:r w:rsidRPr="4F9431BD">
        <w:rPr>
          <w:rFonts w:ascii="Century Gothic" w:hAnsi="Century Gothic"/>
        </w:rPr>
        <w:t xml:space="preserve">Les frais administratifs visés à l'alinéa </w:t>
      </w:r>
      <w:r w:rsidR="00504A7B" w:rsidRPr="4F9431BD">
        <w:rPr>
          <w:rFonts w:ascii="Century Gothic" w:hAnsi="Century Gothic"/>
        </w:rPr>
        <w:t>2</w:t>
      </w:r>
      <w:r w:rsidRPr="4F9431BD">
        <w:rPr>
          <w:rFonts w:ascii="Century Gothic" w:hAnsi="Century Gothic"/>
        </w:rPr>
        <w:t xml:space="preserve"> sont recouvrés par la même contrainte.</w:t>
      </w:r>
    </w:p>
    <w:p w14:paraId="7DB29690" w14:textId="4FA0F6BF" w:rsidR="00D76587" w:rsidRDefault="000D4379" w:rsidP="00CB40BE">
      <w:pPr>
        <w:pStyle w:val="Paragraphedeliste"/>
        <w:spacing w:before="120"/>
        <w:jc w:val="both"/>
        <w:rPr>
          <w:rFonts w:ascii="Century Gothic" w:hAnsi="Century Gothic"/>
        </w:rPr>
      </w:pPr>
      <w:r w:rsidRPr="00D666BC">
        <w:rPr>
          <w:rFonts w:ascii="Century Gothic" w:hAnsi="Century Gothic"/>
        </w:rPr>
        <w:t>Dans l’hypothèse où une contrainte ne pourrait être délivrée, le redevable fera l’objet d’une citation en justice dans les formes et délais prévus par les dispositions des Code civil et judiciaire. »</w:t>
      </w:r>
      <w:r w:rsidR="00D666BC">
        <w:rPr>
          <w:rFonts w:ascii="Century Gothic" w:hAnsi="Century Gothic"/>
        </w:rPr>
        <w:t> ;</w:t>
      </w:r>
    </w:p>
    <w:p w14:paraId="6D26EDED" w14:textId="0982968F" w:rsidR="00A3661A" w:rsidRDefault="00A3661A" w:rsidP="00CB40BE">
      <w:pPr>
        <w:pStyle w:val="Paragraphedeliste"/>
        <w:spacing w:before="120"/>
        <w:jc w:val="both"/>
        <w:rPr>
          <w:rFonts w:ascii="Century Gothic" w:hAnsi="Century Gothic"/>
        </w:rPr>
      </w:pPr>
    </w:p>
    <w:p w14:paraId="71D6B05B" w14:textId="1EF92A77" w:rsidR="00A3661A" w:rsidRDefault="00A3661A" w:rsidP="00A3661A">
      <w:pPr>
        <w:pStyle w:val="Paragraphedeliste"/>
        <w:numPr>
          <w:ilvl w:val="0"/>
          <w:numId w:val="4"/>
        </w:numPr>
        <w:spacing w:before="120"/>
        <w:jc w:val="both"/>
        <w:rPr>
          <w:rFonts w:ascii="Century Gothic" w:hAnsi="Century Gothic"/>
        </w:rPr>
      </w:pPr>
      <w:r>
        <w:rPr>
          <w:rFonts w:ascii="Century Gothic" w:hAnsi="Century Gothic"/>
        </w:rPr>
        <w:t xml:space="preserve">La clause ci-dessus peut être introduite dans tous les règlements-redevances par une délibération générale. Un modèle est mis en ligne sur le site </w:t>
      </w:r>
      <w:hyperlink r:id="rId5" w:history="1">
        <w:r w:rsidR="00E925C0" w:rsidRPr="00CE333B">
          <w:rPr>
            <w:rStyle w:val="Lienhypertexte"/>
            <w:rFonts w:ascii="Century Gothic" w:hAnsi="Century Gothic"/>
          </w:rPr>
          <w:t>https://interieur.wallonie.be/finances/fiscalite/</w:t>
        </w:r>
      </w:hyperlink>
      <w:r w:rsidR="00E925C0">
        <w:rPr>
          <w:rFonts w:ascii="Century Gothic" w:hAnsi="Century Gothic"/>
        </w:rPr>
        <w:t xml:space="preserve"> </w:t>
      </w:r>
    </w:p>
    <w:p w14:paraId="536BD76B" w14:textId="77777777" w:rsidR="00D666BC" w:rsidRPr="00D666BC" w:rsidRDefault="00D666BC" w:rsidP="00CB40BE">
      <w:pPr>
        <w:pStyle w:val="Paragraphedeliste"/>
        <w:spacing w:before="120"/>
        <w:jc w:val="both"/>
        <w:rPr>
          <w:rFonts w:ascii="Century Gothic" w:hAnsi="Century Gothic"/>
        </w:rPr>
      </w:pPr>
    </w:p>
    <w:p w14:paraId="1EC5AD75" w14:textId="1462258B" w:rsidR="00D666BC" w:rsidRDefault="00D666BC" w:rsidP="00D666BC">
      <w:pPr>
        <w:pStyle w:val="Paragraphedeliste"/>
        <w:numPr>
          <w:ilvl w:val="0"/>
          <w:numId w:val="4"/>
        </w:numPr>
        <w:spacing w:before="120"/>
        <w:jc w:val="both"/>
        <w:rPr>
          <w:rFonts w:ascii="Century Gothic" w:hAnsi="Century Gothic" w:cstheme="minorHAnsi"/>
        </w:rPr>
      </w:pPr>
      <w:r w:rsidRPr="00D666BC">
        <w:rPr>
          <w:rFonts w:ascii="Century Gothic" w:hAnsi="Century Gothic"/>
        </w:rPr>
        <w:t>La clause indemnitaire doit expressément être prévue dans le règlement-redevance et doit respecter les maximums de l’</w:t>
      </w:r>
      <w:r w:rsidRPr="00D666BC">
        <w:rPr>
          <w:rFonts w:ascii="Century Gothic" w:hAnsi="Century Gothic" w:cstheme="minorHAnsi"/>
        </w:rPr>
        <w:t>article XIX.4 du CDE</w:t>
      </w:r>
      <w:r>
        <w:rPr>
          <w:rFonts w:ascii="Century Gothic" w:hAnsi="Century Gothic" w:cstheme="minorHAnsi"/>
        </w:rPr>
        <w:t>. A défaut, elle sera réputée non écrite ;</w:t>
      </w:r>
    </w:p>
    <w:p w14:paraId="1446F215" w14:textId="77777777" w:rsidR="00D666BC" w:rsidRDefault="00D666BC" w:rsidP="00D666BC">
      <w:pPr>
        <w:pStyle w:val="Paragraphedeliste"/>
        <w:spacing w:before="120"/>
        <w:jc w:val="both"/>
        <w:rPr>
          <w:rFonts w:ascii="Century Gothic" w:hAnsi="Century Gothic" w:cstheme="minorHAnsi"/>
        </w:rPr>
      </w:pPr>
    </w:p>
    <w:p w14:paraId="7AFFA53D" w14:textId="50931543" w:rsidR="00D666BC" w:rsidRPr="00D666BC" w:rsidRDefault="00D666BC" w:rsidP="00D666BC">
      <w:pPr>
        <w:pStyle w:val="Paragraphedeliste"/>
        <w:numPr>
          <w:ilvl w:val="0"/>
          <w:numId w:val="4"/>
        </w:numPr>
        <w:spacing w:before="120"/>
        <w:jc w:val="both"/>
        <w:rPr>
          <w:rFonts w:ascii="Century Gothic" w:hAnsi="Century Gothic" w:cstheme="minorHAnsi"/>
        </w:rPr>
      </w:pPr>
      <w:r>
        <w:rPr>
          <w:rFonts w:ascii="Century Gothic" w:hAnsi="Century Gothic" w:cstheme="minorHAnsi"/>
        </w:rPr>
        <w:t>Le premier rappel gratuit doit respecter les formes et la procédure de l’</w:t>
      </w:r>
      <w:r w:rsidRPr="00CB40BE">
        <w:rPr>
          <w:rFonts w:ascii="Century Gothic" w:hAnsi="Century Gothic" w:cstheme="minorHAnsi"/>
        </w:rPr>
        <w:t>art. XIX.2.</w:t>
      </w:r>
      <w:r>
        <w:rPr>
          <w:rFonts w:ascii="Century Gothic" w:hAnsi="Century Gothic" w:cstheme="minorHAnsi"/>
        </w:rPr>
        <w:t xml:space="preserve"> du CDE</w:t>
      </w:r>
    </w:p>
    <w:p w14:paraId="2A5757DF" w14:textId="77777777" w:rsidR="00737D3B" w:rsidRPr="00CB40BE" w:rsidRDefault="00737D3B" w:rsidP="00CB40BE">
      <w:pPr>
        <w:jc w:val="both"/>
        <w:rPr>
          <w:rFonts w:ascii="Century Gothic" w:hAnsi="Century Gothic"/>
          <w:color w:val="000000" w:themeColor="text1"/>
          <w:sz w:val="18"/>
          <w:szCs w:val="18"/>
        </w:rPr>
      </w:pPr>
    </w:p>
    <w:sectPr w:rsidR="00737D3B" w:rsidRPr="00CB4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u9xMJN8" int2:invalidationBookmarkName="" int2:hashCode="I7oOVYkLB0Hk6t" int2:id="pJo8JnH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73"/>
    <w:multiLevelType w:val="hybridMultilevel"/>
    <w:tmpl w:val="2E281648"/>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1" w15:restartNumberingAfterBreak="0">
    <w:nsid w:val="1DBD0605"/>
    <w:multiLevelType w:val="hybridMultilevel"/>
    <w:tmpl w:val="F0F0EA3C"/>
    <w:lvl w:ilvl="0" w:tplc="FFFFFFFF">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2E6AB1"/>
    <w:multiLevelType w:val="hybridMultilevel"/>
    <w:tmpl w:val="DFE87BF6"/>
    <w:lvl w:ilvl="0" w:tplc="806A091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49E9711C"/>
    <w:multiLevelType w:val="hybridMultilevel"/>
    <w:tmpl w:val="5BBCC92A"/>
    <w:lvl w:ilvl="0" w:tplc="FFA0373A">
      <w:numFmt w:val="bullet"/>
      <w:lvlText w:val="-"/>
      <w:lvlJc w:val="left"/>
      <w:pPr>
        <w:ind w:left="720" w:hanging="360"/>
      </w:pPr>
      <w:rPr>
        <w:rFonts w:ascii="Century Gothic" w:hAnsi="Century Gothic" w:hint="default"/>
      </w:rPr>
    </w:lvl>
    <w:lvl w:ilvl="1" w:tplc="FC2CBCE8">
      <w:start w:val="1"/>
      <w:numFmt w:val="bullet"/>
      <w:lvlText w:val="o"/>
      <w:lvlJc w:val="left"/>
      <w:pPr>
        <w:ind w:left="1440" w:hanging="360"/>
      </w:pPr>
      <w:rPr>
        <w:rFonts w:ascii="Courier New" w:hAnsi="Courier New" w:hint="default"/>
      </w:rPr>
    </w:lvl>
    <w:lvl w:ilvl="2" w:tplc="82046BEA">
      <w:start w:val="1"/>
      <w:numFmt w:val="bullet"/>
      <w:lvlText w:val=""/>
      <w:lvlJc w:val="left"/>
      <w:pPr>
        <w:ind w:left="2160" w:hanging="360"/>
      </w:pPr>
      <w:rPr>
        <w:rFonts w:ascii="Wingdings" w:hAnsi="Wingdings" w:hint="default"/>
      </w:rPr>
    </w:lvl>
    <w:lvl w:ilvl="3" w:tplc="69762BDA">
      <w:start w:val="1"/>
      <w:numFmt w:val="bullet"/>
      <w:lvlText w:val=""/>
      <w:lvlJc w:val="left"/>
      <w:pPr>
        <w:ind w:left="2880" w:hanging="360"/>
      </w:pPr>
      <w:rPr>
        <w:rFonts w:ascii="Symbol" w:hAnsi="Symbol" w:hint="default"/>
      </w:rPr>
    </w:lvl>
    <w:lvl w:ilvl="4" w:tplc="BD48F3FE">
      <w:start w:val="1"/>
      <w:numFmt w:val="bullet"/>
      <w:lvlText w:val="o"/>
      <w:lvlJc w:val="left"/>
      <w:pPr>
        <w:ind w:left="3600" w:hanging="360"/>
      </w:pPr>
      <w:rPr>
        <w:rFonts w:ascii="Courier New" w:hAnsi="Courier New" w:hint="default"/>
      </w:rPr>
    </w:lvl>
    <w:lvl w:ilvl="5" w:tplc="F208CDEC">
      <w:start w:val="1"/>
      <w:numFmt w:val="bullet"/>
      <w:lvlText w:val=""/>
      <w:lvlJc w:val="left"/>
      <w:pPr>
        <w:ind w:left="4320" w:hanging="360"/>
      </w:pPr>
      <w:rPr>
        <w:rFonts w:ascii="Wingdings" w:hAnsi="Wingdings" w:hint="default"/>
      </w:rPr>
    </w:lvl>
    <w:lvl w:ilvl="6" w:tplc="7646D71A">
      <w:start w:val="1"/>
      <w:numFmt w:val="bullet"/>
      <w:lvlText w:val=""/>
      <w:lvlJc w:val="left"/>
      <w:pPr>
        <w:ind w:left="5040" w:hanging="360"/>
      </w:pPr>
      <w:rPr>
        <w:rFonts w:ascii="Symbol" w:hAnsi="Symbol" w:hint="default"/>
      </w:rPr>
    </w:lvl>
    <w:lvl w:ilvl="7" w:tplc="9796F096">
      <w:start w:val="1"/>
      <w:numFmt w:val="bullet"/>
      <w:lvlText w:val="o"/>
      <w:lvlJc w:val="left"/>
      <w:pPr>
        <w:ind w:left="5760" w:hanging="360"/>
      </w:pPr>
      <w:rPr>
        <w:rFonts w:ascii="Courier New" w:hAnsi="Courier New" w:hint="default"/>
      </w:rPr>
    </w:lvl>
    <w:lvl w:ilvl="8" w:tplc="671ADE6C">
      <w:start w:val="1"/>
      <w:numFmt w:val="bullet"/>
      <w:lvlText w:val=""/>
      <w:lvlJc w:val="left"/>
      <w:pPr>
        <w:ind w:left="6480" w:hanging="360"/>
      </w:pPr>
      <w:rPr>
        <w:rFonts w:ascii="Wingdings" w:hAnsi="Wingdings" w:hint="default"/>
      </w:rPr>
    </w:lvl>
  </w:abstractNum>
  <w:abstractNum w:abstractNumId="4" w15:restartNumberingAfterBreak="0">
    <w:nsid w:val="56647B4D"/>
    <w:multiLevelType w:val="hybridMultilevel"/>
    <w:tmpl w:val="AD648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5E05BB"/>
    <w:multiLevelType w:val="hybridMultilevel"/>
    <w:tmpl w:val="306858DE"/>
    <w:lvl w:ilvl="0" w:tplc="06B23E3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5565615">
    <w:abstractNumId w:val="3"/>
  </w:num>
  <w:num w:numId="2" w16cid:durableId="1933274055">
    <w:abstractNumId w:val="1"/>
  </w:num>
  <w:num w:numId="3" w16cid:durableId="685637946">
    <w:abstractNumId w:val="0"/>
  </w:num>
  <w:num w:numId="4" w16cid:durableId="1134328493">
    <w:abstractNumId w:val="5"/>
  </w:num>
  <w:num w:numId="5" w16cid:durableId="1734351098">
    <w:abstractNumId w:val="2"/>
  </w:num>
  <w:num w:numId="6" w16cid:durableId="1116482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2F"/>
    <w:rsid w:val="0000021C"/>
    <w:rsid w:val="00014A58"/>
    <w:rsid w:val="00020A44"/>
    <w:rsid w:val="00027B3F"/>
    <w:rsid w:val="00045A63"/>
    <w:rsid w:val="000531BC"/>
    <w:rsid w:val="00056F2C"/>
    <w:rsid w:val="00057CA2"/>
    <w:rsid w:val="00064E34"/>
    <w:rsid w:val="00075D44"/>
    <w:rsid w:val="000816A0"/>
    <w:rsid w:val="000823F7"/>
    <w:rsid w:val="00091331"/>
    <w:rsid w:val="00093EFB"/>
    <w:rsid w:val="000B7DEA"/>
    <w:rsid w:val="000D4379"/>
    <w:rsid w:val="000E1E3E"/>
    <w:rsid w:val="00132BCF"/>
    <w:rsid w:val="00141570"/>
    <w:rsid w:val="0015686E"/>
    <w:rsid w:val="00156CA7"/>
    <w:rsid w:val="00162727"/>
    <w:rsid w:val="00171F2F"/>
    <w:rsid w:val="0018292F"/>
    <w:rsid w:val="00193001"/>
    <w:rsid w:val="001A4831"/>
    <w:rsid w:val="001A52CE"/>
    <w:rsid w:val="001B3363"/>
    <w:rsid w:val="001B7CFA"/>
    <w:rsid w:val="001F2EDD"/>
    <w:rsid w:val="002301C8"/>
    <w:rsid w:val="00241564"/>
    <w:rsid w:val="00246218"/>
    <w:rsid w:val="002B4F54"/>
    <w:rsid w:val="002C7847"/>
    <w:rsid w:val="002D1BCB"/>
    <w:rsid w:val="002E0C89"/>
    <w:rsid w:val="003172C5"/>
    <w:rsid w:val="003435E1"/>
    <w:rsid w:val="003574F4"/>
    <w:rsid w:val="00357E79"/>
    <w:rsid w:val="00370C80"/>
    <w:rsid w:val="00381D43"/>
    <w:rsid w:val="003878D0"/>
    <w:rsid w:val="00387C2A"/>
    <w:rsid w:val="003A482C"/>
    <w:rsid w:val="003B1136"/>
    <w:rsid w:val="003B32BB"/>
    <w:rsid w:val="00404D7C"/>
    <w:rsid w:val="00407CFA"/>
    <w:rsid w:val="00431BBE"/>
    <w:rsid w:val="00436B29"/>
    <w:rsid w:val="00461B91"/>
    <w:rsid w:val="00486662"/>
    <w:rsid w:val="004C67A9"/>
    <w:rsid w:val="004E1D53"/>
    <w:rsid w:val="00504A7B"/>
    <w:rsid w:val="00512B3F"/>
    <w:rsid w:val="00521B8E"/>
    <w:rsid w:val="00522DEE"/>
    <w:rsid w:val="00522F65"/>
    <w:rsid w:val="005253F4"/>
    <w:rsid w:val="00532AB7"/>
    <w:rsid w:val="00534F4E"/>
    <w:rsid w:val="005548C9"/>
    <w:rsid w:val="00565D5B"/>
    <w:rsid w:val="00582D7E"/>
    <w:rsid w:val="00590960"/>
    <w:rsid w:val="005E17A4"/>
    <w:rsid w:val="005E2D64"/>
    <w:rsid w:val="00626E54"/>
    <w:rsid w:val="00631880"/>
    <w:rsid w:val="00674424"/>
    <w:rsid w:val="00686A37"/>
    <w:rsid w:val="006A7E7B"/>
    <w:rsid w:val="006F1EE3"/>
    <w:rsid w:val="0070225A"/>
    <w:rsid w:val="00722A0E"/>
    <w:rsid w:val="00737D3B"/>
    <w:rsid w:val="00753937"/>
    <w:rsid w:val="007709E0"/>
    <w:rsid w:val="007B544E"/>
    <w:rsid w:val="007C2BCF"/>
    <w:rsid w:val="00800ECF"/>
    <w:rsid w:val="00857A80"/>
    <w:rsid w:val="00867AD6"/>
    <w:rsid w:val="00892F05"/>
    <w:rsid w:val="008A13E4"/>
    <w:rsid w:val="008A603B"/>
    <w:rsid w:val="008D534C"/>
    <w:rsid w:val="008F47B0"/>
    <w:rsid w:val="008F72D5"/>
    <w:rsid w:val="0090037E"/>
    <w:rsid w:val="00902D77"/>
    <w:rsid w:val="00906E38"/>
    <w:rsid w:val="009439E1"/>
    <w:rsid w:val="0096236A"/>
    <w:rsid w:val="00974639"/>
    <w:rsid w:val="00982E9D"/>
    <w:rsid w:val="009A26D1"/>
    <w:rsid w:val="009B33B9"/>
    <w:rsid w:val="009F4CD4"/>
    <w:rsid w:val="00A07A79"/>
    <w:rsid w:val="00A3661A"/>
    <w:rsid w:val="00A43C37"/>
    <w:rsid w:val="00A51B9E"/>
    <w:rsid w:val="00A65FDA"/>
    <w:rsid w:val="00A664BE"/>
    <w:rsid w:val="00A7225C"/>
    <w:rsid w:val="00A74C1E"/>
    <w:rsid w:val="00AB041A"/>
    <w:rsid w:val="00AD0B13"/>
    <w:rsid w:val="00AD2060"/>
    <w:rsid w:val="00B01291"/>
    <w:rsid w:val="00B34140"/>
    <w:rsid w:val="00B4679C"/>
    <w:rsid w:val="00B66F85"/>
    <w:rsid w:val="00B836BD"/>
    <w:rsid w:val="00BE055D"/>
    <w:rsid w:val="00BE69D2"/>
    <w:rsid w:val="00BF6166"/>
    <w:rsid w:val="00C12AD2"/>
    <w:rsid w:val="00C308CD"/>
    <w:rsid w:val="00C64315"/>
    <w:rsid w:val="00C91D19"/>
    <w:rsid w:val="00CB40BE"/>
    <w:rsid w:val="00CD2132"/>
    <w:rsid w:val="00D169B0"/>
    <w:rsid w:val="00D20039"/>
    <w:rsid w:val="00D50850"/>
    <w:rsid w:val="00D50EA1"/>
    <w:rsid w:val="00D56FDD"/>
    <w:rsid w:val="00D645E9"/>
    <w:rsid w:val="00D666BC"/>
    <w:rsid w:val="00D76587"/>
    <w:rsid w:val="00D84E3A"/>
    <w:rsid w:val="00D85848"/>
    <w:rsid w:val="00E44CCF"/>
    <w:rsid w:val="00E56E6A"/>
    <w:rsid w:val="00E900A4"/>
    <w:rsid w:val="00E925C0"/>
    <w:rsid w:val="00E95E61"/>
    <w:rsid w:val="00EC0AF6"/>
    <w:rsid w:val="00EC5853"/>
    <w:rsid w:val="00EE00DA"/>
    <w:rsid w:val="00EE5F68"/>
    <w:rsid w:val="00EF3BE4"/>
    <w:rsid w:val="00EF5276"/>
    <w:rsid w:val="00F06FB1"/>
    <w:rsid w:val="00F31514"/>
    <w:rsid w:val="00F42DA6"/>
    <w:rsid w:val="00F44B71"/>
    <w:rsid w:val="00F45C51"/>
    <w:rsid w:val="00F475DB"/>
    <w:rsid w:val="00F556D4"/>
    <w:rsid w:val="00FA289C"/>
    <w:rsid w:val="00FD4E82"/>
    <w:rsid w:val="00FF6D95"/>
    <w:rsid w:val="025224AC"/>
    <w:rsid w:val="095252E0"/>
    <w:rsid w:val="0D1022DA"/>
    <w:rsid w:val="0E22CEAB"/>
    <w:rsid w:val="13A63AC2"/>
    <w:rsid w:val="15670786"/>
    <w:rsid w:val="1AEB1EAE"/>
    <w:rsid w:val="1AFF9E0C"/>
    <w:rsid w:val="1B40C48F"/>
    <w:rsid w:val="1CA4AAF3"/>
    <w:rsid w:val="1D116206"/>
    <w:rsid w:val="2B063AA6"/>
    <w:rsid w:val="2BA0A4A5"/>
    <w:rsid w:val="2D3C7506"/>
    <w:rsid w:val="33F8C23D"/>
    <w:rsid w:val="396A5B0A"/>
    <w:rsid w:val="3ED8FF7A"/>
    <w:rsid w:val="40A393C5"/>
    <w:rsid w:val="417D5484"/>
    <w:rsid w:val="495EA09E"/>
    <w:rsid w:val="4BE4BEE8"/>
    <w:rsid w:val="4F9431BD"/>
    <w:rsid w:val="50CA5AEE"/>
    <w:rsid w:val="55179DD4"/>
    <w:rsid w:val="55F371F2"/>
    <w:rsid w:val="5E59ADCB"/>
    <w:rsid w:val="63F64144"/>
    <w:rsid w:val="675EA8C6"/>
    <w:rsid w:val="68F088CB"/>
    <w:rsid w:val="6B48BD59"/>
    <w:rsid w:val="6DC7C427"/>
    <w:rsid w:val="6F164B6C"/>
    <w:rsid w:val="74B70DC5"/>
    <w:rsid w:val="7C178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25EA"/>
  <w15:chartTrackingRefBased/>
  <w15:docId w15:val="{07E0BE25-BFE9-47CF-978F-B6015634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 puce,Lettre d'introduction,liste à numéros,Puce tiret"/>
    <w:basedOn w:val="Normal"/>
    <w:link w:val="ParagraphedelisteCar"/>
    <w:uiPriority w:val="34"/>
    <w:qFormat/>
    <w:rsid w:val="0018292F"/>
    <w:pPr>
      <w:ind w:left="720"/>
      <w:contextualSpacing/>
    </w:pPr>
  </w:style>
  <w:style w:type="character" w:customStyle="1" w:styleId="ParagraphedelisteCar">
    <w:name w:val="Paragraphe de liste Car"/>
    <w:aliases w:val="Paragraphe + puce Car,Lettre d'introduction Car,liste à numéros Car,Puce tiret Car"/>
    <w:link w:val="Paragraphedeliste"/>
    <w:uiPriority w:val="34"/>
    <w:rsid w:val="00737D3B"/>
    <w:rPr>
      <w:lang w:val="fr-BE"/>
    </w:rPr>
  </w:style>
  <w:style w:type="character" w:styleId="Marquedecommentaire">
    <w:name w:val="annotation reference"/>
    <w:basedOn w:val="Policepardfaut"/>
    <w:uiPriority w:val="99"/>
    <w:semiHidden/>
    <w:unhideWhenUsed/>
    <w:rsid w:val="000823F7"/>
    <w:rPr>
      <w:sz w:val="16"/>
      <w:szCs w:val="16"/>
    </w:rPr>
  </w:style>
  <w:style w:type="paragraph" w:styleId="Commentaire">
    <w:name w:val="annotation text"/>
    <w:basedOn w:val="Normal"/>
    <w:link w:val="CommentaireCar"/>
    <w:uiPriority w:val="99"/>
    <w:unhideWhenUsed/>
    <w:rsid w:val="000823F7"/>
    <w:pPr>
      <w:spacing w:line="240" w:lineRule="auto"/>
    </w:pPr>
    <w:rPr>
      <w:sz w:val="20"/>
      <w:szCs w:val="20"/>
    </w:rPr>
  </w:style>
  <w:style w:type="character" w:customStyle="1" w:styleId="CommentaireCar">
    <w:name w:val="Commentaire Car"/>
    <w:basedOn w:val="Policepardfaut"/>
    <w:link w:val="Commentaire"/>
    <w:uiPriority w:val="99"/>
    <w:rsid w:val="000823F7"/>
    <w:rPr>
      <w:sz w:val="20"/>
      <w:szCs w:val="20"/>
      <w:lang w:val="fr-BE"/>
    </w:rPr>
  </w:style>
  <w:style w:type="paragraph" w:styleId="Objetducommentaire">
    <w:name w:val="annotation subject"/>
    <w:basedOn w:val="Commentaire"/>
    <w:next w:val="Commentaire"/>
    <w:link w:val="ObjetducommentaireCar"/>
    <w:uiPriority w:val="99"/>
    <w:semiHidden/>
    <w:unhideWhenUsed/>
    <w:rsid w:val="000823F7"/>
    <w:rPr>
      <w:b/>
      <w:bCs/>
    </w:rPr>
  </w:style>
  <w:style w:type="character" w:customStyle="1" w:styleId="ObjetducommentaireCar">
    <w:name w:val="Objet du commentaire Car"/>
    <w:basedOn w:val="CommentaireCar"/>
    <w:link w:val="Objetducommentaire"/>
    <w:uiPriority w:val="99"/>
    <w:semiHidden/>
    <w:rsid w:val="000823F7"/>
    <w:rPr>
      <w:b/>
      <w:bCs/>
      <w:sz w:val="20"/>
      <w:szCs w:val="20"/>
      <w:lang w:val="fr-BE"/>
    </w:rPr>
  </w:style>
  <w:style w:type="character" w:styleId="Lienhypertexte">
    <w:name w:val="Hyperlink"/>
    <w:basedOn w:val="Policepardfaut"/>
    <w:uiPriority w:val="99"/>
    <w:unhideWhenUsed/>
    <w:rsid w:val="00E925C0"/>
    <w:rPr>
      <w:color w:val="0563C1" w:themeColor="hyperlink"/>
      <w:u w:val="single"/>
    </w:rPr>
  </w:style>
  <w:style w:type="character" w:styleId="Mentionnonrsolue">
    <w:name w:val="Unresolved Mention"/>
    <w:basedOn w:val="Policepardfaut"/>
    <w:uiPriority w:val="99"/>
    <w:semiHidden/>
    <w:unhideWhenUsed/>
    <w:rsid w:val="00E925C0"/>
    <w:rPr>
      <w:color w:val="605E5C"/>
      <w:shd w:val="clear" w:color="auto" w:fill="E1DFDD"/>
    </w:rPr>
  </w:style>
  <w:style w:type="paragraph" w:styleId="Rvision">
    <w:name w:val="Revision"/>
    <w:hidden/>
    <w:uiPriority w:val="99"/>
    <w:semiHidden/>
    <w:rsid w:val="00387C2A"/>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195">
      <w:bodyDiv w:val="1"/>
      <w:marLeft w:val="0"/>
      <w:marRight w:val="0"/>
      <w:marTop w:val="0"/>
      <w:marBottom w:val="0"/>
      <w:divBdr>
        <w:top w:val="none" w:sz="0" w:space="0" w:color="auto"/>
        <w:left w:val="none" w:sz="0" w:space="0" w:color="auto"/>
        <w:bottom w:val="none" w:sz="0" w:space="0" w:color="auto"/>
        <w:right w:val="none" w:sz="0" w:space="0" w:color="auto"/>
      </w:divBdr>
    </w:div>
    <w:div w:id="832917574">
      <w:bodyDiv w:val="1"/>
      <w:marLeft w:val="0"/>
      <w:marRight w:val="0"/>
      <w:marTop w:val="0"/>
      <w:marBottom w:val="0"/>
      <w:divBdr>
        <w:top w:val="none" w:sz="0" w:space="0" w:color="auto"/>
        <w:left w:val="none" w:sz="0" w:space="0" w:color="auto"/>
        <w:bottom w:val="none" w:sz="0" w:space="0" w:color="auto"/>
        <w:right w:val="none" w:sz="0" w:space="0" w:color="auto"/>
      </w:divBdr>
    </w:div>
    <w:div w:id="908658195">
      <w:bodyDiv w:val="1"/>
      <w:marLeft w:val="0"/>
      <w:marRight w:val="0"/>
      <w:marTop w:val="0"/>
      <w:marBottom w:val="0"/>
      <w:divBdr>
        <w:top w:val="none" w:sz="0" w:space="0" w:color="auto"/>
        <w:left w:val="none" w:sz="0" w:space="0" w:color="auto"/>
        <w:bottom w:val="none" w:sz="0" w:space="0" w:color="auto"/>
        <w:right w:val="none" w:sz="0" w:space="0" w:color="auto"/>
      </w:divBdr>
    </w:div>
    <w:div w:id="1736975382">
      <w:bodyDiv w:val="1"/>
      <w:marLeft w:val="0"/>
      <w:marRight w:val="0"/>
      <w:marTop w:val="0"/>
      <w:marBottom w:val="0"/>
      <w:divBdr>
        <w:top w:val="none" w:sz="0" w:space="0" w:color="auto"/>
        <w:left w:val="none" w:sz="0" w:space="0" w:color="auto"/>
        <w:bottom w:val="none" w:sz="0" w:space="0" w:color="auto"/>
        <w:right w:val="none" w:sz="0" w:space="0" w:color="auto"/>
      </w:divBdr>
    </w:div>
    <w:div w:id="21443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ieur.wallonie.be/finances/fiscali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3560</Words>
  <Characters>19584</Characters>
  <Application>Microsoft Office Word</Application>
  <DocSecurity>0</DocSecurity>
  <Lines>163</Lines>
  <Paragraphs>46</Paragraphs>
  <ScaleCrop>false</ScaleCrop>
  <Company/>
  <LinksUpToDate>false</LinksUpToDate>
  <CharactersWithSpaces>23098</CharactersWithSpaces>
  <SharedDoc>false</SharedDoc>
  <HLinks>
    <vt:vector size="6" baseType="variant">
      <vt:variant>
        <vt:i4>196688</vt:i4>
      </vt:variant>
      <vt:variant>
        <vt:i4>0</vt:i4>
      </vt:variant>
      <vt:variant>
        <vt:i4>0</vt:i4>
      </vt:variant>
      <vt:variant>
        <vt:i4>5</vt:i4>
      </vt:variant>
      <vt:variant>
        <vt:lpwstr>https://interieur.wallonie.be/finances/fiscalite/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KNAPEN Philippe</dc:creator>
  <cp:keywords/>
  <dc:description/>
  <cp:lastModifiedBy>KNAPEN Philippe</cp:lastModifiedBy>
  <cp:revision>5</cp:revision>
  <cp:lastPrinted>2023-09-01T20:52:00Z</cp:lastPrinted>
  <dcterms:created xsi:type="dcterms:W3CDTF">2023-09-12T12:45:00Z</dcterms:created>
  <dcterms:modified xsi:type="dcterms:W3CDTF">2023-09-15T09:45:00Z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2023-08-31T06:23:20Z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aeefb613-ebca-43d8-a948-a72bc4166221</vt:lpwstr>
  </property>
  <property fmtid="{D5CDD505-2E9C-101B-9397-08002B2CF9AE}" pid="8" name="MSIP_Label_97a477d1-147d-4e34-b5e3-7b26d2f44870_ContentBits">
    <vt:lpwstr>0</vt:lpwstr>
  </property>
</Properties>
</file>